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60A773" w14:textId="77777777" w:rsidR="008C699D" w:rsidRPr="00AE67EA" w:rsidRDefault="008C699D" w:rsidP="008C699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AE67EA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57A1864A" wp14:editId="6AA9A5C3">
            <wp:extent cx="5270500" cy="2964815"/>
            <wp:effectExtent l="0" t="0" r="0" b="0"/>
            <wp:docPr id="20071538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153820" name="图片 20071538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4A5A5" w14:textId="037824B4" w:rsidR="008C699D" w:rsidRDefault="008C699D" w:rsidP="008C699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AE67EA">
        <w:rPr>
          <w:rFonts w:ascii="Times New Roman" w:hAnsi="Times New Roman" w:cs="Times New Roman"/>
          <w:b/>
          <w:bCs/>
          <w:sz w:val="24"/>
        </w:rPr>
        <w:t>Appendix Figure S</w:t>
      </w:r>
      <w:r w:rsidR="005B1F6E">
        <w:rPr>
          <w:rFonts w:ascii="Times New Roman" w:hAnsi="Times New Roman" w:cs="Times New Roman" w:hint="eastAsia"/>
          <w:b/>
          <w:bCs/>
          <w:sz w:val="24"/>
        </w:rPr>
        <w:t>1</w:t>
      </w:r>
      <w:r w:rsidRPr="00AE67EA">
        <w:rPr>
          <w:rFonts w:ascii="Times New Roman" w:hAnsi="Times New Roman" w:cs="Times New Roman"/>
          <w:b/>
          <w:bCs/>
          <w:sz w:val="24"/>
        </w:rPr>
        <w:t>：</w:t>
      </w:r>
      <w:r w:rsidRPr="00AE67EA">
        <w:rPr>
          <w:rFonts w:ascii="Times New Roman" w:hAnsi="Times New Roman" w:cs="Times New Roman"/>
          <w:b/>
          <w:bCs/>
          <w:sz w:val="24"/>
        </w:rPr>
        <w:t>Patient Flowchart</w:t>
      </w:r>
    </w:p>
    <w:p w14:paraId="6C536DA0" w14:textId="77777777" w:rsidR="008C699D" w:rsidRDefault="008C699D" w:rsidP="008C699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1C0A3E46" w14:textId="77777777" w:rsidR="008C699D" w:rsidRPr="008C699D" w:rsidRDefault="008C699D" w:rsidP="00710B2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3A786959" w14:textId="77777777" w:rsidR="008C699D" w:rsidRDefault="008C699D" w:rsidP="00710B2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7CCEBEC1" w14:textId="77777777" w:rsidR="008C699D" w:rsidRDefault="008C699D" w:rsidP="00710B2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15901831" w14:textId="77777777" w:rsidR="008C699D" w:rsidRDefault="008C699D" w:rsidP="00710B2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01EE14AA" w14:textId="259B6CF7" w:rsidR="006E0678" w:rsidRDefault="006E0678" w:rsidP="00710B2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AE67EA"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56B003D7" wp14:editId="39904438">
            <wp:extent cx="4601307" cy="6811860"/>
            <wp:effectExtent l="0" t="0" r="0" b="0"/>
            <wp:docPr id="117874904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749047" name="图片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262" cy="689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FB5F0" w14:textId="2210CCF4" w:rsidR="006E0678" w:rsidRPr="00AE67EA" w:rsidRDefault="006E0678" w:rsidP="006E067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AE67EA">
        <w:rPr>
          <w:rFonts w:ascii="Times New Roman" w:hAnsi="Times New Roman" w:cs="Times New Roman"/>
          <w:b/>
          <w:bCs/>
          <w:sz w:val="24"/>
        </w:rPr>
        <w:t>Appendix Figure S</w:t>
      </w:r>
      <w:r w:rsidR="005B1F6E">
        <w:rPr>
          <w:rFonts w:ascii="Times New Roman" w:hAnsi="Times New Roman" w:cs="Times New Roman" w:hint="eastAsia"/>
          <w:b/>
          <w:bCs/>
          <w:sz w:val="24"/>
        </w:rPr>
        <w:t>2</w:t>
      </w:r>
      <w:r w:rsidRPr="00AE67EA">
        <w:rPr>
          <w:rFonts w:ascii="Times New Roman" w:hAnsi="Times New Roman" w:cs="Times New Roman"/>
          <w:b/>
          <w:bCs/>
          <w:sz w:val="24"/>
        </w:rPr>
        <w:t>：</w:t>
      </w:r>
      <w:r w:rsidRPr="00AE67EA">
        <w:rPr>
          <w:rFonts w:ascii="Times New Roman" w:hAnsi="Times New Roman" w:cs="Times New Roman"/>
          <w:b/>
          <w:bCs/>
          <w:sz w:val="24"/>
        </w:rPr>
        <w:t>Placebo cutoff tests for regression discontinuity estimates.</w:t>
      </w:r>
    </w:p>
    <w:p w14:paraId="3353800B" w14:textId="77777777" w:rsidR="006E0678" w:rsidRDefault="006E0678" w:rsidP="006E0678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 w:rsidRPr="00AE67EA">
        <w:rPr>
          <w:rFonts w:ascii="Times New Roman" w:hAnsi="Times New Roman" w:cs="Times New Roman"/>
          <w:sz w:val="24"/>
        </w:rPr>
        <w:t>Notes: Placebo regression discontinuity estimates at false cutoffs (±50, ±150, and ±250 days from the true cutoff) for three study outcomes. Effects are evident only at the true policy cutoff.</w:t>
      </w:r>
    </w:p>
    <w:p w14:paraId="5D87A714" w14:textId="77777777" w:rsidR="008646E2" w:rsidRPr="00B111BE" w:rsidRDefault="008646E2" w:rsidP="00922BD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4F275C53" w14:textId="3AF9EEC5" w:rsidR="003F2D16" w:rsidRPr="00AE67EA" w:rsidRDefault="003F2D16" w:rsidP="00710B2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AE67EA"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2149CC91" wp14:editId="58CDC8E7">
            <wp:extent cx="4615093" cy="6811861"/>
            <wp:effectExtent l="0" t="0" r="0" b="0"/>
            <wp:docPr id="621855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85507" name="图片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480" cy="686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B3C8C" w14:textId="2A619C74" w:rsidR="00376C6A" w:rsidRDefault="00376C6A" w:rsidP="00710B2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376C6A">
        <w:rPr>
          <w:rFonts w:ascii="Times New Roman" w:hAnsi="Times New Roman" w:cs="Times New Roman"/>
          <w:b/>
          <w:bCs/>
          <w:sz w:val="24"/>
        </w:rPr>
        <w:t>Appendix Figure S</w:t>
      </w:r>
      <w:r w:rsidR="005B1F6E">
        <w:rPr>
          <w:rFonts w:ascii="Times New Roman" w:hAnsi="Times New Roman" w:cs="Times New Roman" w:hint="eastAsia"/>
          <w:b/>
          <w:bCs/>
          <w:sz w:val="24"/>
        </w:rPr>
        <w:t>3</w:t>
      </w:r>
      <w:r w:rsidR="008C699D">
        <w:rPr>
          <w:rFonts w:ascii="Times New Roman" w:hAnsi="Times New Roman" w:cs="Times New Roman"/>
          <w:b/>
          <w:bCs/>
          <w:sz w:val="24"/>
        </w:rPr>
        <w:t>:</w:t>
      </w:r>
      <w:r w:rsidRPr="00376C6A">
        <w:rPr>
          <w:rFonts w:ascii="Times New Roman" w:hAnsi="Times New Roman" w:cs="Times New Roman"/>
          <w:b/>
          <w:bCs/>
          <w:sz w:val="24"/>
        </w:rPr>
        <w:t xml:space="preserve"> Regression discontinuity estimates of the effects of the hospital-based NAT-confirmation one-stop service model on </w:t>
      </w:r>
      <w:r>
        <w:rPr>
          <w:rFonts w:ascii="Times New Roman" w:hAnsi="Times New Roman" w:cs="Times New Roman" w:hint="eastAsia"/>
          <w:b/>
          <w:bCs/>
          <w:sz w:val="24"/>
        </w:rPr>
        <w:t>7</w:t>
      </w:r>
      <w:r w:rsidRPr="00376C6A">
        <w:rPr>
          <w:rFonts w:ascii="Times New Roman" w:hAnsi="Times New Roman" w:cs="Times New Roman"/>
          <w:b/>
          <w:bCs/>
          <w:sz w:val="24"/>
        </w:rPr>
        <w:t xml:space="preserve">-day confirmatory diagnosis and </w:t>
      </w:r>
      <w:r>
        <w:rPr>
          <w:rFonts w:ascii="Times New Roman" w:hAnsi="Times New Roman" w:cs="Times New Roman" w:hint="eastAsia"/>
          <w:b/>
          <w:bCs/>
          <w:sz w:val="24"/>
        </w:rPr>
        <w:t>7</w:t>
      </w:r>
      <w:r w:rsidRPr="00376C6A">
        <w:rPr>
          <w:rFonts w:ascii="Times New Roman" w:hAnsi="Times New Roman" w:cs="Times New Roman"/>
          <w:b/>
          <w:bCs/>
          <w:sz w:val="24"/>
        </w:rPr>
        <w:t>-day post-confirmation ART initiation.</w:t>
      </w:r>
    </w:p>
    <w:p w14:paraId="57B14C84" w14:textId="77777777" w:rsidR="00376C6A" w:rsidRDefault="00376C6A" w:rsidP="00710B2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227055A8" w14:textId="2B04ADC6" w:rsidR="00157D4B" w:rsidRPr="006E0678" w:rsidRDefault="00376C6A" w:rsidP="006E067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</w:rPr>
        <w:lastRenderedPageBreak/>
        <w:drawing>
          <wp:inline distT="0" distB="0" distL="0" distR="0" wp14:anchorId="46D9869C" wp14:editId="35B7A5A9">
            <wp:extent cx="5110620" cy="7543398"/>
            <wp:effectExtent l="0" t="0" r="0" b="635"/>
            <wp:docPr id="3907660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766051" name="图片 3907660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638" cy="7553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6C6A">
        <w:rPr>
          <w:rFonts w:ascii="-webkit-standard" w:hAnsi="-webkit-standard"/>
          <w:color w:val="FFFFFF"/>
          <w:sz w:val="27"/>
          <w:szCs w:val="27"/>
        </w:rPr>
        <w:t xml:space="preserve"> </w:t>
      </w:r>
      <w:r w:rsidRPr="00376C6A">
        <w:rPr>
          <w:rFonts w:ascii="Times New Roman" w:hAnsi="Times New Roman" w:cs="Times New Roman"/>
          <w:b/>
          <w:bCs/>
          <w:sz w:val="24"/>
        </w:rPr>
        <w:t>Appendix Figure S</w:t>
      </w:r>
      <w:r w:rsidR="005B1F6E">
        <w:rPr>
          <w:rFonts w:ascii="Times New Roman" w:hAnsi="Times New Roman" w:cs="Times New Roman" w:hint="eastAsia"/>
          <w:b/>
          <w:bCs/>
          <w:sz w:val="24"/>
        </w:rPr>
        <w:t>4</w:t>
      </w:r>
      <w:r w:rsidR="008C699D">
        <w:rPr>
          <w:rFonts w:ascii="Times New Roman" w:hAnsi="Times New Roman" w:cs="Times New Roman"/>
          <w:b/>
          <w:bCs/>
          <w:sz w:val="24"/>
        </w:rPr>
        <w:t>:</w:t>
      </w:r>
      <w:r w:rsidRPr="00376C6A">
        <w:rPr>
          <w:rFonts w:ascii="Times New Roman" w:hAnsi="Times New Roman" w:cs="Times New Roman"/>
          <w:b/>
          <w:bCs/>
          <w:sz w:val="24"/>
        </w:rPr>
        <w:t xml:space="preserve"> Regression discontinuity estimates of the effects of the hospital-based NAT-confirmation one-stop service model on 30-day confirmatory diagnosis and 30-day post-confirmation ART initiation.</w:t>
      </w:r>
    </w:p>
    <w:p w14:paraId="1CD2C31E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AE67EA">
        <w:rPr>
          <w:rFonts w:ascii="Times New Roman" w:hAnsi="Times New Roman" w:cs="Times New Roman"/>
          <w:b/>
          <w:bCs/>
          <w:sz w:val="24"/>
        </w:rPr>
        <w:lastRenderedPageBreak/>
        <w:t xml:space="preserve">Appendix </w:t>
      </w:r>
      <w:r>
        <w:rPr>
          <w:rFonts w:ascii="Times New Roman" w:hAnsi="Times New Roman" w:cs="Times New Roman" w:hint="eastAsia"/>
          <w:b/>
          <w:bCs/>
          <w:sz w:val="24"/>
        </w:rPr>
        <w:t>Table</w:t>
      </w:r>
      <w:r w:rsidRPr="00AE67EA">
        <w:rPr>
          <w:rFonts w:ascii="Times New Roman" w:hAnsi="Times New Roman" w:cs="Times New Roman"/>
          <w:b/>
          <w:bCs/>
          <w:sz w:val="24"/>
        </w:rPr>
        <w:t xml:space="preserve"> S1</w:t>
      </w:r>
      <w:r>
        <w:rPr>
          <w:rFonts w:ascii="Times New Roman" w:hAnsi="Times New Roman" w:cs="Times New Roman"/>
          <w:b/>
          <w:bCs/>
          <w:sz w:val="24"/>
        </w:rPr>
        <w:t>:</w:t>
      </w:r>
      <w:r w:rsidRPr="008646E2">
        <w:rPr>
          <w:rFonts w:ascii="Times New Roman" w:hAnsi="Times New Roman" w:cs="Times New Roman"/>
          <w:b/>
          <w:bCs/>
          <w:sz w:val="24"/>
        </w:rPr>
        <w:t xml:space="preserve"> </w:t>
      </w:r>
      <w:r w:rsidRPr="00C52BD9">
        <w:rPr>
          <w:rFonts w:ascii="Times New Roman" w:hAnsi="Times New Roman" w:cs="Times New Roman"/>
          <w:b/>
          <w:bCs/>
          <w:sz w:val="24"/>
        </w:rPr>
        <w:t xml:space="preserve">Baseline characteristics of the </w:t>
      </w:r>
      <w:r>
        <w:rPr>
          <w:rFonts w:ascii="Times New Roman" w:hAnsi="Times New Roman" w:cs="Times New Roman" w:hint="eastAsia"/>
          <w:b/>
          <w:bCs/>
          <w:sz w:val="24"/>
        </w:rPr>
        <w:t xml:space="preserve">extracted </w:t>
      </w:r>
      <w:r w:rsidRPr="00C52BD9">
        <w:rPr>
          <w:rFonts w:ascii="Times New Roman" w:hAnsi="Times New Roman" w:cs="Times New Roman"/>
          <w:b/>
          <w:bCs/>
          <w:sz w:val="24"/>
        </w:rPr>
        <w:t>patients before and after the policy cutoff.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546"/>
        <w:gridCol w:w="1466"/>
        <w:gridCol w:w="1712"/>
        <w:gridCol w:w="1645"/>
        <w:gridCol w:w="931"/>
      </w:tblGrid>
      <w:tr w:rsidR="00922BDF" w:rsidRPr="00615CE6" w14:paraId="608DE8C0" w14:textId="77777777" w:rsidTr="007B5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5C9407E0" w14:textId="77777777" w:rsidR="00922BDF" w:rsidRPr="00615CE6" w:rsidRDefault="00922BDF" w:rsidP="007B5CD3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Variable</w:t>
            </w:r>
          </w:p>
        </w:tc>
        <w:tc>
          <w:tcPr>
            <w:tcW w:w="0" w:type="auto"/>
            <w:hideMark/>
          </w:tcPr>
          <w:p w14:paraId="35FEFC22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b/>
                <w:bCs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Overall (N=358)</w:t>
            </w:r>
          </w:p>
        </w:tc>
        <w:tc>
          <w:tcPr>
            <w:tcW w:w="0" w:type="auto"/>
            <w:hideMark/>
          </w:tcPr>
          <w:p w14:paraId="121B8370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b/>
                <w:bCs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Before cutoff (n=110)</w:t>
            </w:r>
          </w:p>
        </w:tc>
        <w:tc>
          <w:tcPr>
            <w:tcW w:w="0" w:type="auto"/>
            <w:hideMark/>
          </w:tcPr>
          <w:p w14:paraId="448E266B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b/>
                <w:bCs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After cutoff (n=248)</w:t>
            </w:r>
          </w:p>
        </w:tc>
        <w:tc>
          <w:tcPr>
            <w:tcW w:w="0" w:type="auto"/>
            <w:hideMark/>
          </w:tcPr>
          <w:p w14:paraId="1C64C2B2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b/>
                <w:bCs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P value</w:t>
            </w:r>
          </w:p>
        </w:tc>
      </w:tr>
      <w:tr w:rsidR="00922BDF" w:rsidRPr="00615CE6" w14:paraId="206CF3E2" w14:textId="77777777" w:rsidTr="007B5CD3">
        <w:tc>
          <w:tcPr>
            <w:tcW w:w="0" w:type="auto"/>
            <w:hideMark/>
          </w:tcPr>
          <w:p w14:paraId="3F26EF88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Age group, years</w:t>
            </w:r>
          </w:p>
        </w:tc>
        <w:tc>
          <w:tcPr>
            <w:tcW w:w="0" w:type="auto"/>
            <w:hideMark/>
          </w:tcPr>
          <w:p w14:paraId="53C00FD1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0A2BB5D9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49EBEF0B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7B3E4F16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0.371</w:t>
            </w:r>
          </w:p>
        </w:tc>
      </w:tr>
      <w:tr w:rsidR="00922BDF" w:rsidRPr="00615CE6" w14:paraId="398D3CCE" w14:textId="77777777" w:rsidTr="007B5CD3">
        <w:tc>
          <w:tcPr>
            <w:tcW w:w="0" w:type="auto"/>
            <w:hideMark/>
          </w:tcPr>
          <w:p w14:paraId="0ED4E65E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&lt;50</w:t>
            </w:r>
          </w:p>
        </w:tc>
        <w:tc>
          <w:tcPr>
            <w:tcW w:w="0" w:type="auto"/>
            <w:hideMark/>
          </w:tcPr>
          <w:p w14:paraId="18965FA5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235 (65.6%)</w:t>
            </w:r>
          </w:p>
        </w:tc>
        <w:tc>
          <w:tcPr>
            <w:tcW w:w="0" w:type="auto"/>
            <w:hideMark/>
          </w:tcPr>
          <w:p w14:paraId="5BDFF8F5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68 (61.8%)</w:t>
            </w:r>
          </w:p>
        </w:tc>
        <w:tc>
          <w:tcPr>
            <w:tcW w:w="0" w:type="auto"/>
            <w:hideMark/>
          </w:tcPr>
          <w:p w14:paraId="3A5EBBCD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167 (67.3%)</w:t>
            </w:r>
          </w:p>
        </w:tc>
        <w:tc>
          <w:tcPr>
            <w:tcW w:w="0" w:type="auto"/>
            <w:hideMark/>
          </w:tcPr>
          <w:p w14:paraId="5F57776B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70F04F1E" w14:textId="77777777" w:rsidTr="007B5CD3">
        <w:tc>
          <w:tcPr>
            <w:tcW w:w="0" w:type="auto"/>
            <w:hideMark/>
          </w:tcPr>
          <w:p w14:paraId="7A628B1E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≥50</w:t>
            </w:r>
          </w:p>
        </w:tc>
        <w:tc>
          <w:tcPr>
            <w:tcW w:w="0" w:type="auto"/>
            <w:hideMark/>
          </w:tcPr>
          <w:p w14:paraId="317FE766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123 (34.4%)</w:t>
            </w:r>
          </w:p>
        </w:tc>
        <w:tc>
          <w:tcPr>
            <w:tcW w:w="0" w:type="auto"/>
            <w:hideMark/>
          </w:tcPr>
          <w:p w14:paraId="12DD044E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42 (38.2%)</w:t>
            </w:r>
          </w:p>
        </w:tc>
        <w:tc>
          <w:tcPr>
            <w:tcW w:w="0" w:type="auto"/>
            <w:hideMark/>
          </w:tcPr>
          <w:p w14:paraId="43FAEC6B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81 (32.7%)</w:t>
            </w:r>
          </w:p>
        </w:tc>
        <w:tc>
          <w:tcPr>
            <w:tcW w:w="0" w:type="auto"/>
            <w:hideMark/>
          </w:tcPr>
          <w:p w14:paraId="0C4C94AC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3E9FB002" w14:textId="77777777" w:rsidTr="007B5CD3">
        <w:tc>
          <w:tcPr>
            <w:tcW w:w="0" w:type="auto"/>
            <w:hideMark/>
          </w:tcPr>
          <w:p w14:paraId="4E181A6C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Sex</w:t>
            </w:r>
          </w:p>
        </w:tc>
        <w:tc>
          <w:tcPr>
            <w:tcW w:w="0" w:type="auto"/>
            <w:hideMark/>
          </w:tcPr>
          <w:p w14:paraId="0DBA8A10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484F3FB5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234BEFED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33402387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0.751</w:t>
            </w:r>
          </w:p>
        </w:tc>
      </w:tr>
      <w:tr w:rsidR="00922BDF" w:rsidRPr="00615CE6" w14:paraId="495857DC" w14:textId="77777777" w:rsidTr="007B5CD3">
        <w:tc>
          <w:tcPr>
            <w:tcW w:w="0" w:type="auto"/>
            <w:hideMark/>
          </w:tcPr>
          <w:p w14:paraId="0F301EE3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0" w:type="auto"/>
            <w:hideMark/>
          </w:tcPr>
          <w:p w14:paraId="441D9BFE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301 (84.1%)</w:t>
            </w:r>
          </w:p>
        </w:tc>
        <w:tc>
          <w:tcPr>
            <w:tcW w:w="0" w:type="auto"/>
            <w:hideMark/>
          </w:tcPr>
          <w:p w14:paraId="3EF63B96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94 (85.5%)</w:t>
            </w:r>
          </w:p>
        </w:tc>
        <w:tc>
          <w:tcPr>
            <w:tcW w:w="0" w:type="auto"/>
            <w:hideMark/>
          </w:tcPr>
          <w:p w14:paraId="0758BAF1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207 (83.5%)</w:t>
            </w:r>
          </w:p>
        </w:tc>
        <w:tc>
          <w:tcPr>
            <w:tcW w:w="0" w:type="auto"/>
            <w:hideMark/>
          </w:tcPr>
          <w:p w14:paraId="72087408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33455832" w14:textId="77777777" w:rsidTr="007B5CD3">
        <w:tc>
          <w:tcPr>
            <w:tcW w:w="0" w:type="auto"/>
            <w:hideMark/>
          </w:tcPr>
          <w:p w14:paraId="5D2F5DA0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0" w:type="auto"/>
            <w:hideMark/>
          </w:tcPr>
          <w:p w14:paraId="7D27A0A2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57 (15.9%)</w:t>
            </w:r>
          </w:p>
        </w:tc>
        <w:tc>
          <w:tcPr>
            <w:tcW w:w="0" w:type="auto"/>
            <w:hideMark/>
          </w:tcPr>
          <w:p w14:paraId="744A5B10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16 (14.5%)</w:t>
            </w:r>
          </w:p>
        </w:tc>
        <w:tc>
          <w:tcPr>
            <w:tcW w:w="0" w:type="auto"/>
            <w:hideMark/>
          </w:tcPr>
          <w:p w14:paraId="63946A86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41 (16.5%)</w:t>
            </w:r>
          </w:p>
        </w:tc>
        <w:tc>
          <w:tcPr>
            <w:tcW w:w="0" w:type="auto"/>
            <w:hideMark/>
          </w:tcPr>
          <w:p w14:paraId="4FC77E4E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73C9BD3D" w14:textId="77777777" w:rsidTr="007B5CD3">
        <w:tc>
          <w:tcPr>
            <w:tcW w:w="0" w:type="auto"/>
            <w:hideMark/>
          </w:tcPr>
          <w:p w14:paraId="0655322F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Marital status</w:t>
            </w:r>
          </w:p>
        </w:tc>
        <w:tc>
          <w:tcPr>
            <w:tcW w:w="0" w:type="auto"/>
            <w:hideMark/>
          </w:tcPr>
          <w:p w14:paraId="0D72FB83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0F277A2E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7886E2EA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69BC31A7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1.000</w:t>
            </w:r>
          </w:p>
        </w:tc>
      </w:tr>
      <w:tr w:rsidR="00922BDF" w:rsidRPr="00615CE6" w14:paraId="0B111A40" w14:textId="77777777" w:rsidTr="007B5CD3">
        <w:tc>
          <w:tcPr>
            <w:tcW w:w="0" w:type="auto"/>
            <w:hideMark/>
          </w:tcPr>
          <w:p w14:paraId="1D6DCABE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Married or partnered</w:t>
            </w:r>
          </w:p>
        </w:tc>
        <w:tc>
          <w:tcPr>
            <w:tcW w:w="0" w:type="auto"/>
            <w:hideMark/>
          </w:tcPr>
          <w:p w14:paraId="18079EFC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146 (40.8%)</w:t>
            </w:r>
          </w:p>
        </w:tc>
        <w:tc>
          <w:tcPr>
            <w:tcW w:w="0" w:type="auto"/>
            <w:hideMark/>
          </w:tcPr>
          <w:p w14:paraId="776AF9B8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45 (40.9%)</w:t>
            </w:r>
          </w:p>
        </w:tc>
        <w:tc>
          <w:tcPr>
            <w:tcW w:w="0" w:type="auto"/>
            <w:hideMark/>
          </w:tcPr>
          <w:p w14:paraId="5DFAEF51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101 (40.7%)</w:t>
            </w:r>
          </w:p>
        </w:tc>
        <w:tc>
          <w:tcPr>
            <w:tcW w:w="0" w:type="auto"/>
            <w:hideMark/>
          </w:tcPr>
          <w:p w14:paraId="7EBBF0C8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6979B15F" w14:textId="77777777" w:rsidTr="007B5CD3">
        <w:tc>
          <w:tcPr>
            <w:tcW w:w="0" w:type="auto"/>
            <w:hideMark/>
          </w:tcPr>
          <w:p w14:paraId="2A28CAD0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Unmarried or other</w:t>
            </w:r>
          </w:p>
        </w:tc>
        <w:tc>
          <w:tcPr>
            <w:tcW w:w="0" w:type="auto"/>
            <w:hideMark/>
          </w:tcPr>
          <w:p w14:paraId="79F964ED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212 (59.2%)</w:t>
            </w:r>
          </w:p>
        </w:tc>
        <w:tc>
          <w:tcPr>
            <w:tcW w:w="0" w:type="auto"/>
            <w:hideMark/>
          </w:tcPr>
          <w:p w14:paraId="6FA1D05B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65 (59.1%)</w:t>
            </w:r>
          </w:p>
        </w:tc>
        <w:tc>
          <w:tcPr>
            <w:tcW w:w="0" w:type="auto"/>
            <w:hideMark/>
          </w:tcPr>
          <w:p w14:paraId="2DC3216E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147 (59.3%)</w:t>
            </w:r>
          </w:p>
        </w:tc>
        <w:tc>
          <w:tcPr>
            <w:tcW w:w="0" w:type="auto"/>
            <w:hideMark/>
          </w:tcPr>
          <w:p w14:paraId="31E641DE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7D0B9299" w14:textId="77777777" w:rsidTr="007B5CD3">
        <w:tc>
          <w:tcPr>
            <w:tcW w:w="0" w:type="auto"/>
            <w:hideMark/>
          </w:tcPr>
          <w:p w14:paraId="7C966D8A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Education</w:t>
            </w:r>
          </w:p>
        </w:tc>
        <w:tc>
          <w:tcPr>
            <w:tcW w:w="0" w:type="auto"/>
            <w:hideMark/>
          </w:tcPr>
          <w:p w14:paraId="31F533C8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26D041AC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1E7417F0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66C70B5B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0.003</w:t>
            </w:r>
          </w:p>
        </w:tc>
      </w:tr>
      <w:tr w:rsidR="00922BDF" w:rsidRPr="00615CE6" w14:paraId="114B47E1" w14:textId="77777777" w:rsidTr="007B5CD3">
        <w:tc>
          <w:tcPr>
            <w:tcW w:w="0" w:type="auto"/>
            <w:hideMark/>
          </w:tcPr>
          <w:p w14:paraId="4003F10B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High school or above</w:t>
            </w:r>
          </w:p>
        </w:tc>
        <w:tc>
          <w:tcPr>
            <w:tcW w:w="0" w:type="auto"/>
            <w:hideMark/>
          </w:tcPr>
          <w:p w14:paraId="7242F767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180 (50.3%)</w:t>
            </w:r>
          </w:p>
        </w:tc>
        <w:tc>
          <w:tcPr>
            <w:tcW w:w="0" w:type="auto"/>
            <w:hideMark/>
          </w:tcPr>
          <w:p w14:paraId="0E1A2468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42 (38.2%)</w:t>
            </w:r>
          </w:p>
        </w:tc>
        <w:tc>
          <w:tcPr>
            <w:tcW w:w="0" w:type="auto"/>
            <w:hideMark/>
          </w:tcPr>
          <w:p w14:paraId="1BF3522C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138 (55.6%)</w:t>
            </w:r>
          </w:p>
        </w:tc>
        <w:tc>
          <w:tcPr>
            <w:tcW w:w="0" w:type="auto"/>
            <w:hideMark/>
          </w:tcPr>
          <w:p w14:paraId="60A411C9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2EBD0D11" w14:textId="77777777" w:rsidTr="007B5CD3">
        <w:tc>
          <w:tcPr>
            <w:tcW w:w="0" w:type="auto"/>
            <w:hideMark/>
          </w:tcPr>
          <w:p w14:paraId="10113FE2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Middle school or below</w:t>
            </w:r>
          </w:p>
        </w:tc>
        <w:tc>
          <w:tcPr>
            <w:tcW w:w="0" w:type="auto"/>
            <w:hideMark/>
          </w:tcPr>
          <w:p w14:paraId="00CC7CF9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178 (49.7%)</w:t>
            </w:r>
          </w:p>
        </w:tc>
        <w:tc>
          <w:tcPr>
            <w:tcW w:w="0" w:type="auto"/>
            <w:hideMark/>
          </w:tcPr>
          <w:p w14:paraId="3FE314F4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68 (61.8%)</w:t>
            </w:r>
          </w:p>
        </w:tc>
        <w:tc>
          <w:tcPr>
            <w:tcW w:w="0" w:type="auto"/>
            <w:hideMark/>
          </w:tcPr>
          <w:p w14:paraId="05A7ACD6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110 (44.4%)</w:t>
            </w:r>
          </w:p>
        </w:tc>
        <w:tc>
          <w:tcPr>
            <w:tcW w:w="0" w:type="auto"/>
            <w:hideMark/>
          </w:tcPr>
          <w:p w14:paraId="0C9E44AB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49DCE176" w14:textId="77777777" w:rsidTr="007B5CD3">
        <w:tc>
          <w:tcPr>
            <w:tcW w:w="0" w:type="auto"/>
            <w:hideMark/>
          </w:tcPr>
          <w:p w14:paraId="25AB20D1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Transmission route</w:t>
            </w:r>
          </w:p>
        </w:tc>
        <w:tc>
          <w:tcPr>
            <w:tcW w:w="0" w:type="auto"/>
            <w:hideMark/>
          </w:tcPr>
          <w:p w14:paraId="3116AB06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4DABC864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52337B8B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1C176DD2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0.041</w:t>
            </w:r>
          </w:p>
        </w:tc>
      </w:tr>
      <w:tr w:rsidR="00922BDF" w:rsidRPr="00615CE6" w14:paraId="3E67646F" w14:textId="77777777" w:rsidTr="007B5CD3">
        <w:tc>
          <w:tcPr>
            <w:tcW w:w="0" w:type="auto"/>
            <w:hideMark/>
          </w:tcPr>
          <w:p w14:paraId="39C25358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Same-sex transmission</w:t>
            </w:r>
          </w:p>
        </w:tc>
        <w:tc>
          <w:tcPr>
            <w:tcW w:w="0" w:type="auto"/>
            <w:hideMark/>
          </w:tcPr>
          <w:p w14:paraId="6F042AE3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154 (43.0%)</w:t>
            </w:r>
          </w:p>
        </w:tc>
        <w:tc>
          <w:tcPr>
            <w:tcW w:w="0" w:type="auto"/>
            <w:hideMark/>
          </w:tcPr>
          <w:p w14:paraId="0DEE3117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38 (34.5%)</w:t>
            </w:r>
          </w:p>
        </w:tc>
        <w:tc>
          <w:tcPr>
            <w:tcW w:w="0" w:type="auto"/>
            <w:hideMark/>
          </w:tcPr>
          <w:p w14:paraId="05DE051E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116 (46.8%)</w:t>
            </w:r>
          </w:p>
        </w:tc>
        <w:tc>
          <w:tcPr>
            <w:tcW w:w="0" w:type="auto"/>
            <w:hideMark/>
          </w:tcPr>
          <w:p w14:paraId="3177077F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531F1AEC" w14:textId="77777777" w:rsidTr="007B5CD3">
        <w:tc>
          <w:tcPr>
            <w:tcW w:w="0" w:type="auto"/>
            <w:hideMark/>
          </w:tcPr>
          <w:p w14:paraId="1F84D33D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Non-same-sex transmission</w:t>
            </w:r>
          </w:p>
        </w:tc>
        <w:tc>
          <w:tcPr>
            <w:tcW w:w="0" w:type="auto"/>
            <w:hideMark/>
          </w:tcPr>
          <w:p w14:paraId="45A887A1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204 (57.0%)</w:t>
            </w:r>
          </w:p>
        </w:tc>
        <w:tc>
          <w:tcPr>
            <w:tcW w:w="0" w:type="auto"/>
            <w:hideMark/>
          </w:tcPr>
          <w:p w14:paraId="6D67F55D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72 (65.5%)</w:t>
            </w:r>
          </w:p>
        </w:tc>
        <w:tc>
          <w:tcPr>
            <w:tcW w:w="0" w:type="auto"/>
            <w:hideMark/>
          </w:tcPr>
          <w:p w14:paraId="483CF4BC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132 (53.2%)</w:t>
            </w:r>
          </w:p>
        </w:tc>
        <w:tc>
          <w:tcPr>
            <w:tcW w:w="0" w:type="auto"/>
            <w:hideMark/>
          </w:tcPr>
          <w:p w14:paraId="6585A530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3FDD5A5A" w14:textId="77777777" w:rsidTr="007B5CD3">
        <w:tc>
          <w:tcPr>
            <w:tcW w:w="0" w:type="auto"/>
            <w:hideMark/>
          </w:tcPr>
          <w:p w14:paraId="6B58AC91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Study setting</w:t>
            </w:r>
          </w:p>
        </w:tc>
        <w:tc>
          <w:tcPr>
            <w:tcW w:w="0" w:type="auto"/>
            <w:hideMark/>
          </w:tcPr>
          <w:p w14:paraId="43E138E7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3250C3EB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5F78EB95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3CF28B78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&lt;0.001</w:t>
            </w:r>
          </w:p>
        </w:tc>
      </w:tr>
      <w:tr w:rsidR="00922BDF" w:rsidRPr="00615CE6" w14:paraId="0A1CC34B" w14:textId="77777777" w:rsidTr="007B5CD3">
        <w:tc>
          <w:tcPr>
            <w:tcW w:w="0" w:type="auto"/>
            <w:hideMark/>
          </w:tcPr>
          <w:p w14:paraId="29E00DC8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Dongguan</w:t>
            </w:r>
          </w:p>
        </w:tc>
        <w:tc>
          <w:tcPr>
            <w:tcW w:w="0" w:type="auto"/>
            <w:hideMark/>
          </w:tcPr>
          <w:p w14:paraId="137D7864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109 (30.4%)</w:t>
            </w:r>
          </w:p>
        </w:tc>
        <w:tc>
          <w:tcPr>
            <w:tcW w:w="0" w:type="auto"/>
            <w:hideMark/>
          </w:tcPr>
          <w:p w14:paraId="4F8059C9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47 (42.7%)</w:t>
            </w:r>
          </w:p>
        </w:tc>
        <w:tc>
          <w:tcPr>
            <w:tcW w:w="0" w:type="auto"/>
            <w:hideMark/>
          </w:tcPr>
          <w:p w14:paraId="0A015C79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62 (25.0%)</w:t>
            </w:r>
          </w:p>
        </w:tc>
        <w:tc>
          <w:tcPr>
            <w:tcW w:w="0" w:type="auto"/>
            <w:hideMark/>
          </w:tcPr>
          <w:p w14:paraId="7145495F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16CD7D5E" w14:textId="77777777" w:rsidTr="007B5CD3">
        <w:tc>
          <w:tcPr>
            <w:tcW w:w="0" w:type="auto"/>
            <w:hideMark/>
          </w:tcPr>
          <w:p w14:paraId="0C7CB871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Qingyuan</w:t>
            </w:r>
          </w:p>
        </w:tc>
        <w:tc>
          <w:tcPr>
            <w:tcW w:w="0" w:type="auto"/>
            <w:hideMark/>
          </w:tcPr>
          <w:p w14:paraId="27BC7043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46 (12.8%)</w:t>
            </w:r>
          </w:p>
        </w:tc>
        <w:tc>
          <w:tcPr>
            <w:tcW w:w="0" w:type="auto"/>
            <w:hideMark/>
          </w:tcPr>
          <w:p w14:paraId="032B9070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32 (29.1%)</w:t>
            </w:r>
          </w:p>
        </w:tc>
        <w:tc>
          <w:tcPr>
            <w:tcW w:w="0" w:type="auto"/>
            <w:hideMark/>
          </w:tcPr>
          <w:p w14:paraId="3950C0DA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14 (5.6%)</w:t>
            </w:r>
          </w:p>
        </w:tc>
        <w:tc>
          <w:tcPr>
            <w:tcW w:w="0" w:type="auto"/>
            <w:hideMark/>
          </w:tcPr>
          <w:p w14:paraId="6A032C75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71D25EA7" w14:textId="77777777" w:rsidTr="007B5CD3">
        <w:tc>
          <w:tcPr>
            <w:tcW w:w="0" w:type="auto"/>
            <w:hideMark/>
          </w:tcPr>
          <w:p w14:paraId="644F3219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Zhuhai</w:t>
            </w:r>
          </w:p>
        </w:tc>
        <w:tc>
          <w:tcPr>
            <w:tcW w:w="0" w:type="auto"/>
            <w:hideMark/>
          </w:tcPr>
          <w:p w14:paraId="4D41D6B4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203 (56.7%)</w:t>
            </w:r>
          </w:p>
        </w:tc>
        <w:tc>
          <w:tcPr>
            <w:tcW w:w="0" w:type="auto"/>
            <w:hideMark/>
          </w:tcPr>
          <w:p w14:paraId="71D68743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31 (28.2%)</w:t>
            </w:r>
          </w:p>
        </w:tc>
        <w:tc>
          <w:tcPr>
            <w:tcW w:w="0" w:type="auto"/>
            <w:hideMark/>
          </w:tcPr>
          <w:p w14:paraId="4E10074E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172 (69.4%)</w:t>
            </w:r>
          </w:p>
        </w:tc>
        <w:tc>
          <w:tcPr>
            <w:tcW w:w="0" w:type="auto"/>
            <w:hideMark/>
          </w:tcPr>
          <w:p w14:paraId="57F51FD0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27668F8C" w14:textId="77777777" w:rsidTr="007B5CD3">
        <w:tc>
          <w:tcPr>
            <w:tcW w:w="0" w:type="auto"/>
            <w:hideMark/>
          </w:tcPr>
          <w:p w14:paraId="2E8622AE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Enrollment CD4 count, cells/</w:t>
            </w:r>
            <w:proofErr w:type="spellStart"/>
            <w:r w:rsidRPr="00615CE6">
              <w:rPr>
                <w:rFonts w:cs="Times New Roman"/>
                <w:b/>
                <w:bCs/>
                <w:color w:val="000000"/>
                <w:kern w:val="0"/>
                <w:sz w:val="24"/>
              </w:rPr>
              <w:t>μL</w:t>
            </w:r>
            <w:proofErr w:type="spellEnd"/>
          </w:p>
        </w:tc>
        <w:tc>
          <w:tcPr>
            <w:tcW w:w="0" w:type="auto"/>
            <w:hideMark/>
          </w:tcPr>
          <w:p w14:paraId="6AED4A58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2C4A09B5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2F632245" w14:textId="77777777" w:rsidR="00922BDF" w:rsidRPr="00615CE6" w:rsidRDefault="00922BDF" w:rsidP="007B5CD3">
            <w:pPr>
              <w:widowControl/>
              <w:jc w:val="right"/>
              <w:rPr>
                <w:rFonts w:eastAsia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hideMark/>
          </w:tcPr>
          <w:p w14:paraId="09268FC8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0.024</w:t>
            </w:r>
          </w:p>
        </w:tc>
      </w:tr>
      <w:tr w:rsidR="00922BDF" w:rsidRPr="00615CE6" w14:paraId="29F21271" w14:textId="77777777" w:rsidTr="007B5CD3">
        <w:tc>
          <w:tcPr>
            <w:tcW w:w="0" w:type="auto"/>
            <w:hideMark/>
          </w:tcPr>
          <w:p w14:paraId="249DC7ED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&lt;200</w:t>
            </w:r>
          </w:p>
        </w:tc>
        <w:tc>
          <w:tcPr>
            <w:tcW w:w="0" w:type="auto"/>
            <w:hideMark/>
          </w:tcPr>
          <w:p w14:paraId="540B8F4F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135 (37.7%)</w:t>
            </w:r>
          </w:p>
        </w:tc>
        <w:tc>
          <w:tcPr>
            <w:tcW w:w="0" w:type="auto"/>
            <w:hideMark/>
          </w:tcPr>
          <w:p w14:paraId="5A85BD16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48 (43.6%)</w:t>
            </w:r>
          </w:p>
        </w:tc>
        <w:tc>
          <w:tcPr>
            <w:tcW w:w="0" w:type="auto"/>
            <w:hideMark/>
          </w:tcPr>
          <w:p w14:paraId="57B3EAB4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87 (35.1%)</w:t>
            </w:r>
          </w:p>
        </w:tc>
        <w:tc>
          <w:tcPr>
            <w:tcW w:w="0" w:type="auto"/>
            <w:hideMark/>
          </w:tcPr>
          <w:p w14:paraId="2C3FE2F1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66B15D0B" w14:textId="77777777" w:rsidTr="007B5CD3">
        <w:tc>
          <w:tcPr>
            <w:tcW w:w="0" w:type="auto"/>
            <w:hideMark/>
          </w:tcPr>
          <w:p w14:paraId="46BA3930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≥200</w:t>
            </w:r>
          </w:p>
        </w:tc>
        <w:tc>
          <w:tcPr>
            <w:tcW w:w="0" w:type="auto"/>
            <w:hideMark/>
          </w:tcPr>
          <w:p w14:paraId="7130D2DB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192 (53.6%)</w:t>
            </w:r>
          </w:p>
        </w:tc>
        <w:tc>
          <w:tcPr>
            <w:tcW w:w="0" w:type="auto"/>
            <w:hideMark/>
          </w:tcPr>
          <w:p w14:paraId="79161564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48 (43.6%)</w:t>
            </w:r>
          </w:p>
        </w:tc>
        <w:tc>
          <w:tcPr>
            <w:tcW w:w="0" w:type="auto"/>
            <w:hideMark/>
          </w:tcPr>
          <w:p w14:paraId="5F3F8481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144 (58.1%)</w:t>
            </w:r>
          </w:p>
        </w:tc>
        <w:tc>
          <w:tcPr>
            <w:tcW w:w="0" w:type="auto"/>
            <w:hideMark/>
          </w:tcPr>
          <w:p w14:paraId="22CB275A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  <w:tr w:rsidR="00922BDF" w:rsidRPr="00615CE6" w14:paraId="401B7367" w14:textId="77777777" w:rsidTr="007B5CD3">
        <w:tc>
          <w:tcPr>
            <w:tcW w:w="0" w:type="auto"/>
            <w:hideMark/>
          </w:tcPr>
          <w:p w14:paraId="3D4B556C" w14:textId="77777777" w:rsidR="00922BDF" w:rsidRPr="00615CE6" w:rsidRDefault="00922BDF" w:rsidP="007B5CD3">
            <w:pPr>
              <w:widowControl/>
              <w:jc w:val="lef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Missing/other</w:t>
            </w:r>
          </w:p>
        </w:tc>
        <w:tc>
          <w:tcPr>
            <w:tcW w:w="0" w:type="auto"/>
            <w:hideMark/>
          </w:tcPr>
          <w:p w14:paraId="0E18F5B1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31 (8.7%)</w:t>
            </w:r>
          </w:p>
        </w:tc>
        <w:tc>
          <w:tcPr>
            <w:tcW w:w="0" w:type="auto"/>
            <w:hideMark/>
          </w:tcPr>
          <w:p w14:paraId="6E963887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14 (12.7%)</w:t>
            </w:r>
          </w:p>
        </w:tc>
        <w:tc>
          <w:tcPr>
            <w:tcW w:w="0" w:type="auto"/>
            <w:hideMark/>
          </w:tcPr>
          <w:p w14:paraId="140379D9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  <w:r w:rsidRPr="00615CE6">
              <w:rPr>
                <w:rFonts w:cs="Times New Roman"/>
                <w:color w:val="000000"/>
                <w:kern w:val="0"/>
                <w:sz w:val="24"/>
              </w:rPr>
              <w:t>17 (6.9%)</w:t>
            </w:r>
          </w:p>
        </w:tc>
        <w:tc>
          <w:tcPr>
            <w:tcW w:w="0" w:type="auto"/>
            <w:hideMark/>
          </w:tcPr>
          <w:p w14:paraId="64663566" w14:textId="77777777" w:rsidR="00922BDF" w:rsidRPr="00615CE6" w:rsidRDefault="00922BDF" w:rsidP="007B5CD3">
            <w:pPr>
              <w:widowControl/>
              <w:jc w:val="right"/>
              <w:rPr>
                <w:rFonts w:cs="Times New Roman"/>
                <w:color w:val="000000"/>
                <w:kern w:val="0"/>
                <w:sz w:val="24"/>
              </w:rPr>
            </w:pPr>
          </w:p>
        </w:tc>
      </w:tr>
    </w:tbl>
    <w:p w14:paraId="1EBE82FF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55416288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389AA38F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45D89DD5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0376A455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66411C92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6251DC70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78271F17" w14:textId="79828EAC" w:rsidR="00922BDF" w:rsidRPr="00AE67EA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AE67EA">
        <w:rPr>
          <w:rFonts w:ascii="Times New Roman" w:hAnsi="Times New Roman" w:cs="Times New Roman"/>
          <w:b/>
          <w:bCs/>
          <w:sz w:val="24"/>
        </w:rPr>
        <w:lastRenderedPageBreak/>
        <w:t>Appendix Table S</w:t>
      </w:r>
      <w:r>
        <w:rPr>
          <w:rFonts w:ascii="Times New Roman" w:hAnsi="Times New Roman" w:cs="Times New Roman"/>
          <w:b/>
          <w:bCs/>
          <w:sz w:val="24"/>
        </w:rPr>
        <w:t>2</w:t>
      </w:r>
      <w:r w:rsidRPr="00AE67EA">
        <w:rPr>
          <w:rFonts w:ascii="Times New Roman" w:hAnsi="Times New Roman" w:cs="Times New Roman"/>
          <w:b/>
          <w:bCs/>
          <w:sz w:val="24"/>
        </w:rPr>
        <w:t>. Covariate continuity tests at the cutoff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748"/>
        <w:gridCol w:w="1266"/>
        <w:gridCol w:w="666"/>
        <w:gridCol w:w="833"/>
      </w:tblGrid>
      <w:tr w:rsidR="00922BDF" w:rsidRPr="00AE67EA" w14:paraId="176A3996" w14:textId="77777777" w:rsidTr="007B5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hideMark/>
          </w:tcPr>
          <w:p w14:paraId="0FE0AC0C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Covariate</w:t>
            </w:r>
          </w:p>
        </w:tc>
        <w:tc>
          <w:tcPr>
            <w:tcW w:w="0" w:type="auto"/>
            <w:hideMark/>
          </w:tcPr>
          <w:p w14:paraId="3934F10C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RD estimate</w:t>
            </w:r>
          </w:p>
        </w:tc>
        <w:tc>
          <w:tcPr>
            <w:tcW w:w="0" w:type="auto"/>
            <w:hideMark/>
          </w:tcPr>
          <w:p w14:paraId="3F10250A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0" w:type="auto"/>
            <w:hideMark/>
          </w:tcPr>
          <w:p w14:paraId="6969B5A4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p value</w:t>
            </w:r>
          </w:p>
        </w:tc>
      </w:tr>
      <w:tr w:rsidR="00922BDF" w:rsidRPr="00AE67EA" w14:paraId="5FFE731F" w14:textId="77777777" w:rsidTr="007B5CD3">
        <w:trPr>
          <w:jc w:val="center"/>
        </w:trPr>
        <w:tc>
          <w:tcPr>
            <w:tcW w:w="0" w:type="auto"/>
            <w:hideMark/>
          </w:tcPr>
          <w:p w14:paraId="612FDD46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Education</w:t>
            </w:r>
          </w:p>
        </w:tc>
        <w:tc>
          <w:tcPr>
            <w:tcW w:w="0" w:type="auto"/>
            <w:hideMark/>
          </w:tcPr>
          <w:p w14:paraId="04489F99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−0.075</w:t>
            </w:r>
          </w:p>
        </w:tc>
        <w:tc>
          <w:tcPr>
            <w:tcW w:w="0" w:type="auto"/>
            <w:hideMark/>
          </w:tcPr>
          <w:p w14:paraId="711F69E6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0.219</w:t>
            </w:r>
          </w:p>
        </w:tc>
        <w:tc>
          <w:tcPr>
            <w:tcW w:w="0" w:type="auto"/>
            <w:hideMark/>
          </w:tcPr>
          <w:p w14:paraId="5D2E9B08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0.731</w:t>
            </w:r>
          </w:p>
        </w:tc>
      </w:tr>
      <w:tr w:rsidR="00922BDF" w:rsidRPr="00AE67EA" w14:paraId="1EAAB3A4" w14:textId="77777777" w:rsidTr="007B5CD3">
        <w:trPr>
          <w:jc w:val="center"/>
        </w:trPr>
        <w:tc>
          <w:tcPr>
            <w:tcW w:w="0" w:type="auto"/>
            <w:hideMark/>
          </w:tcPr>
          <w:p w14:paraId="3F9357B6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Marital status</w:t>
            </w:r>
          </w:p>
        </w:tc>
        <w:tc>
          <w:tcPr>
            <w:tcW w:w="0" w:type="auto"/>
            <w:hideMark/>
          </w:tcPr>
          <w:p w14:paraId="1298A6BB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0.101</w:t>
            </w:r>
          </w:p>
        </w:tc>
        <w:tc>
          <w:tcPr>
            <w:tcW w:w="0" w:type="auto"/>
            <w:hideMark/>
          </w:tcPr>
          <w:p w14:paraId="0540FD99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0.279</w:t>
            </w:r>
          </w:p>
        </w:tc>
        <w:tc>
          <w:tcPr>
            <w:tcW w:w="0" w:type="auto"/>
            <w:hideMark/>
          </w:tcPr>
          <w:p w14:paraId="294D89C3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0.716</w:t>
            </w:r>
          </w:p>
        </w:tc>
      </w:tr>
      <w:tr w:rsidR="00922BDF" w:rsidRPr="00AE67EA" w14:paraId="7609B317" w14:textId="77777777" w:rsidTr="007B5CD3">
        <w:trPr>
          <w:jc w:val="center"/>
        </w:trPr>
        <w:tc>
          <w:tcPr>
            <w:tcW w:w="0" w:type="auto"/>
            <w:hideMark/>
          </w:tcPr>
          <w:p w14:paraId="15BA5E17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Transmission route</w:t>
            </w:r>
          </w:p>
        </w:tc>
        <w:tc>
          <w:tcPr>
            <w:tcW w:w="0" w:type="auto"/>
            <w:hideMark/>
          </w:tcPr>
          <w:p w14:paraId="29B86515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0.317</w:t>
            </w:r>
          </w:p>
        </w:tc>
        <w:tc>
          <w:tcPr>
            <w:tcW w:w="0" w:type="auto"/>
            <w:hideMark/>
          </w:tcPr>
          <w:p w14:paraId="220AB078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0.272</w:t>
            </w:r>
          </w:p>
        </w:tc>
        <w:tc>
          <w:tcPr>
            <w:tcW w:w="0" w:type="auto"/>
            <w:hideMark/>
          </w:tcPr>
          <w:p w14:paraId="0F20BD45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0.245</w:t>
            </w:r>
          </w:p>
        </w:tc>
      </w:tr>
      <w:tr w:rsidR="00922BDF" w:rsidRPr="00AE67EA" w14:paraId="538C1924" w14:textId="77777777" w:rsidTr="007B5CD3">
        <w:trPr>
          <w:jc w:val="center"/>
        </w:trPr>
        <w:tc>
          <w:tcPr>
            <w:tcW w:w="0" w:type="auto"/>
            <w:hideMark/>
          </w:tcPr>
          <w:p w14:paraId="6D286DF1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Sex</w:t>
            </w:r>
          </w:p>
        </w:tc>
        <w:tc>
          <w:tcPr>
            <w:tcW w:w="0" w:type="auto"/>
            <w:hideMark/>
          </w:tcPr>
          <w:p w14:paraId="430EA8AB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0.464</w:t>
            </w:r>
          </w:p>
        </w:tc>
        <w:tc>
          <w:tcPr>
            <w:tcW w:w="0" w:type="auto"/>
            <w:hideMark/>
          </w:tcPr>
          <w:p w14:paraId="2469742D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0.217</w:t>
            </w:r>
          </w:p>
        </w:tc>
        <w:tc>
          <w:tcPr>
            <w:tcW w:w="0" w:type="auto"/>
            <w:hideMark/>
          </w:tcPr>
          <w:p w14:paraId="7C9AA3D5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0.032</w:t>
            </w:r>
          </w:p>
        </w:tc>
      </w:tr>
    </w:tbl>
    <w:p w14:paraId="40AD502C" w14:textId="77777777" w:rsidR="00922BDF" w:rsidRPr="00AE67EA" w:rsidRDefault="00922BDF" w:rsidP="00922BDF">
      <w:pPr>
        <w:spacing w:line="480" w:lineRule="auto"/>
        <w:rPr>
          <w:rFonts w:ascii="Times New Roman" w:hAnsi="Times New Roman" w:cs="Times New Roman"/>
          <w:sz w:val="24"/>
        </w:rPr>
      </w:pPr>
      <w:r w:rsidRPr="00AE67EA">
        <w:rPr>
          <w:rFonts w:ascii="Times New Roman" w:hAnsi="Times New Roman" w:cs="Times New Roman"/>
          <w:sz w:val="24"/>
        </w:rPr>
        <w:t>Notes: Covariate balance around the cutoff was assessed using t tests for continuous variables and χ² tests for categorical variables. The results indicate no substantial discontinuities in most baseline covariates at the cutoff, supporting the validity of the regression discontinuity design. A modest imbalance was observed for sex; this variable was therefore adjusted for in all regression discontinuity models.</w:t>
      </w:r>
    </w:p>
    <w:p w14:paraId="53E97682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3E7440DA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08F11CA5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737391CC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1440E167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5189176F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3B3EFBDE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1A3C3B6C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58279574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10E1AE5F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2450F5C2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0CE8CD0E" w14:textId="77777777" w:rsidR="00922BDF" w:rsidRPr="008646E2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8646E2">
        <w:rPr>
          <w:rFonts w:ascii="Times New Roman" w:hAnsi="Times New Roman" w:cs="Times New Roman"/>
          <w:b/>
          <w:bCs/>
          <w:sz w:val="24"/>
        </w:rPr>
        <w:lastRenderedPageBreak/>
        <w:t>Appendix Table S</w:t>
      </w:r>
      <w:r>
        <w:rPr>
          <w:rFonts w:ascii="Times New Roman" w:hAnsi="Times New Roman" w:cs="Times New Roman"/>
          <w:b/>
          <w:bCs/>
          <w:sz w:val="24"/>
        </w:rPr>
        <w:t>3</w:t>
      </w:r>
      <w:r w:rsidRPr="008646E2">
        <w:rPr>
          <w:rFonts w:ascii="Times New Roman" w:hAnsi="Times New Roman" w:cs="Times New Roman"/>
          <w:b/>
          <w:bCs/>
          <w:sz w:val="24"/>
        </w:rPr>
        <w:t>. Descriptive statistics and regression discontinuity estimates for key time intervals before and after policy implementation</w:t>
      </w:r>
    </w:p>
    <w:tbl>
      <w:tblPr>
        <w:tblStyle w:val="af0"/>
        <w:tblW w:w="9937" w:type="dxa"/>
        <w:tblInd w:w="-811" w:type="dxa"/>
        <w:tblLayout w:type="fixed"/>
        <w:tblLook w:val="04A0" w:firstRow="1" w:lastRow="0" w:firstColumn="1" w:lastColumn="0" w:noHBand="0" w:noVBand="1"/>
      </w:tblPr>
      <w:tblGrid>
        <w:gridCol w:w="2207"/>
        <w:gridCol w:w="2433"/>
        <w:gridCol w:w="2319"/>
        <w:gridCol w:w="810"/>
        <w:gridCol w:w="548"/>
        <w:gridCol w:w="786"/>
        <w:gridCol w:w="834"/>
      </w:tblGrid>
      <w:tr w:rsidR="00922BDF" w:rsidRPr="008646E2" w14:paraId="12E364EB" w14:textId="77777777" w:rsidTr="007B5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3"/>
        </w:trPr>
        <w:tc>
          <w:tcPr>
            <w:tcW w:w="2207" w:type="dxa"/>
          </w:tcPr>
          <w:p w14:paraId="5A0F4E1A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b/>
                <w:sz w:val="24"/>
              </w:rPr>
              <w:t>Outcome</w:t>
            </w:r>
          </w:p>
        </w:tc>
        <w:tc>
          <w:tcPr>
            <w:tcW w:w="2433" w:type="dxa"/>
          </w:tcPr>
          <w:p w14:paraId="1834283E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 w:hint="eastAsia"/>
                <w:b/>
                <w:sz w:val="24"/>
              </w:rPr>
              <w:t>Pre-</w:t>
            </w:r>
            <w:r w:rsidRPr="008646E2">
              <w:rPr>
                <w:rFonts w:eastAsia="Times New Roman"/>
                <w:b/>
                <w:sz w:val="24"/>
              </w:rPr>
              <w:t xml:space="preserve"> implementation,</w:t>
            </w:r>
            <w:r w:rsidRPr="008646E2">
              <w:rPr>
                <w:rFonts w:eastAsia="Times New Roman"/>
                <w:b/>
                <w:sz w:val="24"/>
              </w:rPr>
              <w:br/>
              <w:t>median [P25, P75] (n)</w:t>
            </w:r>
          </w:p>
        </w:tc>
        <w:tc>
          <w:tcPr>
            <w:tcW w:w="2319" w:type="dxa"/>
          </w:tcPr>
          <w:p w14:paraId="23F8A279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 w:hint="eastAsia"/>
                <w:b/>
                <w:sz w:val="24"/>
              </w:rPr>
              <w:t>Post-</w:t>
            </w:r>
            <w:r w:rsidRPr="008646E2">
              <w:rPr>
                <w:rFonts w:eastAsia="Times New Roman"/>
                <w:b/>
                <w:sz w:val="24"/>
              </w:rPr>
              <w:t>implementation,</w:t>
            </w:r>
            <w:r w:rsidRPr="008646E2">
              <w:rPr>
                <w:rFonts w:eastAsia="Times New Roman"/>
                <w:b/>
                <w:sz w:val="24"/>
              </w:rPr>
              <w:br/>
              <w:t>median [P25, P75] (n)</w:t>
            </w:r>
          </w:p>
        </w:tc>
        <w:tc>
          <w:tcPr>
            <w:tcW w:w="1358" w:type="dxa"/>
            <w:gridSpan w:val="2"/>
          </w:tcPr>
          <w:p w14:paraId="147DCE88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b/>
                <w:sz w:val="24"/>
              </w:rPr>
              <w:t>RD estimate</w:t>
            </w:r>
            <w:r w:rsidRPr="008646E2">
              <w:rPr>
                <w:rFonts w:eastAsia="Times New Roman"/>
                <w:b/>
                <w:sz w:val="24"/>
              </w:rPr>
              <w:br/>
              <w:t>(SE), days</w:t>
            </w:r>
          </w:p>
        </w:tc>
        <w:tc>
          <w:tcPr>
            <w:tcW w:w="786" w:type="dxa"/>
          </w:tcPr>
          <w:p w14:paraId="3968F154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b/>
                <w:sz w:val="24"/>
              </w:rPr>
              <w:t>95% CI</w:t>
            </w:r>
          </w:p>
        </w:tc>
        <w:tc>
          <w:tcPr>
            <w:tcW w:w="834" w:type="dxa"/>
          </w:tcPr>
          <w:p w14:paraId="09FEE6A8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b/>
                <w:sz w:val="24"/>
              </w:rPr>
              <w:t>P value</w:t>
            </w:r>
          </w:p>
        </w:tc>
      </w:tr>
      <w:tr w:rsidR="00922BDF" w:rsidRPr="008646E2" w14:paraId="20DBE5EA" w14:textId="77777777" w:rsidTr="007B5CD3">
        <w:trPr>
          <w:trHeight w:val="661"/>
        </w:trPr>
        <w:tc>
          <w:tcPr>
            <w:tcW w:w="2207" w:type="dxa"/>
          </w:tcPr>
          <w:p w14:paraId="38A35374" w14:textId="77777777" w:rsidR="00922BDF" w:rsidRPr="008646E2" w:rsidRDefault="00922BDF" w:rsidP="007B5CD3">
            <w:pPr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Initial reactive screening to confirmatory, days</w:t>
            </w:r>
          </w:p>
        </w:tc>
        <w:tc>
          <w:tcPr>
            <w:tcW w:w="2433" w:type="dxa"/>
          </w:tcPr>
          <w:p w14:paraId="6CC558F0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7 [5, 9] (578)</w:t>
            </w:r>
          </w:p>
        </w:tc>
        <w:tc>
          <w:tcPr>
            <w:tcW w:w="2319" w:type="dxa"/>
          </w:tcPr>
          <w:p w14:paraId="69F1DA2F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4 [2, 7] (273)</w:t>
            </w:r>
          </w:p>
        </w:tc>
        <w:tc>
          <w:tcPr>
            <w:tcW w:w="810" w:type="dxa"/>
          </w:tcPr>
          <w:p w14:paraId="7E4C2599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-2.33 (4.12)</w:t>
            </w:r>
          </w:p>
        </w:tc>
        <w:tc>
          <w:tcPr>
            <w:tcW w:w="1334" w:type="dxa"/>
            <w:gridSpan w:val="2"/>
          </w:tcPr>
          <w:p w14:paraId="4A4B4755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-10.4 to 5.74</w:t>
            </w:r>
          </w:p>
        </w:tc>
        <w:tc>
          <w:tcPr>
            <w:tcW w:w="834" w:type="dxa"/>
          </w:tcPr>
          <w:p w14:paraId="44FC5F2C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0.571</w:t>
            </w:r>
          </w:p>
        </w:tc>
      </w:tr>
      <w:tr w:rsidR="00922BDF" w:rsidRPr="008646E2" w14:paraId="47D8F404" w14:textId="77777777" w:rsidTr="007B5CD3">
        <w:trPr>
          <w:trHeight w:val="320"/>
        </w:trPr>
        <w:tc>
          <w:tcPr>
            <w:tcW w:w="2207" w:type="dxa"/>
          </w:tcPr>
          <w:p w14:paraId="2F100E10" w14:textId="77777777" w:rsidR="00922BDF" w:rsidRPr="008646E2" w:rsidRDefault="00922BDF" w:rsidP="007B5CD3">
            <w:pPr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Confirmatory to ART initiation, days</w:t>
            </w:r>
          </w:p>
        </w:tc>
        <w:tc>
          <w:tcPr>
            <w:tcW w:w="2433" w:type="dxa"/>
          </w:tcPr>
          <w:p w14:paraId="15F83D4D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7 [3, 14] (578)</w:t>
            </w:r>
          </w:p>
        </w:tc>
        <w:tc>
          <w:tcPr>
            <w:tcW w:w="2319" w:type="dxa"/>
          </w:tcPr>
          <w:p w14:paraId="6F54835E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5 [2, 10] (273)</w:t>
            </w:r>
          </w:p>
        </w:tc>
        <w:tc>
          <w:tcPr>
            <w:tcW w:w="810" w:type="dxa"/>
          </w:tcPr>
          <w:p w14:paraId="1840A988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-21.6 (16.5)</w:t>
            </w:r>
          </w:p>
        </w:tc>
        <w:tc>
          <w:tcPr>
            <w:tcW w:w="1334" w:type="dxa"/>
            <w:gridSpan w:val="2"/>
          </w:tcPr>
          <w:p w14:paraId="03B48DF7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-53.9 to 10.8</w:t>
            </w:r>
          </w:p>
        </w:tc>
        <w:tc>
          <w:tcPr>
            <w:tcW w:w="834" w:type="dxa"/>
          </w:tcPr>
          <w:p w14:paraId="40B7021D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0.191</w:t>
            </w:r>
          </w:p>
        </w:tc>
      </w:tr>
    </w:tbl>
    <w:p w14:paraId="6916235A" w14:textId="77777777" w:rsidR="00922BDF" w:rsidRPr="007D5160" w:rsidRDefault="00922BDF" w:rsidP="00922BDF">
      <w:pPr>
        <w:spacing w:before="80" w:after="160"/>
        <w:rPr>
          <w:rFonts w:ascii="Times New Roman" w:eastAsia="Times New Roman" w:hAnsi="Times New Roman"/>
          <w:sz w:val="24"/>
        </w:rPr>
      </w:pPr>
      <w:r w:rsidRPr="007D5160">
        <w:rPr>
          <w:rFonts w:ascii="Times New Roman" w:eastAsia="Times New Roman" w:hAnsi="Times New Roman" w:hint="eastAsia"/>
          <w:sz w:val="24"/>
        </w:rPr>
        <w:t>Notes</w:t>
      </w:r>
      <w:r w:rsidRPr="007D5160">
        <w:rPr>
          <w:rFonts w:ascii="Times New Roman" w:eastAsia="Times New Roman" w:hAnsi="Times New Roman"/>
          <w:sz w:val="24"/>
        </w:rPr>
        <w:t>: ART, antiretroviral therapy; CI, confidence interval; P25, 25th percentile; P75, 75th percentile; RD, regression discontinuity; SE, standard error. RD estimates were obtained from covariate-adjusted regression discontinuity models. Negative estimates indicate a reduction in the interval after policy implementation. Bandwidths and effective sample sizes are shown separately for observations to the left and right of the cutoff.</w:t>
      </w:r>
    </w:p>
    <w:p w14:paraId="1157351A" w14:textId="77777777" w:rsidR="00922BDF" w:rsidRDefault="00922BDF" w:rsidP="00922BDF">
      <w:pPr>
        <w:spacing w:before="80" w:after="160"/>
        <w:rPr>
          <w:rFonts w:ascii="Times New Roman" w:eastAsia="Times New Roman" w:hAnsi="Times New Roman"/>
          <w:sz w:val="17"/>
        </w:rPr>
      </w:pPr>
    </w:p>
    <w:p w14:paraId="10C3F257" w14:textId="77777777" w:rsidR="00922BDF" w:rsidRDefault="00922BDF" w:rsidP="00922BDF">
      <w:pPr>
        <w:spacing w:before="80" w:after="160"/>
        <w:rPr>
          <w:rFonts w:ascii="Times New Roman" w:eastAsia="Times New Roman" w:hAnsi="Times New Roman"/>
          <w:sz w:val="17"/>
        </w:rPr>
      </w:pPr>
    </w:p>
    <w:p w14:paraId="4834AD60" w14:textId="77777777" w:rsidR="00922BDF" w:rsidRDefault="00922BDF" w:rsidP="00922BDF">
      <w:pPr>
        <w:spacing w:before="80" w:after="160"/>
      </w:pPr>
    </w:p>
    <w:p w14:paraId="42913358" w14:textId="77777777" w:rsidR="00922BDF" w:rsidRDefault="00922BDF" w:rsidP="00922BDF">
      <w:pPr>
        <w:spacing w:before="80" w:after="160"/>
      </w:pPr>
    </w:p>
    <w:p w14:paraId="79FF6665" w14:textId="77777777" w:rsidR="00922BDF" w:rsidRDefault="00922BDF" w:rsidP="00922BDF">
      <w:pPr>
        <w:spacing w:before="80" w:after="160"/>
      </w:pPr>
    </w:p>
    <w:p w14:paraId="27EC1770" w14:textId="77777777" w:rsidR="00922BDF" w:rsidRPr="008646E2" w:rsidRDefault="00922BDF" w:rsidP="00922BDF">
      <w:pPr>
        <w:spacing w:after="120"/>
        <w:rPr>
          <w:rFonts w:ascii="Times New Roman" w:hAnsi="Times New Roman" w:cs="Times New Roman"/>
          <w:b/>
          <w:bCs/>
          <w:sz w:val="24"/>
        </w:rPr>
      </w:pPr>
      <w:r w:rsidRPr="008646E2">
        <w:rPr>
          <w:rFonts w:ascii="Times New Roman" w:hAnsi="Times New Roman" w:cs="Times New Roman"/>
          <w:b/>
          <w:bCs/>
          <w:sz w:val="24"/>
        </w:rPr>
        <w:t>Appendix Table S</w:t>
      </w:r>
      <w:r>
        <w:rPr>
          <w:rFonts w:ascii="Times New Roman" w:hAnsi="Times New Roman" w:cs="Times New Roman"/>
          <w:b/>
          <w:bCs/>
          <w:sz w:val="24"/>
        </w:rPr>
        <w:t>4</w:t>
      </w:r>
      <w:r w:rsidRPr="008646E2">
        <w:rPr>
          <w:rFonts w:ascii="Times New Roman" w:hAnsi="Times New Roman" w:cs="Times New Roman"/>
          <w:b/>
          <w:bCs/>
          <w:sz w:val="24"/>
        </w:rPr>
        <w:t>. Same-day ART initiation after confirmatory diagnosis before and after policy implementation</w:t>
      </w:r>
    </w:p>
    <w:tbl>
      <w:tblPr>
        <w:tblStyle w:val="af0"/>
        <w:tblW w:w="8370" w:type="dxa"/>
        <w:tblLayout w:type="fixed"/>
        <w:tblLook w:val="04A0" w:firstRow="1" w:lastRow="0" w:firstColumn="1" w:lastColumn="0" w:noHBand="0" w:noVBand="1"/>
      </w:tblPr>
      <w:tblGrid>
        <w:gridCol w:w="3154"/>
        <w:gridCol w:w="2183"/>
        <w:gridCol w:w="3033"/>
      </w:tblGrid>
      <w:tr w:rsidR="00922BDF" w:rsidRPr="008646E2" w14:paraId="07A20397" w14:textId="77777777" w:rsidTr="007B5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3154" w:type="dxa"/>
          </w:tcPr>
          <w:p w14:paraId="274BFC2E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b/>
                <w:sz w:val="24"/>
              </w:rPr>
              <w:t>Period</w:t>
            </w:r>
          </w:p>
        </w:tc>
        <w:tc>
          <w:tcPr>
            <w:tcW w:w="2183" w:type="dxa"/>
          </w:tcPr>
          <w:p w14:paraId="2916380B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b/>
                <w:sz w:val="24"/>
              </w:rPr>
              <w:t>Total participants, n</w:t>
            </w:r>
          </w:p>
        </w:tc>
        <w:tc>
          <w:tcPr>
            <w:tcW w:w="3033" w:type="dxa"/>
          </w:tcPr>
          <w:p w14:paraId="5470D4D6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b/>
                <w:sz w:val="24"/>
              </w:rPr>
              <w:t>Same-day ART initiation, n (%)</w:t>
            </w:r>
          </w:p>
        </w:tc>
      </w:tr>
      <w:tr w:rsidR="00922BDF" w:rsidRPr="008646E2" w14:paraId="21CE79DE" w14:textId="77777777" w:rsidTr="007B5CD3">
        <w:trPr>
          <w:trHeight w:val="313"/>
        </w:trPr>
        <w:tc>
          <w:tcPr>
            <w:tcW w:w="3154" w:type="dxa"/>
          </w:tcPr>
          <w:p w14:paraId="6D707645" w14:textId="77777777" w:rsidR="00922BDF" w:rsidRPr="008646E2" w:rsidRDefault="00922BDF" w:rsidP="007B5CD3">
            <w:pPr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Before implementation</w:t>
            </w:r>
          </w:p>
        </w:tc>
        <w:tc>
          <w:tcPr>
            <w:tcW w:w="2183" w:type="dxa"/>
          </w:tcPr>
          <w:p w14:paraId="0E761AAC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578</w:t>
            </w:r>
          </w:p>
        </w:tc>
        <w:tc>
          <w:tcPr>
            <w:tcW w:w="3033" w:type="dxa"/>
          </w:tcPr>
          <w:p w14:paraId="63E9F7A6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13 (2.25)</w:t>
            </w:r>
          </w:p>
        </w:tc>
      </w:tr>
      <w:tr w:rsidR="00922BDF" w:rsidRPr="008646E2" w14:paraId="1BB8D527" w14:textId="77777777" w:rsidTr="007B5CD3">
        <w:trPr>
          <w:trHeight w:val="293"/>
        </w:trPr>
        <w:tc>
          <w:tcPr>
            <w:tcW w:w="3154" w:type="dxa"/>
          </w:tcPr>
          <w:p w14:paraId="0925F5F8" w14:textId="77777777" w:rsidR="00922BDF" w:rsidRPr="008646E2" w:rsidRDefault="00922BDF" w:rsidP="007B5CD3">
            <w:pPr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After implementation</w:t>
            </w:r>
          </w:p>
        </w:tc>
        <w:tc>
          <w:tcPr>
            <w:tcW w:w="2183" w:type="dxa"/>
          </w:tcPr>
          <w:p w14:paraId="1059E70A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273</w:t>
            </w:r>
          </w:p>
        </w:tc>
        <w:tc>
          <w:tcPr>
            <w:tcW w:w="3033" w:type="dxa"/>
          </w:tcPr>
          <w:p w14:paraId="64012A18" w14:textId="77777777" w:rsidR="00922BDF" w:rsidRPr="008646E2" w:rsidRDefault="00922BDF" w:rsidP="007B5CD3">
            <w:pPr>
              <w:jc w:val="center"/>
              <w:rPr>
                <w:sz w:val="24"/>
              </w:rPr>
            </w:pPr>
            <w:r w:rsidRPr="008646E2">
              <w:rPr>
                <w:rFonts w:eastAsia="Times New Roman"/>
                <w:sz w:val="24"/>
              </w:rPr>
              <w:t>18 (6.59)</w:t>
            </w:r>
          </w:p>
        </w:tc>
      </w:tr>
    </w:tbl>
    <w:p w14:paraId="1CD60B5E" w14:textId="77777777" w:rsidR="00922BDF" w:rsidRPr="007D5160" w:rsidRDefault="00922BDF" w:rsidP="00922BDF">
      <w:pPr>
        <w:spacing w:before="80" w:after="160"/>
        <w:rPr>
          <w:sz w:val="24"/>
        </w:rPr>
      </w:pPr>
      <w:r w:rsidRPr="007D5160">
        <w:rPr>
          <w:rFonts w:ascii="Times New Roman" w:eastAsia="Times New Roman" w:hAnsi="Times New Roman" w:hint="eastAsia"/>
          <w:sz w:val="24"/>
        </w:rPr>
        <w:t>Notes</w:t>
      </w:r>
      <w:r w:rsidRPr="007D5160">
        <w:rPr>
          <w:rFonts w:ascii="宋体" w:eastAsia="宋体" w:hAnsi="宋体" w:cs="宋体"/>
          <w:sz w:val="24"/>
        </w:rPr>
        <w:t>:</w:t>
      </w:r>
      <w:r>
        <w:rPr>
          <w:rFonts w:ascii="宋体" w:eastAsia="宋体" w:hAnsi="宋体" w:cs="宋体"/>
          <w:sz w:val="24"/>
        </w:rPr>
        <w:t xml:space="preserve"> </w:t>
      </w:r>
      <w:r w:rsidRPr="007D5160">
        <w:rPr>
          <w:rFonts w:ascii="Times New Roman" w:eastAsia="Times New Roman" w:hAnsi="Times New Roman"/>
          <w:sz w:val="24"/>
        </w:rPr>
        <w:t>Same-day ART initiation was defined as ART initiation on the same calendar day as confirmatory diagnosis (interval = 0 days). Values are descriptive and are not regression discontinuity effect estimates.</w:t>
      </w:r>
    </w:p>
    <w:p w14:paraId="5A7ED297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133D1375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4C8730C0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4E61C299" w14:textId="77777777" w:rsidR="00922BDF" w:rsidRPr="00AE67EA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AE67EA">
        <w:rPr>
          <w:rFonts w:ascii="Times New Roman" w:hAnsi="Times New Roman" w:cs="Times New Roman"/>
          <w:b/>
          <w:bCs/>
          <w:sz w:val="24"/>
        </w:rPr>
        <w:lastRenderedPageBreak/>
        <w:t>Appendix Table S</w:t>
      </w:r>
      <w:r>
        <w:rPr>
          <w:rFonts w:ascii="Times New Roman" w:hAnsi="Times New Roman" w:cs="Times New Roman"/>
          <w:b/>
          <w:bCs/>
          <w:sz w:val="24"/>
        </w:rPr>
        <w:t>5</w:t>
      </w:r>
      <w:r w:rsidRPr="00AE67EA">
        <w:rPr>
          <w:rFonts w:ascii="Times New Roman" w:hAnsi="Times New Roman" w:cs="Times New Roman"/>
          <w:b/>
          <w:bCs/>
          <w:sz w:val="24"/>
        </w:rPr>
        <w:t>. Bandwidth sensitivity analyses for ART initiation</w:t>
      </w:r>
    </w:p>
    <w:p w14:paraId="177335F6" w14:textId="77777777" w:rsidR="00922BDF" w:rsidRPr="00AE67EA" w:rsidRDefault="00922BDF" w:rsidP="00922BD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AE67EA">
        <w:rPr>
          <w:rFonts w:ascii="Times New Roman" w:hAnsi="Times New Roman" w:cs="Times New Roman"/>
          <w:b/>
          <w:bCs/>
          <w:sz w:val="24"/>
        </w:rPr>
        <w:t xml:space="preserve">Panel A. 7-day ART </w:t>
      </w:r>
      <w:r w:rsidRPr="00AE67EA">
        <w:rPr>
          <w:rFonts w:ascii="Times New Roman" w:eastAsia="宋体" w:hAnsi="Times New Roman" w:cs="Times New Roman"/>
          <w:b/>
          <w:bCs/>
          <w:sz w:val="24"/>
        </w:rPr>
        <w:t>initiation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067"/>
        <w:gridCol w:w="666"/>
        <w:gridCol w:w="1329"/>
        <w:gridCol w:w="833"/>
        <w:gridCol w:w="822"/>
        <w:gridCol w:w="966"/>
      </w:tblGrid>
      <w:tr w:rsidR="00922BDF" w:rsidRPr="00AE67EA" w14:paraId="7D368607" w14:textId="77777777" w:rsidTr="007B5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hideMark/>
          </w:tcPr>
          <w:p w14:paraId="39E9D1B2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Bandwidth multiplier</w:t>
            </w:r>
          </w:p>
        </w:tc>
        <w:tc>
          <w:tcPr>
            <w:tcW w:w="0" w:type="auto"/>
            <w:hideMark/>
          </w:tcPr>
          <w:p w14:paraId="5A1E5D66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τ</w:t>
            </w:r>
          </w:p>
        </w:tc>
        <w:tc>
          <w:tcPr>
            <w:tcW w:w="0" w:type="auto"/>
            <w:hideMark/>
          </w:tcPr>
          <w:p w14:paraId="59F1F3AF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0" w:type="auto"/>
            <w:hideMark/>
          </w:tcPr>
          <w:p w14:paraId="321E746A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0" w:type="auto"/>
            <w:hideMark/>
          </w:tcPr>
          <w:p w14:paraId="5564D94D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N (left)</w:t>
            </w:r>
          </w:p>
        </w:tc>
        <w:tc>
          <w:tcPr>
            <w:tcW w:w="0" w:type="auto"/>
            <w:hideMark/>
          </w:tcPr>
          <w:p w14:paraId="18F1542A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N (right)</w:t>
            </w:r>
          </w:p>
        </w:tc>
      </w:tr>
      <w:tr w:rsidR="00922BDF" w:rsidRPr="00AE67EA" w14:paraId="542A6FA8" w14:textId="77777777" w:rsidTr="007B5CD3">
        <w:trPr>
          <w:jc w:val="center"/>
        </w:trPr>
        <w:tc>
          <w:tcPr>
            <w:tcW w:w="0" w:type="auto"/>
            <w:hideMark/>
          </w:tcPr>
          <w:p w14:paraId="2FC0B248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0.6</w:t>
            </w:r>
          </w:p>
        </w:tc>
        <w:tc>
          <w:tcPr>
            <w:tcW w:w="0" w:type="auto"/>
            <w:hideMark/>
          </w:tcPr>
          <w:p w14:paraId="0E8431AD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0.308</w:t>
            </w:r>
          </w:p>
        </w:tc>
        <w:tc>
          <w:tcPr>
            <w:tcW w:w="0" w:type="auto"/>
            <w:hideMark/>
          </w:tcPr>
          <w:p w14:paraId="00727233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−0.050–0.666</w:t>
            </w:r>
          </w:p>
        </w:tc>
        <w:tc>
          <w:tcPr>
            <w:tcW w:w="0" w:type="auto"/>
            <w:hideMark/>
          </w:tcPr>
          <w:p w14:paraId="4193B26B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0.091</w:t>
            </w:r>
          </w:p>
        </w:tc>
        <w:tc>
          <w:tcPr>
            <w:tcW w:w="0" w:type="auto"/>
            <w:hideMark/>
          </w:tcPr>
          <w:p w14:paraId="5A308CEF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0" w:type="auto"/>
            <w:hideMark/>
          </w:tcPr>
          <w:p w14:paraId="139B9EDE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54</w:t>
            </w:r>
          </w:p>
        </w:tc>
      </w:tr>
      <w:tr w:rsidR="00922BDF" w:rsidRPr="00AE67EA" w14:paraId="276AAD68" w14:textId="77777777" w:rsidTr="007B5CD3">
        <w:trPr>
          <w:jc w:val="center"/>
        </w:trPr>
        <w:tc>
          <w:tcPr>
            <w:tcW w:w="0" w:type="auto"/>
            <w:hideMark/>
          </w:tcPr>
          <w:p w14:paraId="7B0A6508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0.8</w:t>
            </w:r>
          </w:p>
        </w:tc>
        <w:tc>
          <w:tcPr>
            <w:tcW w:w="0" w:type="auto"/>
            <w:hideMark/>
          </w:tcPr>
          <w:p w14:paraId="58D2DE6A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0.311</w:t>
            </w:r>
          </w:p>
        </w:tc>
        <w:tc>
          <w:tcPr>
            <w:tcW w:w="0" w:type="auto"/>
            <w:hideMark/>
          </w:tcPr>
          <w:p w14:paraId="2CAB61C0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-0.016–0.590</w:t>
            </w:r>
          </w:p>
        </w:tc>
        <w:tc>
          <w:tcPr>
            <w:tcW w:w="0" w:type="auto"/>
            <w:hideMark/>
          </w:tcPr>
          <w:p w14:paraId="45D1C30A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0.051</w:t>
            </w:r>
          </w:p>
        </w:tc>
        <w:tc>
          <w:tcPr>
            <w:tcW w:w="0" w:type="auto"/>
            <w:hideMark/>
          </w:tcPr>
          <w:p w14:paraId="1B342AA1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92</w:t>
            </w:r>
          </w:p>
        </w:tc>
        <w:tc>
          <w:tcPr>
            <w:tcW w:w="0" w:type="auto"/>
            <w:hideMark/>
          </w:tcPr>
          <w:p w14:paraId="3B542DB8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77</w:t>
            </w:r>
          </w:p>
        </w:tc>
      </w:tr>
      <w:tr w:rsidR="00922BDF" w:rsidRPr="00AE67EA" w14:paraId="55A2F491" w14:textId="77777777" w:rsidTr="007B5CD3">
        <w:trPr>
          <w:jc w:val="center"/>
        </w:trPr>
        <w:tc>
          <w:tcPr>
            <w:tcW w:w="0" w:type="auto"/>
            <w:hideMark/>
          </w:tcPr>
          <w:p w14:paraId="428B4626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1.2</w:t>
            </w:r>
          </w:p>
        </w:tc>
        <w:tc>
          <w:tcPr>
            <w:tcW w:w="0" w:type="auto"/>
            <w:hideMark/>
          </w:tcPr>
          <w:p w14:paraId="740EF1B3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0.284</w:t>
            </w:r>
          </w:p>
        </w:tc>
        <w:tc>
          <w:tcPr>
            <w:tcW w:w="0" w:type="auto"/>
            <w:hideMark/>
          </w:tcPr>
          <w:p w14:paraId="7C5B4E52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0.041–0.526</w:t>
            </w:r>
          </w:p>
        </w:tc>
        <w:tc>
          <w:tcPr>
            <w:tcW w:w="0" w:type="auto"/>
            <w:hideMark/>
          </w:tcPr>
          <w:p w14:paraId="55D88803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0.021</w:t>
            </w:r>
          </w:p>
        </w:tc>
        <w:tc>
          <w:tcPr>
            <w:tcW w:w="0" w:type="auto"/>
            <w:hideMark/>
          </w:tcPr>
          <w:p w14:paraId="6EE6CE67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1588</w:t>
            </w:r>
          </w:p>
        </w:tc>
        <w:tc>
          <w:tcPr>
            <w:tcW w:w="0" w:type="auto"/>
            <w:hideMark/>
          </w:tcPr>
          <w:p w14:paraId="2789342A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124</w:t>
            </w:r>
          </w:p>
        </w:tc>
      </w:tr>
      <w:tr w:rsidR="00922BDF" w:rsidRPr="00AE67EA" w14:paraId="66D78E86" w14:textId="77777777" w:rsidTr="007B5CD3">
        <w:trPr>
          <w:jc w:val="center"/>
        </w:trPr>
        <w:tc>
          <w:tcPr>
            <w:tcW w:w="0" w:type="auto"/>
            <w:hideMark/>
          </w:tcPr>
          <w:p w14:paraId="678D3930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1.4</w:t>
            </w:r>
          </w:p>
        </w:tc>
        <w:tc>
          <w:tcPr>
            <w:tcW w:w="0" w:type="auto"/>
            <w:hideMark/>
          </w:tcPr>
          <w:p w14:paraId="2FD7D076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0.229</w:t>
            </w:r>
          </w:p>
        </w:tc>
        <w:tc>
          <w:tcPr>
            <w:tcW w:w="0" w:type="auto"/>
            <w:hideMark/>
          </w:tcPr>
          <w:p w14:paraId="05651989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0.005–0.453</w:t>
            </w:r>
          </w:p>
        </w:tc>
        <w:tc>
          <w:tcPr>
            <w:tcW w:w="0" w:type="auto"/>
            <w:hideMark/>
          </w:tcPr>
          <w:p w14:paraId="12914802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0.044</w:t>
            </w:r>
          </w:p>
        </w:tc>
        <w:tc>
          <w:tcPr>
            <w:tcW w:w="0" w:type="auto"/>
            <w:hideMark/>
          </w:tcPr>
          <w:p w14:paraId="6A8420C8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184</w:t>
            </w:r>
          </w:p>
        </w:tc>
        <w:tc>
          <w:tcPr>
            <w:tcW w:w="0" w:type="auto"/>
            <w:hideMark/>
          </w:tcPr>
          <w:p w14:paraId="69EA915D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148</w:t>
            </w:r>
          </w:p>
        </w:tc>
      </w:tr>
    </w:tbl>
    <w:p w14:paraId="7683A08A" w14:textId="77777777" w:rsidR="00922BDF" w:rsidRPr="00AE67EA" w:rsidRDefault="00922BDF" w:rsidP="00922BD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AE67EA">
        <w:rPr>
          <w:rFonts w:ascii="Times New Roman" w:hAnsi="Times New Roman" w:cs="Times New Roman"/>
          <w:b/>
          <w:bCs/>
          <w:sz w:val="24"/>
        </w:rPr>
        <w:t xml:space="preserve">Panel B. 30-day ART </w:t>
      </w:r>
      <w:r w:rsidRPr="00AE67EA">
        <w:rPr>
          <w:rFonts w:ascii="Times New Roman" w:eastAsia="宋体" w:hAnsi="Times New Roman" w:cs="Times New Roman"/>
          <w:b/>
          <w:bCs/>
          <w:sz w:val="24"/>
        </w:rPr>
        <w:t>initiation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067"/>
        <w:gridCol w:w="666"/>
        <w:gridCol w:w="1329"/>
        <w:gridCol w:w="833"/>
        <w:gridCol w:w="822"/>
        <w:gridCol w:w="966"/>
      </w:tblGrid>
      <w:tr w:rsidR="00922BDF" w:rsidRPr="00AE67EA" w14:paraId="6105B88E" w14:textId="77777777" w:rsidTr="007B5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hideMark/>
          </w:tcPr>
          <w:p w14:paraId="32B2C39F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Bandwidth multiplier</w:t>
            </w:r>
          </w:p>
        </w:tc>
        <w:tc>
          <w:tcPr>
            <w:tcW w:w="0" w:type="auto"/>
            <w:hideMark/>
          </w:tcPr>
          <w:p w14:paraId="0F077D69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τ</w:t>
            </w:r>
          </w:p>
        </w:tc>
        <w:tc>
          <w:tcPr>
            <w:tcW w:w="0" w:type="auto"/>
            <w:hideMark/>
          </w:tcPr>
          <w:p w14:paraId="2D62E609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0" w:type="auto"/>
            <w:hideMark/>
          </w:tcPr>
          <w:p w14:paraId="461FA649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0" w:type="auto"/>
            <w:hideMark/>
          </w:tcPr>
          <w:p w14:paraId="473B0F24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N (left)</w:t>
            </w:r>
          </w:p>
        </w:tc>
        <w:tc>
          <w:tcPr>
            <w:tcW w:w="0" w:type="auto"/>
            <w:hideMark/>
          </w:tcPr>
          <w:p w14:paraId="3FC0C300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N (right)</w:t>
            </w:r>
          </w:p>
        </w:tc>
      </w:tr>
      <w:tr w:rsidR="00922BDF" w:rsidRPr="00AE67EA" w14:paraId="1ECB7AFF" w14:textId="77777777" w:rsidTr="007B5CD3">
        <w:trPr>
          <w:jc w:val="center"/>
        </w:trPr>
        <w:tc>
          <w:tcPr>
            <w:tcW w:w="0" w:type="auto"/>
            <w:hideMark/>
          </w:tcPr>
          <w:p w14:paraId="33860C75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0.6</w:t>
            </w:r>
          </w:p>
        </w:tc>
        <w:tc>
          <w:tcPr>
            <w:tcW w:w="0" w:type="auto"/>
            <w:hideMark/>
          </w:tcPr>
          <w:p w14:paraId="3898BB6C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0.196</w:t>
            </w:r>
          </w:p>
        </w:tc>
        <w:tc>
          <w:tcPr>
            <w:tcW w:w="0" w:type="auto"/>
            <w:hideMark/>
          </w:tcPr>
          <w:p w14:paraId="565AECAF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−0.043–0.436</w:t>
            </w:r>
          </w:p>
        </w:tc>
        <w:tc>
          <w:tcPr>
            <w:tcW w:w="0" w:type="auto"/>
            <w:hideMark/>
          </w:tcPr>
          <w:p w14:paraId="7936D63B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0.108</w:t>
            </w:r>
          </w:p>
        </w:tc>
        <w:tc>
          <w:tcPr>
            <w:tcW w:w="0" w:type="auto"/>
            <w:hideMark/>
          </w:tcPr>
          <w:p w14:paraId="47C57B69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71</w:t>
            </w:r>
          </w:p>
        </w:tc>
        <w:tc>
          <w:tcPr>
            <w:tcW w:w="0" w:type="auto"/>
            <w:hideMark/>
          </w:tcPr>
          <w:p w14:paraId="7E1C4D39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75</w:t>
            </w:r>
          </w:p>
        </w:tc>
      </w:tr>
      <w:tr w:rsidR="00922BDF" w:rsidRPr="00AE67EA" w14:paraId="12D9D4F3" w14:textId="77777777" w:rsidTr="007B5CD3">
        <w:trPr>
          <w:jc w:val="center"/>
        </w:trPr>
        <w:tc>
          <w:tcPr>
            <w:tcW w:w="0" w:type="auto"/>
            <w:hideMark/>
          </w:tcPr>
          <w:p w14:paraId="7F3A42B4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0.8</w:t>
            </w:r>
          </w:p>
        </w:tc>
        <w:tc>
          <w:tcPr>
            <w:tcW w:w="0" w:type="auto"/>
            <w:hideMark/>
          </w:tcPr>
          <w:p w14:paraId="791DEAD3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0.241</w:t>
            </w:r>
          </w:p>
        </w:tc>
        <w:tc>
          <w:tcPr>
            <w:tcW w:w="0" w:type="auto"/>
            <w:hideMark/>
          </w:tcPr>
          <w:p w14:paraId="0BC68F06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0.025–0.457</w:t>
            </w:r>
          </w:p>
        </w:tc>
        <w:tc>
          <w:tcPr>
            <w:tcW w:w="0" w:type="auto"/>
            <w:hideMark/>
          </w:tcPr>
          <w:p w14:paraId="5B69A215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0.028</w:t>
            </w:r>
          </w:p>
        </w:tc>
        <w:tc>
          <w:tcPr>
            <w:tcW w:w="0" w:type="auto"/>
            <w:hideMark/>
          </w:tcPr>
          <w:p w14:paraId="7E7BF5B6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112</w:t>
            </w:r>
          </w:p>
        </w:tc>
        <w:tc>
          <w:tcPr>
            <w:tcW w:w="0" w:type="auto"/>
            <w:hideMark/>
          </w:tcPr>
          <w:p w14:paraId="748E5182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98</w:t>
            </w:r>
          </w:p>
        </w:tc>
      </w:tr>
      <w:tr w:rsidR="00922BDF" w:rsidRPr="00AE67EA" w14:paraId="38B35094" w14:textId="77777777" w:rsidTr="007B5CD3">
        <w:trPr>
          <w:jc w:val="center"/>
        </w:trPr>
        <w:tc>
          <w:tcPr>
            <w:tcW w:w="0" w:type="auto"/>
            <w:hideMark/>
          </w:tcPr>
          <w:p w14:paraId="49CB3755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1.2</w:t>
            </w:r>
          </w:p>
        </w:tc>
        <w:tc>
          <w:tcPr>
            <w:tcW w:w="0" w:type="auto"/>
            <w:hideMark/>
          </w:tcPr>
          <w:p w14:paraId="1416958B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0.202</w:t>
            </w:r>
          </w:p>
        </w:tc>
        <w:tc>
          <w:tcPr>
            <w:tcW w:w="0" w:type="auto"/>
            <w:hideMark/>
          </w:tcPr>
          <w:p w14:paraId="4173AAEC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0.016–0.389</w:t>
            </w:r>
          </w:p>
        </w:tc>
        <w:tc>
          <w:tcPr>
            <w:tcW w:w="0" w:type="auto"/>
            <w:hideMark/>
          </w:tcPr>
          <w:p w14:paraId="0D70E6C5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0.033</w:t>
            </w:r>
          </w:p>
        </w:tc>
        <w:tc>
          <w:tcPr>
            <w:tcW w:w="0" w:type="auto"/>
            <w:hideMark/>
          </w:tcPr>
          <w:p w14:paraId="3F51CE89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172</w:t>
            </w:r>
          </w:p>
        </w:tc>
        <w:tc>
          <w:tcPr>
            <w:tcW w:w="0" w:type="auto"/>
            <w:hideMark/>
          </w:tcPr>
          <w:p w14:paraId="406D35BC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163</w:t>
            </w:r>
          </w:p>
        </w:tc>
      </w:tr>
      <w:tr w:rsidR="00922BDF" w:rsidRPr="00AE67EA" w14:paraId="71CFEC96" w14:textId="77777777" w:rsidTr="007B5CD3">
        <w:trPr>
          <w:jc w:val="center"/>
        </w:trPr>
        <w:tc>
          <w:tcPr>
            <w:tcW w:w="0" w:type="auto"/>
            <w:hideMark/>
          </w:tcPr>
          <w:p w14:paraId="52270B17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1.4</w:t>
            </w:r>
          </w:p>
        </w:tc>
        <w:tc>
          <w:tcPr>
            <w:tcW w:w="0" w:type="auto"/>
            <w:hideMark/>
          </w:tcPr>
          <w:p w14:paraId="3EE15C94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0.171</w:t>
            </w:r>
          </w:p>
        </w:tc>
        <w:tc>
          <w:tcPr>
            <w:tcW w:w="0" w:type="auto"/>
            <w:hideMark/>
          </w:tcPr>
          <w:p w14:paraId="66A970D5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-0.002–0.344</w:t>
            </w:r>
          </w:p>
        </w:tc>
        <w:tc>
          <w:tcPr>
            <w:tcW w:w="0" w:type="auto"/>
            <w:hideMark/>
          </w:tcPr>
          <w:p w14:paraId="0D5A77C5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0.089</w:t>
            </w:r>
          </w:p>
        </w:tc>
        <w:tc>
          <w:tcPr>
            <w:tcW w:w="0" w:type="auto"/>
            <w:hideMark/>
          </w:tcPr>
          <w:p w14:paraId="62B1729E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201</w:t>
            </w:r>
          </w:p>
        </w:tc>
        <w:tc>
          <w:tcPr>
            <w:tcW w:w="0" w:type="auto"/>
            <w:hideMark/>
          </w:tcPr>
          <w:p w14:paraId="4C86FE20" w14:textId="77777777" w:rsidR="00922BDF" w:rsidRPr="00AE67EA" w:rsidRDefault="00922BDF" w:rsidP="007B5CD3">
            <w:pPr>
              <w:spacing w:line="480" w:lineRule="auto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178</w:t>
            </w:r>
          </w:p>
        </w:tc>
      </w:tr>
    </w:tbl>
    <w:p w14:paraId="50B423F6" w14:textId="77777777" w:rsidR="00922BDF" w:rsidRPr="00AE67EA" w:rsidRDefault="00922BDF" w:rsidP="00922BDF">
      <w:pPr>
        <w:spacing w:line="480" w:lineRule="auto"/>
        <w:rPr>
          <w:rFonts w:ascii="Times New Roman" w:hAnsi="Times New Roman" w:cs="Times New Roman"/>
          <w:sz w:val="24"/>
        </w:rPr>
      </w:pPr>
      <w:r w:rsidRPr="00AE67EA">
        <w:rPr>
          <w:rFonts w:ascii="Times New Roman" w:hAnsi="Times New Roman" w:cs="Times New Roman"/>
          <w:sz w:val="24"/>
        </w:rPr>
        <w:t>Notes: Estimates are from local linear regression discontinuity models with triangular kernels. Bandwidths are expressed as multiples of the MSE-optimal bandwidth. τ denotes the estimated discontinuity at the cutoff.</w:t>
      </w:r>
    </w:p>
    <w:p w14:paraId="29D47CBE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5E08E7A7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58ADC042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7B7FF763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4C2A5A03" w14:textId="77777777" w:rsid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1EA111EA" w14:textId="77777777" w:rsidR="00922BDF" w:rsidRPr="00922BDF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14:paraId="57C25FD6" w14:textId="77777777" w:rsidR="00922BDF" w:rsidRPr="00915597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AE67EA">
        <w:rPr>
          <w:rFonts w:ascii="Times New Roman" w:hAnsi="Times New Roman" w:cs="Times New Roman"/>
          <w:b/>
          <w:bCs/>
          <w:sz w:val="24"/>
        </w:rPr>
        <w:lastRenderedPageBreak/>
        <w:t>Appendix Table S</w:t>
      </w:r>
      <w:r>
        <w:rPr>
          <w:rFonts w:ascii="Times New Roman" w:hAnsi="Times New Roman" w:cs="Times New Roman"/>
          <w:b/>
          <w:bCs/>
          <w:sz w:val="24"/>
        </w:rPr>
        <w:t>6</w:t>
      </w:r>
      <w:r w:rsidRPr="00AE67EA">
        <w:rPr>
          <w:rFonts w:ascii="Times New Roman" w:hAnsi="Times New Roman" w:cs="Times New Roman"/>
          <w:b/>
          <w:bCs/>
          <w:sz w:val="24"/>
        </w:rPr>
        <w:t xml:space="preserve">. </w:t>
      </w:r>
      <w:r w:rsidRPr="00C52BD9">
        <w:rPr>
          <w:rFonts w:ascii="Times New Roman" w:hAnsi="Times New Roman" w:cs="Times New Roman"/>
          <w:b/>
          <w:bCs/>
          <w:sz w:val="24"/>
        </w:rPr>
        <w:t>Estimated pre- and post-</w:t>
      </w:r>
      <w:r>
        <w:rPr>
          <w:rFonts w:ascii="Times New Roman" w:hAnsi="Times New Roman" w:cs="Times New Roman"/>
          <w:b/>
          <w:bCs/>
          <w:sz w:val="24"/>
        </w:rPr>
        <w:t>implementation</w:t>
      </w:r>
      <w:r w:rsidRPr="00C52BD9">
        <w:rPr>
          <w:rFonts w:ascii="Times New Roman" w:hAnsi="Times New Roman" w:cs="Times New Roman"/>
          <w:b/>
          <w:bCs/>
          <w:sz w:val="24"/>
        </w:rPr>
        <w:t xml:space="preserve"> ART initiation rates and risk differences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68"/>
        <w:gridCol w:w="1897"/>
        <w:gridCol w:w="1977"/>
        <w:gridCol w:w="1375"/>
        <w:gridCol w:w="783"/>
      </w:tblGrid>
      <w:tr w:rsidR="00922BDF" w:rsidRPr="00324BB1" w14:paraId="3E0707BA" w14:textId="77777777" w:rsidTr="007B5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8" w:type="dxa"/>
            <w:hideMark/>
          </w:tcPr>
          <w:p w14:paraId="56E37446" w14:textId="77777777" w:rsidR="00922BDF" w:rsidRPr="00324BB1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4"/>
              </w:rPr>
            </w:pPr>
            <w:r w:rsidRPr="00324BB1">
              <w:rPr>
                <w:rFonts w:cs="Times New Roman"/>
                <w:b/>
                <w:bCs/>
                <w:sz w:val="24"/>
              </w:rPr>
              <w:t>Outcome</w:t>
            </w:r>
          </w:p>
        </w:tc>
        <w:tc>
          <w:tcPr>
            <w:tcW w:w="1897" w:type="dxa"/>
            <w:hideMark/>
          </w:tcPr>
          <w:p w14:paraId="6EF091F8" w14:textId="77777777" w:rsidR="00922BDF" w:rsidRPr="00324BB1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4"/>
              </w:rPr>
            </w:pPr>
            <w:r w:rsidRPr="00324BB1">
              <w:rPr>
                <w:rFonts w:cs="Times New Roman"/>
                <w:b/>
                <w:bCs/>
                <w:sz w:val="24"/>
              </w:rPr>
              <w:t>Pre-implementation (95% CI)</w:t>
            </w:r>
          </w:p>
        </w:tc>
        <w:tc>
          <w:tcPr>
            <w:tcW w:w="0" w:type="auto"/>
            <w:hideMark/>
          </w:tcPr>
          <w:p w14:paraId="1E1CD08E" w14:textId="77777777" w:rsidR="00922BDF" w:rsidRPr="00324BB1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4"/>
              </w:rPr>
            </w:pPr>
            <w:r w:rsidRPr="00324BB1">
              <w:rPr>
                <w:rFonts w:cs="Times New Roman"/>
                <w:b/>
                <w:bCs/>
                <w:sz w:val="24"/>
              </w:rPr>
              <w:t>Post-implementation (95% CI)</w:t>
            </w:r>
          </w:p>
        </w:tc>
        <w:tc>
          <w:tcPr>
            <w:tcW w:w="0" w:type="auto"/>
            <w:hideMark/>
          </w:tcPr>
          <w:p w14:paraId="450A384C" w14:textId="77777777" w:rsidR="00922BDF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4"/>
              </w:rPr>
            </w:pPr>
            <w:r w:rsidRPr="00324BB1">
              <w:rPr>
                <w:rFonts w:cs="Times New Roman"/>
                <w:b/>
                <w:bCs/>
                <w:sz w:val="24"/>
              </w:rPr>
              <w:t>Risk Difference</w:t>
            </w:r>
          </w:p>
          <w:p w14:paraId="52799BFF" w14:textId="09B0C4B8" w:rsidR="00EB2CDA" w:rsidRPr="00324BB1" w:rsidRDefault="00EB2CDA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4"/>
              </w:rPr>
            </w:pPr>
            <w:r>
              <w:rPr>
                <w:rFonts w:cs="Times New Roman"/>
                <w:b/>
                <w:bCs/>
                <w:sz w:val="24"/>
              </w:rPr>
              <w:t>(95%CI)</w:t>
            </w:r>
          </w:p>
        </w:tc>
        <w:tc>
          <w:tcPr>
            <w:tcW w:w="0" w:type="auto"/>
            <w:hideMark/>
          </w:tcPr>
          <w:p w14:paraId="1E625942" w14:textId="77777777" w:rsidR="00922BDF" w:rsidRPr="00324BB1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4"/>
              </w:rPr>
            </w:pPr>
            <w:r w:rsidRPr="00324BB1">
              <w:rPr>
                <w:rFonts w:cs="Times New Roman"/>
                <w:b/>
                <w:bCs/>
                <w:sz w:val="24"/>
              </w:rPr>
              <w:t>p-value</w:t>
            </w:r>
          </w:p>
        </w:tc>
      </w:tr>
      <w:tr w:rsidR="00922BDF" w:rsidRPr="00324BB1" w14:paraId="246677AB" w14:textId="77777777" w:rsidTr="007B5CD3">
        <w:tc>
          <w:tcPr>
            <w:tcW w:w="2268" w:type="dxa"/>
            <w:hideMark/>
          </w:tcPr>
          <w:p w14:paraId="2EC040BD" w14:textId="77777777" w:rsidR="00922BDF" w:rsidRPr="00324BB1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4"/>
              </w:rPr>
            </w:pPr>
            <w:r w:rsidRPr="00324BB1">
              <w:rPr>
                <w:rFonts w:cs="Times New Roman"/>
                <w:b/>
                <w:bCs/>
                <w:sz w:val="24"/>
              </w:rPr>
              <w:t>Confirmatory within 7 days</w:t>
            </w:r>
          </w:p>
        </w:tc>
        <w:tc>
          <w:tcPr>
            <w:tcW w:w="1897" w:type="dxa"/>
            <w:hideMark/>
          </w:tcPr>
          <w:p w14:paraId="20806828" w14:textId="77777777" w:rsidR="00922BDF" w:rsidRPr="00915597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  <w:highlight w:val="red"/>
              </w:rPr>
            </w:pPr>
            <w:r w:rsidRPr="00937A6F">
              <w:rPr>
                <w:rFonts w:cs="Times New Roman"/>
                <w:sz w:val="24"/>
              </w:rPr>
              <w:t>70.6% (53.5%–87.6%)</w:t>
            </w:r>
          </w:p>
        </w:tc>
        <w:tc>
          <w:tcPr>
            <w:tcW w:w="0" w:type="auto"/>
            <w:hideMark/>
          </w:tcPr>
          <w:p w14:paraId="792883AB" w14:textId="77777777" w:rsidR="00922BDF" w:rsidRPr="00915597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  <w:highlight w:val="red"/>
              </w:rPr>
            </w:pPr>
            <w:r w:rsidRPr="00937A6F">
              <w:rPr>
                <w:rFonts w:cs="Times New Roman"/>
                <w:sz w:val="24"/>
              </w:rPr>
              <w:t>96.8% (79.8%–100%)</w:t>
            </w:r>
          </w:p>
        </w:tc>
        <w:tc>
          <w:tcPr>
            <w:tcW w:w="0" w:type="auto"/>
            <w:hideMark/>
          </w:tcPr>
          <w:p w14:paraId="22503FB8" w14:textId="17742A5D" w:rsidR="00EB2CDA" w:rsidRPr="00020E0C" w:rsidRDefault="00922BDF" w:rsidP="00EB2CDA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</w:rPr>
              <w:t>26.3%</w:t>
            </w:r>
            <w:r w:rsidR="00EB2CDA">
              <w:rPr>
                <w:rFonts w:cs="Times New Roman"/>
                <w:sz w:val="24"/>
              </w:rPr>
              <w:t xml:space="preserve"> (</w:t>
            </w:r>
            <w:r w:rsidR="00EB2CDA" w:rsidRPr="00514A41">
              <w:rPr>
                <w:rFonts w:cs="Times New Roman"/>
                <w:color w:val="000000" w:themeColor="text1"/>
                <w:sz w:val="24"/>
              </w:rPr>
              <w:t>0.0%–52.3%</w:t>
            </w:r>
            <w:r w:rsidR="00EB2CDA">
              <w:rPr>
                <w:rFonts w:cs="Times New Roman"/>
                <w:sz w:val="24"/>
              </w:rPr>
              <w:t>)</w:t>
            </w:r>
          </w:p>
        </w:tc>
        <w:tc>
          <w:tcPr>
            <w:tcW w:w="0" w:type="auto"/>
            <w:hideMark/>
          </w:tcPr>
          <w:p w14:paraId="7BA92E69" w14:textId="77777777" w:rsidR="00922BDF" w:rsidRPr="00020E0C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</w:rPr>
              <w:t>0.048</w:t>
            </w:r>
          </w:p>
        </w:tc>
      </w:tr>
      <w:tr w:rsidR="00922BDF" w:rsidRPr="00324BB1" w14:paraId="6DBACDE7" w14:textId="77777777" w:rsidTr="007B5CD3">
        <w:tc>
          <w:tcPr>
            <w:tcW w:w="2268" w:type="dxa"/>
            <w:hideMark/>
          </w:tcPr>
          <w:p w14:paraId="0A09A8D3" w14:textId="77777777" w:rsidR="00922BDF" w:rsidRPr="00324BB1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4"/>
              </w:rPr>
            </w:pPr>
            <w:r w:rsidRPr="00324BB1">
              <w:rPr>
                <w:rFonts w:cs="Times New Roman"/>
                <w:b/>
                <w:bCs/>
                <w:sz w:val="24"/>
              </w:rPr>
              <w:t xml:space="preserve">ART initiation within 7 days after confirmatory </w:t>
            </w:r>
          </w:p>
        </w:tc>
        <w:tc>
          <w:tcPr>
            <w:tcW w:w="1897" w:type="dxa"/>
            <w:hideMark/>
          </w:tcPr>
          <w:p w14:paraId="2F9E67FE" w14:textId="77777777" w:rsidR="00922BDF" w:rsidRPr="00020E0C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 w:rsidRPr="00020E0C">
              <w:rPr>
                <w:rFonts w:cs="Times New Roman"/>
                <w:sz w:val="24"/>
              </w:rPr>
              <w:t>14.4% (3.8%–25.1%)</w:t>
            </w:r>
          </w:p>
        </w:tc>
        <w:tc>
          <w:tcPr>
            <w:tcW w:w="0" w:type="auto"/>
            <w:hideMark/>
          </w:tcPr>
          <w:p w14:paraId="6B083DBC" w14:textId="3185A20A" w:rsidR="00922BDF" w:rsidRPr="00020E0C" w:rsidRDefault="00922BDF" w:rsidP="00417D9A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 w:rsidRPr="00020E0C">
              <w:rPr>
                <w:rFonts w:cs="Times New Roman"/>
                <w:sz w:val="24"/>
              </w:rPr>
              <w:t>45.4% (29.5%–61.3%)</w:t>
            </w:r>
          </w:p>
        </w:tc>
        <w:tc>
          <w:tcPr>
            <w:tcW w:w="0" w:type="auto"/>
            <w:hideMark/>
          </w:tcPr>
          <w:p w14:paraId="050A5C5D" w14:textId="77777777" w:rsidR="00922BDF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 w:rsidRPr="00020E0C">
              <w:rPr>
                <w:rFonts w:cs="Times New Roman"/>
                <w:sz w:val="24"/>
              </w:rPr>
              <w:t>31.0%</w:t>
            </w:r>
          </w:p>
          <w:p w14:paraId="3635338F" w14:textId="2FFA1C9C" w:rsidR="00EB2CDA" w:rsidRPr="00020E0C" w:rsidRDefault="00EB2CDA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(</w:t>
            </w:r>
            <w:bookmarkStart w:id="0" w:name="XLJ_TEMP_SELECTION"/>
            <w:r w:rsidRPr="00514A41">
              <w:rPr>
                <w:rFonts w:cs="Times New Roman" w:hint="eastAsia"/>
                <w:color w:val="000000" w:themeColor="text1"/>
                <w:sz w:val="24"/>
              </w:rPr>
              <w:t>4.3</w:t>
            </w:r>
            <w:r w:rsidRPr="00514A41">
              <w:rPr>
                <w:rFonts w:cs="Times New Roman"/>
                <w:color w:val="000000" w:themeColor="text1"/>
                <w:sz w:val="24"/>
              </w:rPr>
              <w:t>%–5</w:t>
            </w:r>
            <w:r w:rsidRPr="00514A41">
              <w:rPr>
                <w:rFonts w:cs="Times New Roman" w:hint="eastAsia"/>
                <w:color w:val="000000" w:themeColor="text1"/>
                <w:sz w:val="24"/>
              </w:rPr>
              <w:t>7.6</w:t>
            </w:r>
            <w:r w:rsidRPr="00514A41">
              <w:rPr>
                <w:rFonts w:cs="Times New Roman"/>
                <w:color w:val="000000" w:themeColor="text1"/>
                <w:sz w:val="24"/>
              </w:rPr>
              <w:t>%</w:t>
            </w:r>
            <w:bookmarkEnd w:id="0"/>
            <w:r>
              <w:rPr>
                <w:rFonts w:cs="Times New Roman"/>
                <w:sz w:val="24"/>
              </w:rPr>
              <w:t>)</w:t>
            </w:r>
          </w:p>
        </w:tc>
        <w:tc>
          <w:tcPr>
            <w:tcW w:w="0" w:type="auto"/>
            <w:hideMark/>
          </w:tcPr>
          <w:p w14:paraId="3207BBC2" w14:textId="77777777" w:rsidR="00922BDF" w:rsidRPr="00020E0C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</w:rPr>
              <w:t>0.023</w:t>
            </w:r>
          </w:p>
        </w:tc>
      </w:tr>
      <w:tr w:rsidR="00922BDF" w:rsidRPr="00324BB1" w14:paraId="2977BEE1" w14:textId="77777777" w:rsidTr="007B5CD3">
        <w:tc>
          <w:tcPr>
            <w:tcW w:w="2268" w:type="dxa"/>
            <w:hideMark/>
          </w:tcPr>
          <w:p w14:paraId="3279FB40" w14:textId="77777777" w:rsidR="00922BDF" w:rsidRPr="00324BB1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4"/>
              </w:rPr>
            </w:pPr>
            <w:r w:rsidRPr="00324BB1">
              <w:rPr>
                <w:rFonts w:cs="Times New Roman"/>
                <w:b/>
                <w:bCs/>
                <w:sz w:val="24"/>
              </w:rPr>
              <w:t>Confirmatory within 30 days</w:t>
            </w:r>
          </w:p>
        </w:tc>
        <w:tc>
          <w:tcPr>
            <w:tcW w:w="1897" w:type="dxa"/>
            <w:hideMark/>
          </w:tcPr>
          <w:p w14:paraId="0CA8821F" w14:textId="77777777" w:rsidR="00922BDF" w:rsidRPr="00020E0C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 w:rsidRPr="00020E0C">
              <w:rPr>
                <w:rFonts w:cs="Times New Roman"/>
                <w:sz w:val="24"/>
              </w:rPr>
              <w:t>93.8% (85.7%–100.0%)</w:t>
            </w:r>
          </w:p>
        </w:tc>
        <w:tc>
          <w:tcPr>
            <w:tcW w:w="0" w:type="auto"/>
            <w:hideMark/>
          </w:tcPr>
          <w:p w14:paraId="379497C2" w14:textId="77777777" w:rsidR="00922BDF" w:rsidRPr="00020E0C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 w:rsidRPr="00020E0C">
              <w:rPr>
                <w:rFonts w:cs="Times New Roman"/>
                <w:sz w:val="24"/>
              </w:rPr>
              <w:t>99.0% (93.3%–100.0%)</w:t>
            </w:r>
          </w:p>
        </w:tc>
        <w:tc>
          <w:tcPr>
            <w:tcW w:w="0" w:type="auto"/>
            <w:hideMark/>
          </w:tcPr>
          <w:p w14:paraId="1ED9C862" w14:textId="77777777" w:rsidR="00922BDF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 w:rsidRPr="00020E0C">
              <w:rPr>
                <w:rFonts w:cs="Times New Roman"/>
                <w:sz w:val="24"/>
              </w:rPr>
              <w:t>5.2%</w:t>
            </w:r>
          </w:p>
          <w:p w14:paraId="5A8EC5AA" w14:textId="1B479102" w:rsidR="00EB2CDA" w:rsidRPr="00020E0C" w:rsidRDefault="00EB2CDA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(-5.0%-12.7%)</w:t>
            </w:r>
          </w:p>
        </w:tc>
        <w:tc>
          <w:tcPr>
            <w:tcW w:w="0" w:type="auto"/>
            <w:hideMark/>
          </w:tcPr>
          <w:p w14:paraId="324202F2" w14:textId="77777777" w:rsidR="00922BDF" w:rsidRPr="00020E0C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</w:rPr>
              <w:t>0.390</w:t>
            </w:r>
          </w:p>
        </w:tc>
      </w:tr>
      <w:tr w:rsidR="00922BDF" w:rsidRPr="00324BB1" w14:paraId="5F7C0704" w14:textId="77777777" w:rsidTr="007B5CD3">
        <w:tc>
          <w:tcPr>
            <w:tcW w:w="2268" w:type="dxa"/>
            <w:hideMark/>
          </w:tcPr>
          <w:p w14:paraId="71E283B8" w14:textId="77777777" w:rsidR="00922BDF" w:rsidRPr="00324BB1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4"/>
              </w:rPr>
            </w:pPr>
            <w:r w:rsidRPr="00324BB1">
              <w:rPr>
                <w:rFonts w:cs="Times New Roman"/>
                <w:b/>
                <w:bCs/>
                <w:sz w:val="24"/>
              </w:rPr>
              <w:t xml:space="preserve">ART initiation within 30 days after confirmatory </w:t>
            </w:r>
          </w:p>
        </w:tc>
        <w:tc>
          <w:tcPr>
            <w:tcW w:w="1897" w:type="dxa"/>
            <w:hideMark/>
          </w:tcPr>
          <w:p w14:paraId="19E41CB6" w14:textId="77777777" w:rsidR="00922BDF" w:rsidRPr="00020E0C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 w:rsidRPr="00020E0C">
              <w:rPr>
                <w:rFonts w:cs="Times New Roman"/>
                <w:sz w:val="24"/>
              </w:rPr>
              <w:t>70.3% (58.7%–81.9%)</w:t>
            </w:r>
          </w:p>
        </w:tc>
        <w:tc>
          <w:tcPr>
            <w:tcW w:w="0" w:type="auto"/>
            <w:hideMark/>
          </w:tcPr>
          <w:p w14:paraId="5F2E3720" w14:textId="77777777" w:rsidR="00922BDF" w:rsidRPr="00020E0C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 w:rsidRPr="00020E0C">
              <w:rPr>
                <w:rFonts w:cs="Times New Roman"/>
                <w:sz w:val="24"/>
              </w:rPr>
              <w:t>93.6% (84.4%–100.0%)</w:t>
            </w:r>
          </w:p>
        </w:tc>
        <w:tc>
          <w:tcPr>
            <w:tcW w:w="0" w:type="auto"/>
            <w:hideMark/>
          </w:tcPr>
          <w:p w14:paraId="31C9212C" w14:textId="77777777" w:rsidR="00922BDF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 w:rsidRPr="00020E0C">
              <w:rPr>
                <w:rFonts w:cs="Times New Roman"/>
                <w:sz w:val="24"/>
              </w:rPr>
              <w:t>23.3%</w:t>
            </w:r>
          </w:p>
          <w:p w14:paraId="0B05ABA2" w14:textId="4AC25253" w:rsidR="00EB2CDA" w:rsidRPr="00020E0C" w:rsidRDefault="00EB2CDA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(</w:t>
            </w:r>
            <w:r>
              <w:rPr>
                <w:rFonts w:cs="Times New Roman" w:hint="eastAsia"/>
                <w:sz w:val="24"/>
              </w:rPr>
              <w:t>3.4</w:t>
            </w:r>
            <w:r w:rsidRPr="005B4BF0">
              <w:rPr>
                <w:rFonts w:cs="Times New Roman"/>
                <w:sz w:val="24"/>
              </w:rPr>
              <w:t>%–</w:t>
            </w:r>
            <w:r>
              <w:rPr>
                <w:rFonts w:cs="Times New Roman" w:hint="eastAsia"/>
                <w:sz w:val="24"/>
              </w:rPr>
              <w:t>43.2</w:t>
            </w:r>
            <w:r w:rsidRPr="005B4BF0">
              <w:rPr>
                <w:rFonts w:cs="Times New Roman"/>
                <w:sz w:val="24"/>
              </w:rPr>
              <w:t>%</w:t>
            </w:r>
            <w:r>
              <w:rPr>
                <w:rFonts w:cs="Times New Roman"/>
                <w:sz w:val="24"/>
              </w:rPr>
              <w:t>)</w:t>
            </w:r>
          </w:p>
        </w:tc>
        <w:tc>
          <w:tcPr>
            <w:tcW w:w="0" w:type="auto"/>
            <w:hideMark/>
          </w:tcPr>
          <w:p w14:paraId="739613A1" w14:textId="77777777" w:rsidR="00922BDF" w:rsidRPr="00020E0C" w:rsidRDefault="00922BDF" w:rsidP="007B5CD3">
            <w:pPr>
              <w:spacing w:line="480" w:lineRule="auto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 w:hint="eastAsia"/>
                <w:sz w:val="24"/>
              </w:rPr>
              <w:t>0.022</w:t>
            </w:r>
          </w:p>
        </w:tc>
      </w:tr>
    </w:tbl>
    <w:p w14:paraId="34260423" w14:textId="77777777" w:rsidR="00922BDF" w:rsidRPr="00C52BD9" w:rsidRDefault="00922BDF" w:rsidP="00922BDF">
      <w:pPr>
        <w:spacing w:line="480" w:lineRule="auto"/>
        <w:rPr>
          <w:rFonts w:ascii="Times New Roman" w:hAnsi="Times New Roman" w:cs="Times New Roman"/>
          <w:sz w:val="24"/>
        </w:rPr>
      </w:pPr>
      <w:r w:rsidRPr="00C52BD9">
        <w:rPr>
          <w:rFonts w:ascii="Times New Roman" w:hAnsi="Times New Roman" w:cs="Times New Roman"/>
          <w:sz w:val="24"/>
        </w:rPr>
        <w:t>Note: Values are percentages. Pre- and post-</w:t>
      </w:r>
      <w:r>
        <w:rPr>
          <w:rFonts w:ascii="Times New Roman" w:hAnsi="Times New Roman" w:cs="Times New Roman"/>
          <w:sz w:val="24"/>
        </w:rPr>
        <w:t>implementation</w:t>
      </w:r>
      <w:r w:rsidRPr="00C52BD9">
        <w:rPr>
          <w:rFonts w:ascii="Times New Roman" w:hAnsi="Times New Roman" w:cs="Times New Roman"/>
          <w:sz w:val="24"/>
        </w:rPr>
        <w:t xml:space="preserve"> estimates represent local outcome rates on either side of the cutoff. Risk differences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C52BD9">
        <w:rPr>
          <w:rFonts w:ascii="Times New Roman" w:hAnsi="Times New Roman" w:cs="Times New Roman"/>
          <w:sz w:val="24"/>
        </w:rPr>
        <w:t>and p-values were obtained from the main regression discontinuity analyses. Bandwidths are presented as left/right of the cutoff.</w:t>
      </w:r>
    </w:p>
    <w:p w14:paraId="05A05626" w14:textId="77777777" w:rsidR="00922BDF" w:rsidRDefault="00922BDF" w:rsidP="006E0678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1ECFD83C" w14:textId="77777777" w:rsidR="00922BDF" w:rsidRPr="00AE67EA" w:rsidRDefault="00922BDF" w:rsidP="00922BD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AE67EA">
        <w:rPr>
          <w:rFonts w:ascii="Times New Roman" w:hAnsi="Times New Roman" w:cs="Times New Roman"/>
          <w:b/>
          <w:bCs/>
          <w:sz w:val="24"/>
        </w:rPr>
        <w:lastRenderedPageBreak/>
        <w:t>Appendix Table S</w:t>
      </w:r>
      <w:r>
        <w:rPr>
          <w:rFonts w:ascii="Times New Roman" w:hAnsi="Times New Roman" w:cs="Times New Roman"/>
          <w:b/>
          <w:bCs/>
          <w:sz w:val="24"/>
        </w:rPr>
        <w:t>7</w:t>
      </w:r>
      <w:r w:rsidRPr="00AE67EA">
        <w:rPr>
          <w:rFonts w:ascii="Times New Roman" w:hAnsi="Times New Roman" w:cs="Times New Roman"/>
          <w:b/>
          <w:bCs/>
          <w:sz w:val="24"/>
        </w:rPr>
        <w:t>. Intraclass Correlation Coefficients (ICC) at the Hospital Level for Study Outcomes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994"/>
        <w:gridCol w:w="1973"/>
        <w:gridCol w:w="2073"/>
      </w:tblGrid>
      <w:tr w:rsidR="00922BDF" w:rsidRPr="00AE67EA" w14:paraId="036F599F" w14:textId="77777777" w:rsidTr="007B5C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hideMark/>
          </w:tcPr>
          <w:p w14:paraId="26A73AE2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0" w:type="auto"/>
            <w:hideMark/>
          </w:tcPr>
          <w:p w14:paraId="788AB5B5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7-day ART initiation</w:t>
            </w:r>
          </w:p>
        </w:tc>
        <w:tc>
          <w:tcPr>
            <w:tcW w:w="0" w:type="auto"/>
            <w:hideMark/>
          </w:tcPr>
          <w:p w14:paraId="7C69D723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AE67EA">
              <w:rPr>
                <w:rFonts w:cs="Times New Roman"/>
                <w:b/>
                <w:bCs/>
                <w:sz w:val="20"/>
                <w:szCs w:val="20"/>
              </w:rPr>
              <w:t>30-day ART initiation</w:t>
            </w:r>
          </w:p>
        </w:tc>
      </w:tr>
      <w:tr w:rsidR="00922BDF" w:rsidRPr="00AE67EA" w14:paraId="5F133747" w14:textId="77777777" w:rsidTr="007B5CD3">
        <w:trPr>
          <w:jc w:val="center"/>
        </w:trPr>
        <w:tc>
          <w:tcPr>
            <w:tcW w:w="0" w:type="auto"/>
            <w:hideMark/>
          </w:tcPr>
          <w:p w14:paraId="61CDDEA2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ICC</w:t>
            </w:r>
          </w:p>
        </w:tc>
        <w:tc>
          <w:tcPr>
            <w:tcW w:w="0" w:type="auto"/>
            <w:hideMark/>
          </w:tcPr>
          <w:p w14:paraId="31E2DDB2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0.143</w:t>
            </w:r>
          </w:p>
        </w:tc>
        <w:tc>
          <w:tcPr>
            <w:tcW w:w="0" w:type="auto"/>
            <w:hideMark/>
          </w:tcPr>
          <w:p w14:paraId="675FBE44" w14:textId="77777777" w:rsidR="00922BDF" w:rsidRPr="00AE67EA" w:rsidRDefault="00922BDF" w:rsidP="007B5CD3">
            <w:pPr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E67EA">
              <w:rPr>
                <w:rFonts w:cs="Times New Roman"/>
                <w:sz w:val="20"/>
                <w:szCs w:val="20"/>
              </w:rPr>
              <w:t>0.018</w:t>
            </w:r>
          </w:p>
        </w:tc>
      </w:tr>
    </w:tbl>
    <w:p w14:paraId="581B8916" w14:textId="7E65A530" w:rsidR="00710B2F" w:rsidRPr="006E0678" w:rsidRDefault="00922BDF" w:rsidP="00710B2F">
      <w:pPr>
        <w:spacing w:line="480" w:lineRule="auto"/>
        <w:rPr>
          <w:rFonts w:ascii="Times New Roman" w:hAnsi="Times New Roman" w:cs="Times New Roman"/>
          <w:sz w:val="24"/>
        </w:rPr>
      </w:pPr>
      <w:r w:rsidRPr="00AE67EA">
        <w:rPr>
          <w:rFonts w:ascii="Times New Roman" w:hAnsi="Times New Roman" w:cs="Times New Roman"/>
          <w:sz w:val="24"/>
        </w:rPr>
        <w:t>Notes: Intraclass correlation coefficients (ICCs) were estimated from empty mixed-effects logistic models with a random intercept for hospital. The ICC represents the proportion of total outcome variance attributable to between-hospital differences. All three outcomes showed low levels of hospital-level clustering (ICC &lt; 0.15), indicating minimal intra-hospital correlation. Therefore, hospital-level clustering was not explicitly accounted for in the main regression discontinuity analyses.</w:t>
      </w:r>
    </w:p>
    <w:sectPr w:rsidR="00710B2F" w:rsidRPr="006E0678" w:rsidSect="00973BF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-webkit-standard">
    <w:altName w:val="Cambria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96"/>
    <w:rsid w:val="00000AF8"/>
    <w:rsid w:val="00001824"/>
    <w:rsid w:val="00020E0C"/>
    <w:rsid w:val="000222E4"/>
    <w:rsid w:val="00022AFB"/>
    <w:rsid w:val="00036D9C"/>
    <w:rsid w:val="00046DA9"/>
    <w:rsid w:val="00050BE3"/>
    <w:rsid w:val="00056A7C"/>
    <w:rsid w:val="0006567B"/>
    <w:rsid w:val="0008155B"/>
    <w:rsid w:val="00087685"/>
    <w:rsid w:val="00087FD9"/>
    <w:rsid w:val="00090458"/>
    <w:rsid w:val="000B034A"/>
    <w:rsid w:val="000B1C24"/>
    <w:rsid w:val="000C4F1A"/>
    <w:rsid w:val="000D784C"/>
    <w:rsid w:val="000F3C2B"/>
    <w:rsid w:val="000F4BEF"/>
    <w:rsid w:val="000F5A64"/>
    <w:rsid w:val="00102E60"/>
    <w:rsid w:val="00103819"/>
    <w:rsid w:val="001053F7"/>
    <w:rsid w:val="00117A92"/>
    <w:rsid w:val="001204BD"/>
    <w:rsid w:val="001234B2"/>
    <w:rsid w:val="00126B2A"/>
    <w:rsid w:val="001321F0"/>
    <w:rsid w:val="0013282B"/>
    <w:rsid w:val="00133AB7"/>
    <w:rsid w:val="00140DD0"/>
    <w:rsid w:val="001418E3"/>
    <w:rsid w:val="001422D9"/>
    <w:rsid w:val="00157D4B"/>
    <w:rsid w:val="00163E44"/>
    <w:rsid w:val="00164A8D"/>
    <w:rsid w:val="00171C6B"/>
    <w:rsid w:val="00181ED5"/>
    <w:rsid w:val="00183766"/>
    <w:rsid w:val="00184A40"/>
    <w:rsid w:val="001919AD"/>
    <w:rsid w:val="00192F3A"/>
    <w:rsid w:val="001A0D7C"/>
    <w:rsid w:val="001B2DF6"/>
    <w:rsid w:val="001C507A"/>
    <w:rsid w:val="001D1020"/>
    <w:rsid w:val="001D600B"/>
    <w:rsid w:val="001D7DE1"/>
    <w:rsid w:val="002050F0"/>
    <w:rsid w:val="00205FE8"/>
    <w:rsid w:val="00221D92"/>
    <w:rsid w:val="00230A0D"/>
    <w:rsid w:val="00242B17"/>
    <w:rsid w:val="0024557D"/>
    <w:rsid w:val="00247FBA"/>
    <w:rsid w:val="00272226"/>
    <w:rsid w:val="0027477D"/>
    <w:rsid w:val="00275AAB"/>
    <w:rsid w:val="00283131"/>
    <w:rsid w:val="002853CE"/>
    <w:rsid w:val="002876FF"/>
    <w:rsid w:val="00287F03"/>
    <w:rsid w:val="002A031C"/>
    <w:rsid w:val="002A56DC"/>
    <w:rsid w:val="002A73AA"/>
    <w:rsid w:val="002A7479"/>
    <w:rsid w:val="002B04F8"/>
    <w:rsid w:val="002B7566"/>
    <w:rsid w:val="002C7528"/>
    <w:rsid w:val="002D4978"/>
    <w:rsid w:val="002D7C14"/>
    <w:rsid w:val="002E163F"/>
    <w:rsid w:val="002F5A1C"/>
    <w:rsid w:val="002F6DB4"/>
    <w:rsid w:val="002F7CBC"/>
    <w:rsid w:val="00300BEA"/>
    <w:rsid w:val="00305E4D"/>
    <w:rsid w:val="00320F6A"/>
    <w:rsid w:val="00324BB1"/>
    <w:rsid w:val="003279D9"/>
    <w:rsid w:val="00330951"/>
    <w:rsid w:val="00333001"/>
    <w:rsid w:val="00336A21"/>
    <w:rsid w:val="00342A7B"/>
    <w:rsid w:val="003445AC"/>
    <w:rsid w:val="003553CE"/>
    <w:rsid w:val="00356A67"/>
    <w:rsid w:val="003620E8"/>
    <w:rsid w:val="00367880"/>
    <w:rsid w:val="00367E1A"/>
    <w:rsid w:val="00374FA4"/>
    <w:rsid w:val="0037602A"/>
    <w:rsid w:val="0037688B"/>
    <w:rsid w:val="00376C6A"/>
    <w:rsid w:val="00381F1E"/>
    <w:rsid w:val="00385270"/>
    <w:rsid w:val="003869DF"/>
    <w:rsid w:val="00390AFC"/>
    <w:rsid w:val="00397C88"/>
    <w:rsid w:val="003B282D"/>
    <w:rsid w:val="003B382F"/>
    <w:rsid w:val="003B3DC4"/>
    <w:rsid w:val="003B4EB7"/>
    <w:rsid w:val="003B5BFE"/>
    <w:rsid w:val="003C698C"/>
    <w:rsid w:val="003F0A5E"/>
    <w:rsid w:val="003F1CFA"/>
    <w:rsid w:val="003F2D16"/>
    <w:rsid w:val="004021E3"/>
    <w:rsid w:val="00402FB3"/>
    <w:rsid w:val="00405C72"/>
    <w:rsid w:val="00413F14"/>
    <w:rsid w:val="00417D9A"/>
    <w:rsid w:val="0042218D"/>
    <w:rsid w:val="004257AA"/>
    <w:rsid w:val="00426BBC"/>
    <w:rsid w:val="004454AE"/>
    <w:rsid w:val="00451BD8"/>
    <w:rsid w:val="0045529F"/>
    <w:rsid w:val="00470569"/>
    <w:rsid w:val="004738A3"/>
    <w:rsid w:val="00481E44"/>
    <w:rsid w:val="00481F0E"/>
    <w:rsid w:val="00482202"/>
    <w:rsid w:val="00482D9A"/>
    <w:rsid w:val="00492EA4"/>
    <w:rsid w:val="00495BE0"/>
    <w:rsid w:val="0049629E"/>
    <w:rsid w:val="004968DE"/>
    <w:rsid w:val="00497AE2"/>
    <w:rsid w:val="004A6E40"/>
    <w:rsid w:val="004B1815"/>
    <w:rsid w:val="004C1FC5"/>
    <w:rsid w:val="004D21F2"/>
    <w:rsid w:val="004E440F"/>
    <w:rsid w:val="00502B32"/>
    <w:rsid w:val="005034F8"/>
    <w:rsid w:val="005044E6"/>
    <w:rsid w:val="00505A2A"/>
    <w:rsid w:val="00506C10"/>
    <w:rsid w:val="00512531"/>
    <w:rsid w:val="00515C39"/>
    <w:rsid w:val="0052321B"/>
    <w:rsid w:val="005235A2"/>
    <w:rsid w:val="0052488C"/>
    <w:rsid w:val="00527381"/>
    <w:rsid w:val="00527A21"/>
    <w:rsid w:val="00527B16"/>
    <w:rsid w:val="005311A9"/>
    <w:rsid w:val="0054581B"/>
    <w:rsid w:val="0054605C"/>
    <w:rsid w:val="0055385E"/>
    <w:rsid w:val="00556009"/>
    <w:rsid w:val="005579A7"/>
    <w:rsid w:val="005600B8"/>
    <w:rsid w:val="00566164"/>
    <w:rsid w:val="005672EE"/>
    <w:rsid w:val="005769D8"/>
    <w:rsid w:val="00580763"/>
    <w:rsid w:val="005928A3"/>
    <w:rsid w:val="005934D6"/>
    <w:rsid w:val="00597DBD"/>
    <w:rsid w:val="005A1F14"/>
    <w:rsid w:val="005B1197"/>
    <w:rsid w:val="005B1F6E"/>
    <w:rsid w:val="005C066C"/>
    <w:rsid w:val="005C0D65"/>
    <w:rsid w:val="005C16B1"/>
    <w:rsid w:val="005D1F91"/>
    <w:rsid w:val="005D29C7"/>
    <w:rsid w:val="005E0E68"/>
    <w:rsid w:val="005E115E"/>
    <w:rsid w:val="005E1E1A"/>
    <w:rsid w:val="005E272D"/>
    <w:rsid w:val="005F4615"/>
    <w:rsid w:val="005F67EA"/>
    <w:rsid w:val="00602204"/>
    <w:rsid w:val="00607558"/>
    <w:rsid w:val="00612788"/>
    <w:rsid w:val="00615CE6"/>
    <w:rsid w:val="00617A4E"/>
    <w:rsid w:val="00621A16"/>
    <w:rsid w:val="00625E94"/>
    <w:rsid w:val="00630595"/>
    <w:rsid w:val="00633186"/>
    <w:rsid w:val="006367F9"/>
    <w:rsid w:val="00640A95"/>
    <w:rsid w:val="006538F3"/>
    <w:rsid w:val="006543B7"/>
    <w:rsid w:val="006553BA"/>
    <w:rsid w:val="006658B3"/>
    <w:rsid w:val="00671388"/>
    <w:rsid w:val="00674285"/>
    <w:rsid w:val="006744F7"/>
    <w:rsid w:val="00680668"/>
    <w:rsid w:val="0069235E"/>
    <w:rsid w:val="00693757"/>
    <w:rsid w:val="00694DC3"/>
    <w:rsid w:val="006C55B5"/>
    <w:rsid w:val="006C7211"/>
    <w:rsid w:val="006C7213"/>
    <w:rsid w:val="006E0678"/>
    <w:rsid w:val="006E76AC"/>
    <w:rsid w:val="00703621"/>
    <w:rsid w:val="00705EA7"/>
    <w:rsid w:val="00710B2F"/>
    <w:rsid w:val="00711C41"/>
    <w:rsid w:val="007148DB"/>
    <w:rsid w:val="00720711"/>
    <w:rsid w:val="00734CA9"/>
    <w:rsid w:val="00736F13"/>
    <w:rsid w:val="007566A0"/>
    <w:rsid w:val="007637A4"/>
    <w:rsid w:val="007761E8"/>
    <w:rsid w:val="00776CEE"/>
    <w:rsid w:val="00783F4A"/>
    <w:rsid w:val="007A1504"/>
    <w:rsid w:val="007A3196"/>
    <w:rsid w:val="007B08AE"/>
    <w:rsid w:val="007B4C7E"/>
    <w:rsid w:val="007B54EF"/>
    <w:rsid w:val="007C0BE4"/>
    <w:rsid w:val="007C10F6"/>
    <w:rsid w:val="007D5160"/>
    <w:rsid w:val="007D5F0A"/>
    <w:rsid w:val="007E48F0"/>
    <w:rsid w:val="007E7772"/>
    <w:rsid w:val="0080230C"/>
    <w:rsid w:val="008057F9"/>
    <w:rsid w:val="00806EBF"/>
    <w:rsid w:val="00812ED7"/>
    <w:rsid w:val="008176C9"/>
    <w:rsid w:val="00822D8B"/>
    <w:rsid w:val="0082679E"/>
    <w:rsid w:val="00834230"/>
    <w:rsid w:val="00841237"/>
    <w:rsid w:val="0084123B"/>
    <w:rsid w:val="0085273B"/>
    <w:rsid w:val="008646E2"/>
    <w:rsid w:val="0086759C"/>
    <w:rsid w:val="008677FA"/>
    <w:rsid w:val="00873381"/>
    <w:rsid w:val="008804CB"/>
    <w:rsid w:val="00881051"/>
    <w:rsid w:val="00881915"/>
    <w:rsid w:val="00884DF8"/>
    <w:rsid w:val="00885EB6"/>
    <w:rsid w:val="00893ACE"/>
    <w:rsid w:val="00897A85"/>
    <w:rsid w:val="008A367F"/>
    <w:rsid w:val="008B2A2D"/>
    <w:rsid w:val="008B72C9"/>
    <w:rsid w:val="008C55E4"/>
    <w:rsid w:val="008C699D"/>
    <w:rsid w:val="008D29C2"/>
    <w:rsid w:val="008D30B4"/>
    <w:rsid w:val="008E09A0"/>
    <w:rsid w:val="008E685C"/>
    <w:rsid w:val="008F3164"/>
    <w:rsid w:val="008F6993"/>
    <w:rsid w:val="00904BC3"/>
    <w:rsid w:val="00904F7F"/>
    <w:rsid w:val="00915597"/>
    <w:rsid w:val="00922BDF"/>
    <w:rsid w:val="00931CB4"/>
    <w:rsid w:val="00931EE4"/>
    <w:rsid w:val="00937A6F"/>
    <w:rsid w:val="009516FB"/>
    <w:rsid w:val="00954121"/>
    <w:rsid w:val="0095625E"/>
    <w:rsid w:val="009566D5"/>
    <w:rsid w:val="00962C83"/>
    <w:rsid w:val="00963BAE"/>
    <w:rsid w:val="00964D27"/>
    <w:rsid w:val="00965F35"/>
    <w:rsid w:val="009715D1"/>
    <w:rsid w:val="009719E4"/>
    <w:rsid w:val="00972CC1"/>
    <w:rsid w:val="00973BF2"/>
    <w:rsid w:val="00983D14"/>
    <w:rsid w:val="00992A26"/>
    <w:rsid w:val="0099393B"/>
    <w:rsid w:val="00994C4B"/>
    <w:rsid w:val="00995236"/>
    <w:rsid w:val="009976F2"/>
    <w:rsid w:val="009A4F1B"/>
    <w:rsid w:val="009B0F22"/>
    <w:rsid w:val="009B18A6"/>
    <w:rsid w:val="009B4356"/>
    <w:rsid w:val="009B7D5E"/>
    <w:rsid w:val="009B7F6A"/>
    <w:rsid w:val="009C7990"/>
    <w:rsid w:val="009D105A"/>
    <w:rsid w:val="009D47E1"/>
    <w:rsid w:val="009E0137"/>
    <w:rsid w:val="009F6FB6"/>
    <w:rsid w:val="00A013F1"/>
    <w:rsid w:val="00A014ED"/>
    <w:rsid w:val="00A015C9"/>
    <w:rsid w:val="00A06679"/>
    <w:rsid w:val="00A1060D"/>
    <w:rsid w:val="00A2479E"/>
    <w:rsid w:val="00A26AFF"/>
    <w:rsid w:val="00A26C27"/>
    <w:rsid w:val="00A27ECC"/>
    <w:rsid w:val="00A30211"/>
    <w:rsid w:val="00A34BB7"/>
    <w:rsid w:val="00A43CB3"/>
    <w:rsid w:val="00A456F8"/>
    <w:rsid w:val="00A45EBC"/>
    <w:rsid w:val="00A470E0"/>
    <w:rsid w:val="00A4770B"/>
    <w:rsid w:val="00A570D6"/>
    <w:rsid w:val="00A70C45"/>
    <w:rsid w:val="00A73E71"/>
    <w:rsid w:val="00A748A0"/>
    <w:rsid w:val="00A86108"/>
    <w:rsid w:val="00A9094A"/>
    <w:rsid w:val="00A94A7F"/>
    <w:rsid w:val="00A94D8A"/>
    <w:rsid w:val="00AA7EDB"/>
    <w:rsid w:val="00AB141E"/>
    <w:rsid w:val="00AC0DBF"/>
    <w:rsid w:val="00AC66F3"/>
    <w:rsid w:val="00AD379F"/>
    <w:rsid w:val="00AE1F77"/>
    <w:rsid w:val="00AE5FB8"/>
    <w:rsid w:val="00AE67EA"/>
    <w:rsid w:val="00AF603E"/>
    <w:rsid w:val="00AF6718"/>
    <w:rsid w:val="00B111BE"/>
    <w:rsid w:val="00B26656"/>
    <w:rsid w:val="00B370EF"/>
    <w:rsid w:val="00B51D0E"/>
    <w:rsid w:val="00B54965"/>
    <w:rsid w:val="00B65C34"/>
    <w:rsid w:val="00B717FB"/>
    <w:rsid w:val="00B8568B"/>
    <w:rsid w:val="00B87611"/>
    <w:rsid w:val="00B9599A"/>
    <w:rsid w:val="00B96980"/>
    <w:rsid w:val="00BA07F0"/>
    <w:rsid w:val="00BA2C0B"/>
    <w:rsid w:val="00BB0DA8"/>
    <w:rsid w:val="00BB5175"/>
    <w:rsid w:val="00BC1557"/>
    <w:rsid w:val="00BC3A5A"/>
    <w:rsid w:val="00BD63A5"/>
    <w:rsid w:val="00BE39A2"/>
    <w:rsid w:val="00BF0D03"/>
    <w:rsid w:val="00C13340"/>
    <w:rsid w:val="00C1337D"/>
    <w:rsid w:val="00C13953"/>
    <w:rsid w:val="00C251D1"/>
    <w:rsid w:val="00C255C7"/>
    <w:rsid w:val="00C341DA"/>
    <w:rsid w:val="00C343AD"/>
    <w:rsid w:val="00C344D2"/>
    <w:rsid w:val="00C4009B"/>
    <w:rsid w:val="00C51C2A"/>
    <w:rsid w:val="00C53D36"/>
    <w:rsid w:val="00C5432B"/>
    <w:rsid w:val="00C57F26"/>
    <w:rsid w:val="00C6453A"/>
    <w:rsid w:val="00C65AD9"/>
    <w:rsid w:val="00C66F53"/>
    <w:rsid w:val="00C734F5"/>
    <w:rsid w:val="00C75743"/>
    <w:rsid w:val="00C7644B"/>
    <w:rsid w:val="00C7762B"/>
    <w:rsid w:val="00C81495"/>
    <w:rsid w:val="00C84322"/>
    <w:rsid w:val="00C923B0"/>
    <w:rsid w:val="00CA27A0"/>
    <w:rsid w:val="00CA5C18"/>
    <w:rsid w:val="00CA69B7"/>
    <w:rsid w:val="00CA6A2B"/>
    <w:rsid w:val="00CB00E7"/>
    <w:rsid w:val="00CC3521"/>
    <w:rsid w:val="00CC58CA"/>
    <w:rsid w:val="00CD2378"/>
    <w:rsid w:val="00CE11CF"/>
    <w:rsid w:val="00CE1A05"/>
    <w:rsid w:val="00CE2051"/>
    <w:rsid w:val="00CE2564"/>
    <w:rsid w:val="00CE3590"/>
    <w:rsid w:val="00CF4A26"/>
    <w:rsid w:val="00D02ACB"/>
    <w:rsid w:val="00D030EB"/>
    <w:rsid w:val="00D0451D"/>
    <w:rsid w:val="00D06F60"/>
    <w:rsid w:val="00D07414"/>
    <w:rsid w:val="00D14F30"/>
    <w:rsid w:val="00D3097A"/>
    <w:rsid w:val="00D31480"/>
    <w:rsid w:val="00D34D76"/>
    <w:rsid w:val="00D47DC8"/>
    <w:rsid w:val="00D5092A"/>
    <w:rsid w:val="00D5506E"/>
    <w:rsid w:val="00D55A93"/>
    <w:rsid w:val="00D6595B"/>
    <w:rsid w:val="00D71FFE"/>
    <w:rsid w:val="00D726F1"/>
    <w:rsid w:val="00D757B3"/>
    <w:rsid w:val="00D95FCE"/>
    <w:rsid w:val="00DA0F0D"/>
    <w:rsid w:val="00DA32C0"/>
    <w:rsid w:val="00DA6553"/>
    <w:rsid w:val="00DA67E0"/>
    <w:rsid w:val="00DB2951"/>
    <w:rsid w:val="00DD45D8"/>
    <w:rsid w:val="00DD58E2"/>
    <w:rsid w:val="00DE6650"/>
    <w:rsid w:val="00DF3FB2"/>
    <w:rsid w:val="00DF5BC4"/>
    <w:rsid w:val="00DF62C0"/>
    <w:rsid w:val="00E153C2"/>
    <w:rsid w:val="00E178C8"/>
    <w:rsid w:val="00E20479"/>
    <w:rsid w:val="00E454C4"/>
    <w:rsid w:val="00E47F9F"/>
    <w:rsid w:val="00E537AD"/>
    <w:rsid w:val="00E54BF3"/>
    <w:rsid w:val="00E55646"/>
    <w:rsid w:val="00E63AD8"/>
    <w:rsid w:val="00E673D7"/>
    <w:rsid w:val="00E724F0"/>
    <w:rsid w:val="00E72A36"/>
    <w:rsid w:val="00E7670D"/>
    <w:rsid w:val="00E80AC2"/>
    <w:rsid w:val="00E86F2F"/>
    <w:rsid w:val="00E90527"/>
    <w:rsid w:val="00E95BA5"/>
    <w:rsid w:val="00EA4DA0"/>
    <w:rsid w:val="00EB2CDA"/>
    <w:rsid w:val="00EC0037"/>
    <w:rsid w:val="00EC3734"/>
    <w:rsid w:val="00EC678A"/>
    <w:rsid w:val="00ED0B22"/>
    <w:rsid w:val="00ED0CD0"/>
    <w:rsid w:val="00ED2207"/>
    <w:rsid w:val="00ED4CC7"/>
    <w:rsid w:val="00ED5357"/>
    <w:rsid w:val="00ED60AC"/>
    <w:rsid w:val="00EE1CB7"/>
    <w:rsid w:val="00F05649"/>
    <w:rsid w:val="00F12DB2"/>
    <w:rsid w:val="00F13103"/>
    <w:rsid w:val="00F174ED"/>
    <w:rsid w:val="00F33403"/>
    <w:rsid w:val="00F46D89"/>
    <w:rsid w:val="00F47188"/>
    <w:rsid w:val="00F55CD9"/>
    <w:rsid w:val="00F8489D"/>
    <w:rsid w:val="00F92276"/>
    <w:rsid w:val="00FA24CE"/>
    <w:rsid w:val="00FB345D"/>
    <w:rsid w:val="00FC06B8"/>
    <w:rsid w:val="00FC2A32"/>
    <w:rsid w:val="00FC2CCF"/>
    <w:rsid w:val="00FD0396"/>
    <w:rsid w:val="00FD1659"/>
    <w:rsid w:val="00FD33E8"/>
    <w:rsid w:val="00FD4274"/>
    <w:rsid w:val="00FD6B7A"/>
    <w:rsid w:val="00FE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A3C6B"/>
  <w15:chartTrackingRefBased/>
  <w15:docId w15:val="{B8D0863B-F598-1945-8739-57AC11AD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319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3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31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319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319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3196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319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319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319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1">
    <w:name w:val="z正文1"/>
    <w:basedOn w:val="a"/>
    <w:next w:val="a"/>
    <w:qFormat/>
    <w:rsid w:val="004A6E40"/>
    <w:pPr>
      <w:spacing w:before="240" w:after="240" w:line="360" w:lineRule="auto"/>
      <w:ind w:firstLineChars="200" w:firstLine="200"/>
    </w:pPr>
    <w:rPr>
      <w:rFonts w:eastAsia="宋体"/>
      <w:sz w:val="24"/>
    </w:rPr>
  </w:style>
  <w:style w:type="paragraph" w:customStyle="1" w:styleId="a3">
    <w:name w:val="总标题"/>
    <w:basedOn w:val="a4"/>
    <w:autoRedefine/>
    <w:qFormat/>
    <w:rsid w:val="003620E8"/>
    <w:rPr>
      <w:rFonts w:ascii="宋体" w:eastAsia="宋体" w:hAnsi="宋体"/>
      <w:b/>
      <w:bCs/>
      <w:sz w:val="36"/>
      <w:szCs w:val="36"/>
    </w:rPr>
  </w:style>
  <w:style w:type="paragraph" w:styleId="a4">
    <w:name w:val="Title"/>
    <w:basedOn w:val="a"/>
    <w:next w:val="a"/>
    <w:link w:val="a5"/>
    <w:uiPriority w:val="10"/>
    <w:qFormat/>
    <w:rsid w:val="003620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362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sid w:val="007A319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31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31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319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319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319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319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319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3196"/>
    <w:rPr>
      <w:rFonts w:eastAsiaTheme="majorEastAsia" w:cstheme="majorBidi"/>
      <w:color w:val="595959" w:themeColor="text1" w:themeTint="A6"/>
    </w:rPr>
  </w:style>
  <w:style w:type="paragraph" w:styleId="a6">
    <w:name w:val="Subtitle"/>
    <w:basedOn w:val="a"/>
    <w:next w:val="a"/>
    <w:link w:val="a7"/>
    <w:uiPriority w:val="11"/>
    <w:qFormat/>
    <w:rsid w:val="007A319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7A31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7A31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7A3196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7A319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7A3196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A31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7A3196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7A3196"/>
    <w:rPr>
      <w:b/>
      <w:bCs/>
      <w:smallCaps/>
      <w:color w:val="2F5496" w:themeColor="accent1" w:themeShade="BF"/>
      <w:spacing w:val="5"/>
    </w:rPr>
  </w:style>
  <w:style w:type="table" w:styleId="af">
    <w:name w:val="Table Grid"/>
    <w:basedOn w:val="a1"/>
    <w:uiPriority w:val="39"/>
    <w:rsid w:val="00050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1">
    <w:name w:val="Plain Table 3"/>
    <w:basedOn w:val="a1"/>
    <w:uiPriority w:val="43"/>
    <w:rsid w:val="00FD427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f0">
    <w:name w:val="三线表"/>
    <w:basedOn w:val="a1"/>
    <w:uiPriority w:val="99"/>
    <w:rsid w:val="00FD4274"/>
    <w:rPr>
      <w:rFonts w:ascii="Times New Roman" w:eastAsia="宋体" w:hAnsi="Times New Roman"/>
    </w:rPr>
    <w:tblPr>
      <w:tblBorders>
        <w:top w:val="single" w:sz="12" w:space="0" w:color="000000" w:themeColor="text1"/>
        <w:bottom w:val="single" w:sz="12" w:space="0" w:color="000000" w:themeColor="text1"/>
      </w:tblBorders>
    </w:tblPr>
    <w:tblStylePr w:type="firstRow">
      <w:pPr>
        <w:jc w:val="center"/>
      </w:pPr>
      <w:tblPr/>
      <w:tcPr>
        <w:tcBorders>
          <w:top w:val="single" w:sz="12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af1">
    <w:name w:val="Strong"/>
    <w:basedOn w:val="a0"/>
    <w:uiPriority w:val="22"/>
    <w:qFormat/>
    <w:rsid w:val="00615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3449</TotalTime>
  <Pages>10</Pages>
  <Words>933</Words>
  <Characters>5323</Characters>
  <Application>Microsoft Office Word</Application>
  <DocSecurity>0</DocSecurity>
  <Lines>44</Lines>
  <Paragraphs>12</Paragraphs>
  <ScaleCrop>false</ScaleCrop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梦尧 朱</dc:creator>
  <cp:keywords/>
  <dc:description/>
  <cp:lastModifiedBy>梦尧 朱</cp:lastModifiedBy>
  <cp:revision>15</cp:revision>
  <dcterms:created xsi:type="dcterms:W3CDTF">2026-01-23T08:51:00Z</dcterms:created>
  <dcterms:modified xsi:type="dcterms:W3CDTF">2026-07-21T14:20:00Z</dcterms:modified>
</cp:coreProperties>
</file>