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F86D88">
        <w:rPr>
          <w:rFonts w:ascii="Times New Roman" w:hAnsi="Times New Roman" w:cs="Times New Roman"/>
          <w:b/>
          <w:bCs/>
          <w:sz w:val="24"/>
          <w:szCs w:val="24"/>
        </w:rPr>
        <w:t>Factor structure of Ar-eHEALS among Egyptian sample</w:t>
      </w:r>
    </w:p>
    <w:tbl>
      <w:tblPr>
        <w:tblW w:w="43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030"/>
        <w:gridCol w:w="1445"/>
        <w:gridCol w:w="1184"/>
      </w:tblGrid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bookmarkEnd w:id="0"/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86D88">
              <w:rPr>
                <w:rFonts w:ascii="Arial" w:hAnsi="Arial" w:cs="Arial"/>
                <w:b/>
                <w:bCs/>
                <w:color w:val="010205"/>
              </w:rPr>
              <w:t>Descriptive Statistics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18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Analysis N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3.27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.858</w:t>
            </w:r>
          </w:p>
        </w:tc>
        <w:tc>
          <w:tcPr>
            <w:tcW w:w="118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532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Q2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3.46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.832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532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Q3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3.53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.826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532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Q4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3.63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.887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532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Q5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3.61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.837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532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Q6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3.40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.902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532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Q7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3.41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.886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532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Q8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3.42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.910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532</w:t>
            </w:r>
          </w:p>
        </w:tc>
      </w:tr>
    </w:tbl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2"/>
        <w:gridCol w:w="2352"/>
        <w:gridCol w:w="1105"/>
      </w:tblGrid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86D88">
              <w:rPr>
                <w:rFonts w:ascii="Arial" w:hAnsi="Arial" w:cs="Arial"/>
                <w:b/>
                <w:bCs/>
                <w:color w:val="010205"/>
              </w:rPr>
              <w:t>KMO and Bartlett's Test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42" w:type="dxa"/>
            <w:gridSpan w:val="2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Kaiser-Meyer-</w:t>
            </w:r>
            <w:proofErr w:type="spellStart"/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Olkin</w:t>
            </w:r>
            <w:proofErr w:type="spellEnd"/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Measure of Sampling Adequacy.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.916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91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Bartlett's Test of </w:t>
            </w:r>
            <w:proofErr w:type="spellStart"/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Sphericity</w:t>
            </w:r>
            <w:proofErr w:type="spellEnd"/>
          </w:p>
        </w:tc>
        <w:tc>
          <w:tcPr>
            <w:tcW w:w="23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Approx. Chi-Square</w:t>
            </w: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2165.183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9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28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9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</w:tr>
    </w:tbl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030"/>
        <w:gridCol w:w="1107"/>
      </w:tblGrid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86D88">
              <w:rPr>
                <w:rFonts w:ascii="Arial" w:hAnsi="Arial" w:cs="Arial"/>
                <w:b/>
                <w:bCs/>
                <w:color w:val="010205"/>
              </w:rPr>
              <w:t>Communalities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Initial</w:t>
            </w:r>
          </w:p>
        </w:tc>
        <w:tc>
          <w:tcPr>
            <w:tcW w:w="110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Extraction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0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.473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Q2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.625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Q3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.616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Q4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.613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Q5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.611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Q6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.622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Q7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.553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Q8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.606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Extraction Method: Principal Component Analysis.</w:t>
            </w:r>
          </w:p>
        </w:tc>
      </w:tr>
    </w:tbl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1028"/>
        <w:gridCol w:w="1445"/>
        <w:gridCol w:w="1461"/>
        <w:gridCol w:w="1169"/>
        <w:gridCol w:w="1445"/>
        <w:gridCol w:w="1461"/>
      </w:tblGrid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86D88">
              <w:rPr>
                <w:rFonts w:ascii="Arial" w:hAnsi="Arial" w:cs="Arial"/>
                <w:b/>
                <w:bCs/>
                <w:color w:val="010205"/>
              </w:rPr>
              <w:lastRenderedPageBreak/>
              <w:t>Total Variance Explained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Component</w:t>
            </w:r>
          </w:p>
        </w:tc>
        <w:tc>
          <w:tcPr>
            <w:tcW w:w="3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Initial Eigenvalues</w:t>
            </w:r>
          </w:p>
        </w:tc>
        <w:tc>
          <w:tcPr>
            <w:tcW w:w="4072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Extraction Sums of Squared Loadings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% of Variance</w:t>
            </w:r>
          </w:p>
        </w:tc>
        <w:tc>
          <w:tcPr>
            <w:tcW w:w="146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Cumulative %</w:t>
            </w:r>
          </w:p>
        </w:tc>
        <w:tc>
          <w:tcPr>
            <w:tcW w:w="11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% of Variance</w:t>
            </w:r>
          </w:p>
        </w:tc>
        <w:tc>
          <w:tcPr>
            <w:tcW w:w="146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Cumulative %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4.717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58.966</w:t>
            </w:r>
          </w:p>
        </w:tc>
        <w:tc>
          <w:tcPr>
            <w:tcW w:w="146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58.966</w:t>
            </w:r>
          </w:p>
        </w:tc>
        <w:tc>
          <w:tcPr>
            <w:tcW w:w="11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4.717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58.966</w:t>
            </w:r>
          </w:p>
        </w:tc>
        <w:tc>
          <w:tcPr>
            <w:tcW w:w="146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58.966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.794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9.928</w:t>
            </w: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68.893</w:t>
            </w:r>
          </w:p>
        </w:tc>
        <w:tc>
          <w:tcPr>
            <w:tcW w:w="11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.599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7.492</w:t>
            </w: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76.385</w:t>
            </w:r>
          </w:p>
        </w:tc>
        <w:tc>
          <w:tcPr>
            <w:tcW w:w="11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.477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5.962</w:t>
            </w: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82.347</w:t>
            </w:r>
          </w:p>
        </w:tc>
        <w:tc>
          <w:tcPr>
            <w:tcW w:w="11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.378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4.727</w:t>
            </w: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87.074</w:t>
            </w:r>
          </w:p>
        </w:tc>
        <w:tc>
          <w:tcPr>
            <w:tcW w:w="11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.373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4.665</w:t>
            </w: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91.739</w:t>
            </w:r>
          </w:p>
        </w:tc>
        <w:tc>
          <w:tcPr>
            <w:tcW w:w="11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7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.337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4.217</w:t>
            </w: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95.956</w:t>
            </w:r>
          </w:p>
        </w:tc>
        <w:tc>
          <w:tcPr>
            <w:tcW w:w="11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.324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4.044</w:t>
            </w: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100.000</w:t>
            </w:r>
          </w:p>
        </w:tc>
        <w:tc>
          <w:tcPr>
            <w:tcW w:w="11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Extraction Method: Principal Component Analysis.</w:t>
            </w:r>
          </w:p>
        </w:tc>
      </w:tr>
    </w:tbl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175" cy="3514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D88" w:rsidRDefault="00F86D88" w:rsidP="00F86D8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292"/>
      </w:tblGrid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86D88">
              <w:rPr>
                <w:rFonts w:ascii="Arial" w:hAnsi="Arial" w:cs="Arial"/>
                <w:b/>
                <w:bCs/>
                <w:color w:val="010205"/>
              </w:rPr>
              <w:t xml:space="preserve">Component </w:t>
            </w:r>
            <w:proofErr w:type="spellStart"/>
            <w:r w:rsidRPr="00F86D88">
              <w:rPr>
                <w:rFonts w:ascii="Arial" w:hAnsi="Arial" w:cs="Arial"/>
                <w:b/>
                <w:bCs/>
                <w:color w:val="010205"/>
              </w:rPr>
              <w:t>Matrix</w:t>
            </w:r>
            <w:r w:rsidRPr="00F86D88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Component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.688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Q2</w:t>
            </w: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.790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Q3</w:t>
            </w: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.785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Q4</w:t>
            </w: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.783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Q5</w:t>
            </w: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.782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Q6</w:t>
            </w: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.789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>Q7</w:t>
            </w: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.744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264A60"/>
                <w:sz w:val="18"/>
                <w:szCs w:val="18"/>
              </w:rPr>
              <w:t xml:space="preserve"> Q8</w:t>
            </w: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.778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Extraction Method: Principal Component Analysis.</w:t>
            </w:r>
          </w:p>
        </w:tc>
      </w:tr>
      <w:tr w:rsidR="00F86D88" w:rsidRPr="00F86D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86D88" w:rsidRPr="00F86D88" w:rsidRDefault="00F86D88" w:rsidP="00F86D88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86D88">
              <w:rPr>
                <w:rFonts w:ascii="Arial" w:hAnsi="Arial" w:cs="Arial"/>
                <w:color w:val="010205"/>
                <w:sz w:val="18"/>
                <w:szCs w:val="18"/>
              </w:rPr>
              <w:t>a. 1 components extracted.</w:t>
            </w:r>
          </w:p>
        </w:tc>
      </w:tr>
    </w:tbl>
    <w:p w:rsidR="00F86D88" w:rsidRPr="00F86D88" w:rsidRDefault="00F86D88" w:rsidP="00F86D88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10B74" w:rsidRPr="00F86D88" w:rsidRDefault="00610B74" w:rsidP="00F86D88">
      <w:pPr>
        <w:jc w:val="right"/>
        <w:rPr>
          <w:rFonts w:hint="cs"/>
          <w:lang w:bidi="ar-EG"/>
        </w:rPr>
      </w:pPr>
    </w:p>
    <w:sectPr w:rsidR="00610B74" w:rsidRPr="00F86D88" w:rsidSect="004A05FC">
      <w:pgSz w:w="12242" w:h="15842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67A"/>
    <w:rsid w:val="00052CD2"/>
    <w:rsid w:val="00610B74"/>
    <w:rsid w:val="0090567A"/>
    <w:rsid w:val="00F8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D62D631-2199-45BE-923E-E21FD694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Mohamed</dc:creator>
  <cp:keywords/>
  <dc:description/>
  <cp:lastModifiedBy>Dr Mohamed</cp:lastModifiedBy>
  <cp:revision>2</cp:revision>
  <dcterms:created xsi:type="dcterms:W3CDTF">2026-07-09T11:17:00Z</dcterms:created>
  <dcterms:modified xsi:type="dcterms:W3CDTF">2026-07-09T11:22:00Z</dcterms:modified>
</cp:coreProperties>
</file>