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63B2F" w14:textId="7C184492" w:rsidR="00665282" w:rsidRPr="003F356C" w:rsidRDefault="00BA7524" w:rsidP="00665282">
      <w:pPr>
        <w:rPr>
          <w:rFonts w:ascii="Times New Roman" w:hAnsi="Times New Roman" w:cs="Times New Roman" w:hint="eastAsia"/>
          <w:sz w:val="24"/>
          <w:szCs w:val="24"/>
          <w14:ligatures w14:val="none"/>
        </w:rPr>
      </w:pPr>
      <w:r w:rsidRPr="003F356C">
        <w:rPr>
          <w:rFonts w:ascii="Times New Roman" w:hAnsi="Times New Roman" w:cs="Times New Roman"/>
          <w:sz w:val="24"/>
          <w:szCs w:val="24"/>
          <w14:ligatures w14:val="none"/>
        </w:rPr>
        <w:t>Supplementary Table 1</w:t>
      </w:r>
      <w:r w:rsidR="00022728">
        <w:rPr>
          <w:rFonts w:ascii="Times New Roman" w:hAnsi="Times New Roman" w:cs="Times New Roman" w:hint="eastAsia"/>
          <w:sz w:val="24"/>
          <w:szCs w:val="24"/>
          <w14:ligatures w14:val="none"/>
        </w:rPr>
        <w:t>.</w:t>
      </w:r>
      <w:r w:rsidRPr="003F356C">
        <w:rPr>
          <w:rFonts w:ascii="Times New Roman" w:hAnsi="Times New Roman" w:cs="Times New Roman"/>
          <w:sz w:val="24"/>
          <w:szCs w:val="24"/>
          <w14:ligatures w14:val="none"/>
        </w:rPr>
        <w:t xml:space="preserve"> Relationship Between Consultation Sub-themes and Public Health Nurse Support Sub-themes</w:t>
      </w:r>
      <w:r w:rsidR="00022728">
        <w:rPr>
          <w:rFonts w:ascii="Times New Roman" w:hAnsi="Times New Roman" w:cs="Times New Roman" w:hint="eastAsia"/>
          <w:sz w:val="24"/>
          <w:szCs w:val="24"/>
          <w14:ligatures w14:val="none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43"/>
        <w:gridCol w:w="1620"/>
        <w:gridCol w:w="1643"/>
        <w:gridCol w:w="1336"/>
        <w:gridCol w:w="2452"/>
      </w:tblGrid>
      <w:tr w:rsidR="00A239D3" w:rsidRPr="003F356C" w14:paraId="439A2DC2" w14:textId="77777777" w:rsidTr="007F2025">
        <w:tc>
          <w:tcPr>
            <w:tcW w:w="1443" w:type="dxa"/>
            <w:vAlign w:val="center"/>
          </w:tcPr>
          <w:p w14:paraId="56F962D3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Consultation theme</w:t>
            </w:r>
          </w:p>
        </w:tc>
        <w:tc>
          <w:tcPr>
            <w:tcW w:w="1620" w:type="dxa"/>
            <w:vAlign w:val="center"/>
          </w:tcPr>
          <w:p w14:paraId="38511018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Consultation sub-theme</w:t>
            </w:r>
          </w:p>
        </w:tc>
        <w:tc>
          <w:tcPr>
            <w:tcW w:w="1641" w:type="dxa"/>
            <w:vAlign w:val="center"/>
          </w:tcPr>
          <w:p w14:paraId="18E34196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Corresponding PHN support sub-theme(s)</w:t>
            </w:r>
          </w:p>
        </w:tc>
        <w:tc>
          <w:tcPr>
            <w:tcW w:w="1336" w:type="dxa"/>
            <w:vAlign w:val="center"/>
          </w:tcPr>
          <w:p w14:paraId="6157DB4D" w14:textId="7B31CB10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 xml:space="preserve">Explicitly addressed in the Discussion </w:t>
            </w:r>
          </w:p>
        </w:tc>
        <w:tc>
          <w:tcPr>
            <w:tcW w:w="2454" w:type="dxa"/>
            <w:vAlign w:val="center"/>
          </w:tcPr>
          <w:p w14:paraId="02850194" w14:textId="40482B89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Relevant section of the Discussion</w:t>
            </w:r>
          </w:p>
        </w:tc>
      </w:tr>
      <w:tr w:rsidR="00A239D3" w:rsidRPr="003F356C" w14:paraId="662B38CF" w14:textId="77777777" w:rsidTr="007F2025">
        <w:tc>
          <w:tcPr>
            <w:tcW w:w="1443" w:type="dxa"/>
            <w:vMerge w:val="restart"/>
            <w:vAlign w:val="center"/>
          </w:tcPr>
          <w:p w14:paraId="0CDA3EA7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A: Return-to-work timing and working patterns</w:t>
            </w:r>
          </w:p>
        </w:tc>
        <w:tc>
          <w:tcPr>
            <w:tcW w:w="1620" w:type="dxa"/>
            <w:vAlign w:val="center"/>
          </w:tcPr>
          <w:p w14:paraId="2BA2489D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A-1</w:t>
            </w:r>
          </w:p>
        </w:tc>
        <w:tc>
          <w:tcPr>
            <w:tcW w:w="1641" w:type="dxa"/>
            <w:vAlign w:val="center"/>
          </w:tcPr>
          <w:p w14:paraId="0BC86E81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1-2</w:t>
            </w:r>
          </w:p>
          <w:p w14:paraId="2343F892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3-2</w:t>
            </w:r>
          </w:p>
          <w:p w14:paraId="01A3CB3D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5-1</w:t>
            </w:r>
          </w:p>
        </w:tc>
        <w:tc>
          <w:tcPr>
            <w:tcW w:w="1336" w:type="dxa"/>
            <w:vAlign w:val="center"/>
          </w:tcPr>
          <w:p w14:paraId="03B8A09B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  <w:tc>
          <w:tcPr>
            <w:tcW w:w="2454" w:type="dxa"/>
            <w:vAlign w:val="center"/>
          </w:tcPr>
          <w:p w14:paraId="5CF60BB0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Preventive navigation through logistical planning</w:t>
            </w:r>
          </w:p>
        </w:tc>
      </w:tr>
      <w:tr w:rsidR="00A239D3" w:rsidRPr="003F356C" w14:paraId="43D1764E" w14:textId="77777777" w:rsidTr="007F2025">
        <w:tc>
          <w:tcPr>
            <w:tcW w:w="1443" w:type="dxa"/>
            <w:vMerge/>
            <w:vAlign w:val="center"/>
          </w:tcPr>
          <w:p w14:paraId="232F3DEF" w14:textId="77777777" w:rsidR="00665282" w:rsidRPr="003F356C" w:rsidRDefault="00665282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667C068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A-2</w:t>
            </w:r>
          </w:p>
        </w:tc>
        <w:tc>
          <w:tcPr>
            <w:tcW w:w="1641" w:type="dxa"/>
            <w:vAlign w:val="center"/>
          </w:tcPr>
          <w:p w14:paraId="354D33AB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5-3</w:t>
            </w:r>
          </w:p>
          <w:p w14:paraId="6DC3F173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5-4</w:t>
            </w:r>
          </w:p>
        </w:tc>
        <w:tc>
          <w:tcPr>
            <w:tcW w:w="1336" w:type="dxa"/>
            <w:vAlign w:val="center"/>
          </w:tcPr>
          <w:p w14:paraId="1112A9D0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No</w:t>
            </w:r>
          </w:p>
        </w:tc>
        <w:tc>
          <w:tcPr>
            <w:tcW w:w="2454" w:type="dxa"/>
            <w:vAlign w:val="center"/>
          </w:tcPr>
          <w:p w14:paraId="14094CBC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Preventive navigation through logistical planning</w:t>
            </w:r>
          </w:p>
        </w:tc>
      </w:tr>
      <w:tr w:rsidR="00A239D3" w:rsidRPr="003F356C" w14:paraId="591552F5" w14:textId="77777777" w:rsidTr="007F2025">
        <w:tc>
          <w:tcPr>
            <w:tcW w:w="1443" w:type="dxa"/>
            <w:vMerge w:val="restart"/>
            <w:vAlign w:val="center"/>
          </w:tcPr>
          <w:p w14:paraId="55B4560B" w14:textId="6B67BEE6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B: Use of services and social support</w:t>
            </w:r>
            <w:r w:rsidR="008F2CA3"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</w:p>
        </w:tc>
        <w:tc>
          <w:tcPr>
            <w:tcW w:w="1620" w:type="dxa"/>
            <w:vAlign w:val="center"/>
          </w:tcPr>
          <w:p w14:paraId="0255B752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B-1</w:t>
            </w:r>
          </w:p>
          <w:p w14:paraId="2D6677AB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B-3</w:t>
            </w:r>
          </w:p>
        </w:tc>
        <w:tc>
          <w:tcPr>
            <w:tcW w:w="1641" w:type="dxa"/>
            <w:vAlign w:val="center"/>
          </w:tcPr>
          <w:p w14:paraId="4F099B69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1-1</w:t>
            </w:r>
          </w:p>
          <w:p w14:paraId="3E9BF624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2-3</w:t>
            </w:r>
          </w:p>
        </w:tc>
        <w:tc>
          <w:tcPr>
            <w:tcW w:w="1336" w:type="dxa"/>
            <w:vAlign w:val="center"/>
          </w:tcPr>
          <w:p w14:paraId="003EAB9B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  <w:tc>
          <w:tcPr>
            <w:tcW w:w="2454" w:type="dxa"/>
            <w:vAlign w:val="center"/>
          </w:tcPr>
          <w:p w14:paraId="7F4A1BB1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Identifying latent WFB needs: from individual troubles to social determinants</w:t>
            </w:r>
          </w:p>
        </w:tc>
      </w:tr>
      <w:tr w:rsidR="00A239D3" w:rsidRPr="003F356C" w14:paraId="28C2DD47" w14:textId="77777777" w:rsidTr="007F2025">
        <w:tc>
          <w:tcPr>
            <w:tcW w:w="1443" w:type="dxa"/>
            <w:vMerge/>
            <w:vAlign w:val="center"/>
          </w:tcPr>
          <w:p w14:paraId="221C5A65" w14:textId="77777777" w:rsidR="00665282" w:rsidRPr="003F356C" w:rsidRDefault="00665282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34C4A2EB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B-2</w:t>
            </w:r>
          </w:p>
        </w:tc>
        <w:tc>
          <w:tcPr>
            <w:tcW w:w="1641" w:type="dxa"/>
            <w:vAlign w:val="center"/>
          </w:tcPr>
          <w:p w14:paraId="76AADD1F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2-1</w:t>
            </w:r>
          </w:p>
        </w:tc>
        <w:tc>
          <w:tcPr>
            <w:tcW w:w="1336" w:type="dxa"/>
            <w:vAlign w:val="center"/>
          </w:tcPr>
          <w:p w14:paraId="13F1E09B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No</w:t>
            </w:r>
          </w:p>
        </w:tc>
        <w:tc>
          <w:tcPr>
            <w:tcW w:w="2454" w:type="dxa"/>
            <w:vAlign w:val="center"/>
          </w:tcPr>
          <w:p w14:paraId="414254FA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Preventive navigation through logistical planning</w:t>
            </w:r>
          </w:p>
        </w:tc>
      </w:tr>
      <w:tr w:rsidR="00A239D3" w:rsidRPr="003F356C" w14:paraId="6F16746C" w14:textId="77777777" w:rsidTr="007F2025">
        <w:tc>
          <w:tcPr>
            <w:tcW w:w="1443" w:type="dxa"/>
            <w:vMerge/>
            <w:vAlign w:val="center"/>
          </w:tcPr>
          <w:p w14:paraId="56AFBA31" w14:textId="77777777" w:rsidR="00665282" w:rsidRPr="003F356C" w:rsidRDefault="00665282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E86DBFE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B-4</w:t>
            </w:r>
          </w:p>
        </w:tc>
        <w:tc>
          <w:tcPr>
            <w:tcW w:w="1641" w:type="dxa"/>
            <w:vAlign w:val="center"/>
          </w:tcPr>
          <w:p w14:paraId="06B27239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2-2</w:t>
            </w:r>
          </w:p>
          <w:p w14:paraId="06D4AB1C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5-2</w:t>
            </w:r>
          </w:p>
        </w:tc>
        <w:tc>
          <w:tcPr>
            <w:tcW w:w="1336" w:type="dxa"/>
            <w:vAlign w:val="center"/>
          </w:tcPr>
          <w:p w14:paraId="27B4FFB4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No</w:t>
            </w:r>
          </w:p>
        </w:tc>
        <w:tc>
          <w:tcPr>
            <w:tcW w:w="2454" w:type="dxa"/>
            <w:vAlign w:val="center"/>
          </w:tcPr>
          <w:p w14:paraId="65C26E83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Preventive navigation through logistical planning</w:t>
            </w:r>
          </w:p>
        </w:tc>
      </w:tr>
      <w:tr w:rsidR="00A239D3" w:rsidRPr="003F356C" w14:paraId="0692EECD" w14:textId="77777777" w:rsidTr="007F2025">
        <w:tc>
          <w:tcPr>
            <w:tcW w:w="1443" w:type="dxa"/>
            <w:vMerge w:val="restart"/>
            <w:vAlign w:val="center"/>
          </w:tcPr>
          <w:p w14:paraId="4B7D5576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C:</w:t>
            </w: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Daily routines and time allocation</w:t>
            </w:r>
          </w:p>
        </w:tc>
        <w:tc>
          <w:tcPr>
            <w:tcW w:w="1620" w:type="dxa"/>
            <w:vAlign w:val="center"/>
          </w:tcPr>
          <w:p w14:paraId="22445E05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C-1</w:t>
            </w:r>
          </w:p>
        </w:tc>
        <w:tc>
          <w:tcPr>
            <w:tcW w:w="1641" w:type="dxa"/>
            <w:vAlign w:val="center"/>
          </w:tcPr>
          <w:p w14:paraId="33D7AA9A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1-3</w:t>
            </w:r>
          </w:p>
          <w:p w14:paraId="73B8A60A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4-1</w:t>
            </w:r>
          </w:p>
          <w:p w14:paraId="0DC6D482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4-2</w:t>
            </w:r>
          </w:p>
          <w:p w14:paraId="1FD330E8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4-3</w:t>
            </w:r>
          </w:p>
          <w:p w14:paraId="0407F82C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7-1</w:t>
            </w:r>
          </w:p>
        </w:tc>
        <w:tc>
          <w:tcPr>
            <w:tcW w:w="1336" w:type="dxa"/>
            <w:vAlign w:val="center"/>
          </w:tcPr>
          <w:p w14:paraId="40C852D4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  <w:tc>
          <w:tcPr>
            <w:tcW w:w="2454" w:type="dxa"/>
            <w:vAlign w:val="center"/>
          </w:tcPr>
          <w:p w14:paraId="601E543F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Identifying latent WFB needs: from individual troubles to social determinants</w:t>
            </w:r>
          </w:p>
        </w:tc>
      </w:tr>
      <w:tr w:rsidR="00A239D3" w:rsidRPr="003F356C" w14:paraId="275D71C2" w14:textId="77777777" w:rsidTr="007F2025">
        <w:tc>
          <w:tcPr>
            <w:tcW w:w="1443" w:type="dxa"/>
            <w:vMerge/>
            <w:vAlign w:val="center"/>
          </w:tcPr>
          <w:p w14:paraId="4DDFCFE4" w14:textId="77777777" w:rsidR="00665282" w:rsidRPr="003F356C" w:rsidRDefault="00665282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E37381E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C-2</w:t>
            </w:r>
          </w:p>
          <w:p w14:paraId="4770AC04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C-3</w:t>
            </w:r>
          </w:p>
        </w:tc>
        <w:tc>
          <w:tcPr>
            <w:tcW w:w="1641" w:type="dxa"/>
            <w:vAlign w:val="center"/>
          </w:tcPr>
          <w:p w14:paraId="4883FC7B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6-1</w:t>
            </w:r>
          </w:p>
          <w:p w14:paraId="0A79CB29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6-2</w:t>
            </w:r>
          </w:p>
          <w:p w14:paraId="7D739A84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6-3</w:t>
            </w:r>
          </w:p>
          <w:p w14:paraId="56FBA3C0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6-4</w:t>
            </w:r>
          </w:p>
        </w:tc>
        <w:tc>
          <w:tcPr>
            <w:tcW w:w="1336" w:type="dxa"/>
            <w:vAlign w:val="center"/>
          </w:tcPr>
          <w:p w14:paraId="0EC5E8E0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  <w:tc>
          <w:tcPr>
            <w:tcW w:w="2454" w:type="dxa"/>
            <w:vAlign w:val="center"/>
          </w:tcPr>
          <w:p w14:paraId="598390F8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Deconstructing gendered roles through concrete caregiving techniques</w:t>
            </w:r>
          </w:p>
        </w:tc>
      </w:tr>
      <w:tr w:rsidR="00A239D3" w:rsidRPr="003F356C" w14:paraId="4190280F" w14:textId="77777777" w:rsidTr="007F2025">
        <w:tc>
          <w:tcPr>
            <w:tcW w:w="1443" w:type="dxa"/>
            <w:vMerge w:val="restart"/>
            <w:vAlign w:val="center"/>
          </w:tcPr>
          <w:p w14:paraId="46E1D606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D: Case-specific challenges</w:t>
            </w:r>
          </w:p>
        </w:tc>
        <w:tc>
          <w:tcPr>
            <w:tcW w:w="1620" w:type="dxa"/>
            <w:vAlign w:val="center"/>
          </w:tcPr>
          <w:p w14:paraId="60DC8702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D-1</w:t>
            </w:r>
          </w:p>
        </w:tc>
        <w:tc>
          <w:tcPr>
            <w:tcW w:w="1641" w:type="dxa"/>
            <w:vAlign w:val="center"/>
          </w:tcPr>
          <w:p w14:paraId="073447F9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7-2</w:t>
            </w:r>
          </w:p>
        </w:tc>
        <w:tc>
          <w:tcPr>
            <w:tcW w:w="1336" w:type="dxa"/>
            <w:vAlign w:val="center"/>
          </w:tcPr>
          <w:p w14:paraId="7BB9D2AD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  <w:tc>
          <w:tcPr>
            <w:tcW w:w="2454" w:type="dxa"/>
            <w:vAlign w:val="center"/>
          </w:tcPr>
          <w:p w14:paraId="22D43208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PHNs as “traffic-controllers” for child developmental well-being</w:t>
            </w:r>
          </w:p>
        </w:tc>
      </w:tr>
      <w:tr w:rsidR="00A239D3" w:rsidRPr="003F356C" w14:paraId="5A356A2B" w14:textId="77777777" w:rsidTr="007F2025">
        <w:tc>
          <w:tcPr>
            <w:tcW w:w="1443" w:type="dxa"/>
            <w:vMerge/>
            <w:vAlign w:val="center"/>
          </w:tcPr>
          <w:p w14:paraId="525DA868" w14:textId="77777777" w:rsidR="00665282" w:rsidRPr="003F356C" w:rsidRDefault="00665282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E127944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D-2</w:t>
            </w:r>
          </w:p>
        </w:tc>
        <w:tc>
          <w:tcPr>
            <w:tcW w:w="1641" w:type="dxa"/>
            <w:vAlign w:val="center"/>
          </w:tcPr>
          <w:p w14:paraId="55C31D96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3-1</w:t>
            </w:r>
          </w:p>
          <w:p w14:paraId="3952F54F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3-3</w:t>
            </w:r>
          </w:p>
          <w:p w14:paraId="3E99AE2B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3-4</w:t>
            </w:r>
          </w:p>
        </w:tc>
        <w:tc>
          <w:tcPr>
            <w:tcW w:w="1336" w:type="dxa"/>
            <w:vAlign w:val="center"/>
          </w:tcPr>
          <w:p w14:paraId="28BB72A0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  <w:tc>
          <w:tcPr>
            <w:tcW w:w="2454" w:type="dxa"/>
            <w:vAlign w:val="center"/>
          </w:tcPr>
          <w:p w14:paraId="3A293725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Providing psychosocial support through deliberation and validation</w:t>
            </w:r>
          </w:p>
        </w:tc>
      </w:tr>
      <w:tr w:rsidR="00A239D3" w:rsidRPr="003F356C" w14:paraId="191C752A" w14:textId="77777777" w:rsidTr="007F2025">
        <w:tc>
          <w:tcPr>
            <w:tcW w:w="1443" w:type="dxa"/>
            <w:vMerge/>
            <w:vAlign w:val="center"/>
          </w:tcPr>
          <w:p w14:paraId="4E36EAC2" w14:textId="77777777" w:rsidR="00665282" w:rsidRPr="003F356C" w:rsidRDefault="00665282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BD8E6F9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D-3</w:t>
            </w:r>
          </w:p>
        </w:tc>
        <w:tc>
          <w:tcPr>
            <w:tcW w:w="1641" w:type="dxa"/>
            <w:vAlign w:val="center"/>
          </w:tcPr>
          <w:p w14:paraId="3B21B7C6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4-4</w:t>
            </w:r>
          </w:p>
          <w:p w14:paraId="1793EE30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7-3</w:t>
            </w:r>
          </w:p>
        </w:tc>
        <w:tc>
          <w:tcPr>
            <w:tcW w:w="1336" w:type="dxa"/>
            <w:vAlign w:val="center"/>
          </w:tcPr>
          <w:p w14:paraId="21257750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  <w:tc>
          <w:tcPr>
            <w:tcW w:w="2454" w:type="dxa"/>
            <w:vAlign w:val="center"/>
          </w:tcPr>
          <w:p w14:paraId="355F03AB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PHNs as “traffic-controllers” for child developmental well-being</w:t>
            </w:r>
          </w:p>
        </w:tc>
      </w:tr>
      <w:tr w:rsidR="00A239D3" w:rsidRPr="003F356C" w14:paraId="4502FDF4" w14:textId="77777777" w:rsidTr="007F2025">
        <w:tc>
          <w:tcPr>
            <w:tcW w:w="1443" w:type="dxa"/>
            <w:vMerge/>
            <w:vAlign w:val="center"/>
          </w:tcPr>
          <w:p w14:paraId="73C78F04" w14:textId="77777777" w:rsidR="00665282" w:rsidRPr="003F356C" w:rsidRDefault="00665282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49C68696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/>
                <w:sz w:val="24"/>
                <w:szCs w:val="24"/>
              </w:rPr>
              <w:t>D-4</w:t>
            </w:r>
          </w:p>
        </w:tc>
        <w:tc>
          <w:tcPr>
            <w:tcW w:w="1641" w:type="dxa"/>
            <w:vAlign w:val="center"/>
          </w:tcPr>
          <w:p w14:paraId="60260554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3-1</w:t>
            </w:r>
          </w:p>
          <w:p w14:paraId="04D0AE3E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3-3</w:t>
            </w:r>
          </w:p>
        </w:tc>
        <w:tc>
          <w:tcPr>
            <w:tcW w:w="1336" w:type="dxa"/>
            <w:vAlign w:val="center"/>
          </w:tcPr>
          <w:p w14:paraId="54B9375F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hAnsi="Times New Roman" w:cs="Times New Roman" w:hint="eastAsia"/>
                <w:sz w:val="24"/>
                <w:szCs w:val="24"/>
              </w:rPr>
              <w:t>No</w:t>
            </w:r>
          </w:p>
        </w:tc>
        <w:tc>
          <w:tcPr>
            <w:tcW w:w="2454" w:type="dxa"/>
            <w:vAlign w:val="center"/>
          </w:tcPr>
          <w:p w14:paraId="608E0FDA" w14:textId="77777777" w:rsidR="00665282" w:rsidRPr="003F356C" w:rsidRDefault="00BA7524" w:rsidP="007F2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56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Providing psychosocial support through deliberation and </w:t>
            </w:r>
            <w:r w:rsidRPr="003F356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lastRenderedPageBreak/>
              <w:t>validation</w:t>
            </w:r>
          </w:p>
        </w:tc>
      </w:tr>
    </w:tbl>
    <w:p w14:paraId="03DAB23B" w14:textId="65B500A3" w:rsidR="004315BB" w:rsidRPr="003F356C" w:rsidRDefault="00BA7524">
      <w:pPr>
        <w:rPr>
          <w:rFonts w:ascii="Times New Roman" w:hAnsi="Times New Roman" w:cs="Times New Roman"/>
          <w:bCs/>
          <w:sz w:val="24"/>
          <w:szCs w:val="24"/>
        </w:rPr>
      </w:pPr>
      <w:r w:rsidRPr="003F356C">
        <w:rPr>
          <w:rFonts w:ascii="Times New Roman" w:hAnsi="Times New Roman" w:cs="Times New Roman"/>
          <w:sz w:val="24"/>
          <w:szCs w:val="24"/>
          <w14:ligatures w14:val="none"/>
        </w:rPr>
        <w:lastRenderedPageBreak/>
        <w:t>Note. Sub-themes B-1 and B-3 were addressed through a sequential two-step response—first identifying the family's social support context (1-1), then mapping community and welfare resources accordingly (2-3)—rather than through a one-to-one correspondence between individual consultation and support sub-themes. Sub-themes C-2 and C-3 were addressed jointly through a coordinated set of support strategies (sub-themes 6-1, 6-2, 6-3, and 6-4), rather than through distinct one-to-one pairings.</w:t>
      </w:r>
      <w:r w:rsidRPr="003F356C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</w:t>
      </w:r>
      <w:r w:rsidRPr="003F356C">
        <w:rPr>
          <w:rFonts w:ascii="Times New Roman" w:hAnsi="Times New Roman" w:cs="Times New Roman"/>
          <w:sz w:val="24"/>
          <w:szCs w:val="24"/>
          <w14:ligatures w14:val="none"/>
        </w:rPr>
        <w:t>Support sub-theme 7-4 (facilitating intra-departmental mentoring among PHNs) was excluded from the consultation–response mapping above, as it represents an internal professional development practice among PHNs rather than a direct response to a specific parental consultation.</w:t>
      </w:r>
      <w:r w:rsidRPr="003F356C">
        <w:rPr>
          <w:rFonts w:ascii="Times New Roman" w:hAnsi="Times New Roman" w:cs="Times New Roman" w:hint="eastAsia"/>
          <w:sz w:val="24"/>
          <w:szCs w:val="24"/>
          <w14:ligatures w14:val="none"/>
        </w:rPr>
        <w:t xml:space="preserve"> </w:t>
      </w:r>
      <w:r w:rsidRPr="003F356C">
        <w:rPr>
          <w:rFonts w:ascii="Times New Roman" w:hAnsi="Times New Roman" w:cs="Times New Roman"/>
          <w:sz w:val="24"/>
          <w:szCs w:val="24"/>
          <w14:ligatures w14:val="none"/>
        </w:rPr>
        <w:t>PHN; Public Health Nurse, WFB; Work-</w:t>
      </w:r>
      <w:r w:rsidR="00022728">
        <w:rPr>
          <w:rFonts w:ascii="Times New Roman" w:hAnsi="Times New Roman" w:cs="Times New Roman" w:hint="eastAsia"/>
          <w:sz w:val="24"/>
          <w:szCs w:val="24"/>
          <w14:ligatures w14:val="none"/>
        </w:rPr>
        <w:t>F</w:t>
      </w:r>
      <w:r w:rsidRPr="003F356C">
        <w:rPr>
          <w:rFonts w:ascii="Times New Roman" w:hAnsi="Times New Roman" w:cs="Times New Roman"/>
          <w:sz w:val="24"/>
          <w:szCs w:val="24"/>
          <w14:ligatures w14:val="none"/>
        </w:rPr>
        <w:t>amily Balance</w:t>
      </w:r>
    </w:p>
    <w:sectPr w:rsidR="004315BB" w:rsidRPr="003F356C" w:rsidSect="00665282">
      <w:headerReference w:type="default" r:id="rId6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1A38D" w14:textId="77777777" w:rsidR="00A6466D" w:rsidRDefault="00A6466D">
      <w:r>
        <w:separator/>
      </w:r>
    </w:p>
  </w:endnote>
  <w:endnote w:type="continuationSeparator" w:id="0">
    <w:p w14:paraId="5FE4E0F7" w14:textId="77777777" w:rsidR="00A6466D" w:rsidRDefault="00A64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3F133" w14:textId="77777777" w:rsidR="00A6466D" w:rsidRDefault="00A6466D">
      <w:r>
        <w:separator/>
      </w:r>
    </w:p>
  </w:footnote>
  <w:footnote w:type="continuationSeparator" w:id="0">
    <w:p w14:paraId="042E1035" w14:textId="77777777" w:rsidR="00A6466D" w:rsidRDefault="00A64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5983744"/>
      <w:docPartObj>
        <w:docPartGallery w:val="Page Numbers (Top of Page)"/>
        <w:docPartUnique/>
      </w:docPartObj>
    </w:sdtPr>
    <w:sdtContent>
      <w:p w14:paraId="79B99E4D" w14:textId="77777777" w:rsidR="00665282" w:rsidRDefault="00BA752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0FADBCB" w14:textId="77777777" w:rsidR="00665282" w:rsidRDefault="0066528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24"/>
    <w:rsid w:val="00022728"/>
    <w:rsid w:val="00067DA0"/>
    <w:rsid w:val="000B403D"/>
    <w:rsid w:val="00280A38"/>
    <w:rsid w:val="00345089"/>
    <w:rsid w:val="0039365F"/>
    <w:rsid w:val="003F356C"/>
    <w:rsid w:val="004315BB"/>
    <w:rsid w:val="004A7ECF"/>
    <w:rsid w:val="00653178"/>
    <w:rsid w:val="00661A58"/>
    <w:rsid w:val="00665282"/>
    <w:rsid w:val="006668FB"/>
    <w:rsid w:val="0068759B"/>
    <w:rsid w:val="006E3810"/>
    <w:rsid w:val="00751A19"/>
    <w:rsid w:val="007D25B0"/>
    <w:rsid w:val="007F2025"/>
    <w:rsid w:val="0082760D"/>
    <w:rsid w:val="008F2CA3"/>
    <w:rsid w:val="009E7EDB"/>
    <w:rsid w:val="00A239D3"/>
    <w:rsid w:val="00A32C97"/>
    <w:rsid w:val="00A6466D"/>
    <w:rsid w:val="00A65BBB"/>
    <w:rsid w:val="00B72529"/>
    <w:rsid w:val="00BA7524"/>
    <w:rsid w:val="00C34B68"/>
    <w:rsid w:val="00C62DB6"/>
    <w:rsid w:val="00D44AAB"/>
    <w:rsid w:val="00EC32A6"/>
    <w:rsid w:val="00F36F24"/>
    <w:rsid w:val="00FC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938218"/>
  <w15:chartTrackingRefBased/>
  <w15:docId w15:val="{8E105298-8CAF-485D-94D7-AA4CFE03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282"/>
    <w:pPr>
      <w:widowControl w:val="0"/>
      <w:spacing w:after="0" w:line="240" w:lineRule="auto"/>
      <w:jc w:val="both"/>
    </w:pPr>
    <w:rPr>
      <w:sz w:val="22"/>
      <w:szCs w:val="22"/>
      <w:lang w:val="en-US" w:eastAsia="ja-JP"/>
    </w:rPr>
  </w:style>
  <w:style w:type="paragraph" w:styleId="1">
    <w:name w:val="heading 1"/>
    <w:basedOn w:val="a"/>
    <w:next w:val="a"/>
    <w:link w:val="10"/>
    <w:uiPriority w:val="9"/>
    <w:qFormat/>
    <w:rsid w:val="00F36F24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s-CZ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6F24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s-CZ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6F24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cs-CZ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6F24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cs-CZ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6F24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cs-CZ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6F24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cs-CZ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6F24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cs-CZ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6F24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cs-CZ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6F24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cs-C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6F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F36F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F36F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F36F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F36F24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F36F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F36F24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F36F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F36F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6F24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</w:rPr>
  </w:style>
  <w:style w:type="character" w:customStyle="1" w:styleId="a4">
    <w:name w:val="表題 (文字)"/>
    <w:basedOn w:val="a0"/>
    <w:link w:val="a3"/>
    <w:uiPriority w:val="10"/>
    <w:rsid w:val="00F36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6F24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cs-CZ" w:eastAsia="en-US"/>
    </w:rPr>
  </w:style>
  <w:style w:type="character" w:customStyle="1" w:styleId="a6">
    <w:name w:val="副題 (文字)"/>
    <w:basedOn w:val="a0"/>
    <w:link w:val="a5"/>
    <w:uiPriority w:val="11"/>
    <w:rsid w:val="00F36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6F24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cs-CZ" w:eastAsia="en-US"/>
    </w:rPr>
  </w:style>
  <w:style w:type="character" w:customStyle="1" w:styleId="a8">
    <w:name w:val="引用文 (文字)"/>
    <w:basedOn w:val="a0"/>
    <w:link w:val="a7"/>
    <w:uiPriority w:val="29"/>
    <w:rsid w:val="00F36F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6F24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val="cs-CZ" w:eastAsia="en-US"/>
    </w:rPr>
  </w:style>
  <w:style w:type="character" w:styleId="21">
    <w:name w:val="Intense Emphasis"/>
    <w:basedOn w:val="a0"/>
    <w:uiPriority w:val="21"/>
    <w:qFormat/>
    <w:rsid w:val="00F36F2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6F2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cs-CZ" w:eastAsia="en-US"/>
    </w:rPr>
  </w:style>
  <w:style w:type="character" w:customStyle="1" w:styleId="23">
    <w:name w:val="引用文 2 (文字)"/>
    <w:basedOn w:val="a0"/>
    <w:link w:val="22"/>
    <w:uiPriority w:val="30"/>
    <w:rsid w:val="00F36F2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36F2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652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65282"/>
    <w:rPr>
      <w:rFonts w:eastAsiaTheme="minorEastAsia"/>
      <w:sz w:val="22"/>
      <w:szCs w:val="22"/>
      <w:lang w:val="en-US" w:eastAsia="ja-JP"/>
    </w:rPr>
  </w:style>
  <w:style w:type="table" w:styleId="ac">
    <w:name w:val="Table Grid"/>
    <w:basedOn w:val="a1"/>
    <w:uiPriority w:val="39"/>
    <w:rsid w:val="00665282"/>
    <w:pPr>
      <w:spacing w:after="0" w:line="240" w:lineRule="auto"/>
    </w:pPr>
    <w:rPr>
      <w:sz w:val="21"/>
      <w:szCs w:val="22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line number"/>
    <w:basedOn w:val="a0"/>
    <w:uiPriority w:val="99"/>
    <w:semiHidden/>
    <w:unhideWhenUsed/>
    <w:rsid w:val="00665282"/>
  </w:style>
  <w:style w:type="paragraph" w:styleId="ae">
    <w:name w:val="Revision"/>
    <w:hidden/>
    <w:uiPriority w:val="99"/>
    <w:semiHidden/>
    <w:rsid w:val="0068759B"/>
    <w:pPr>
      <w:spacing w:after="0" w:line="240" w:lineRule="auto"/>
    </w:pPr>
    <w:rPr>
      <w:sz w:val="22"/>
      <w:szCs w:val="22"/>
      <w:lang w:val="en-US" w:eastAsia="ja-JP"/>
    </w:rPr>
  </w:style>
  <w:style w:type="character" w:styleId="af">
    <w:name w:val="annotation reference"/>
    <w:basedOn w:val="a0"/>
    <w:uiPriority w:val="99"/>
    <w:semiHidden/>
    <w:unhideWhenUsed/>
    <w:rsid w:val="00B7252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72529"/>
    <w:rPr>
      <w:sz w:val="20"/>
      <w:szCs w:val="20"/>
    </w:rPr>
  </w:style>
  <w:style w:type="character" w:customStyle="1" w:styleId="af1">
    <w:name w:val="コメント文字列 (文字)"/>
    <w:basedOn w:val="a0"/>
    <w:link w:val="af0"/>
    <w:uiPriority w:val="99"/>
    <w:semiHidden/>
    <w:rsid w:val="00B72529"/>
    <w:rPr>
      <w:rFonts w:eastAsiaTheme="minorEastAsia"/>
      <w:sz w:val="20"/>
      <w:szCs w:val="20"/>
      <w:lang w:val="en-US" w:eastAsia="ja-JP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72529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B72529"/>
    <w:rPr>
      <w:rFonts w:eastAsiaTheme="minorEastAsia"/>
      <w:b/>
      <w:bCs/>
      <w:sz w:val="20"/>
      <w:szCs w:val="20"/>
      <w:lang w:val="en-US" w:eastAsia="ja-JP"/>
    </w:rPr>
  </w:style>
  <w:style w:type="paragraph" w:styleId="af4">
    <w:name w:val="footer"/>
    <w:basedOn w:val="a"/>
    <w:link w:val="af5"/>
    <w:uiPriority w:val="99"/>
    <w:unhideWhenUsed/>
    <w:rsid w:val="00A32C97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A32C97"/>
    <w:rPr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editor</cp:lastModifiedBy>
  <cp:revision>3</cp:revision>
  <dcterms:created xsi:type="dcterms:W3CDTF">2026-07-31T02:14:00Z</dcterms:created>
  <dcterms:modified xsi:type="dcterms:W3CDTF">2026-07-31T02:43:00Z</dcterms:modified>
</cp:coreProperties>
</file>