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7A4A2" w14:textId="77777777" w:rsidR="00F04522" w:rsidRDefault="00F04522" w:rsidP="00C91214">
      <w:pPr>
        <w:pStyle w:val="MDPI21heading1"/>
        <w:spacing w:before="0"/>
        <w:ind w:left="0"/>
        <w:rPr>
          <w:rFonts w:ascii="Times New Roman" w:hAnsi="Times New Roman"/>
          <w:b w:val="0"/>
          <w:bCs/>
          <w:szCs w:val="24"/>
        </w:rPr>
      </w:pPr>
    </w:p>
    <w:p w14:paraId="6AA4651A" w14:textId="5803E7C3" w:rsidR="00F04522" w:rsidRPr="005F6806" w:rsidRDefault="00F04522" w:rsidP="000C5C9D">
      <w:pPr>
        <w:spacing w:before="100" w:beforeAutospacing="1" w:after="0" w:line="360" w:lineRule="auto"/>
        <w:outlineLvl w:val="2"/>
        <w:rPr>
          <w:rFonts w:eastAsia="Times New Roman" w:cs="Times New Roman"/>
          <w:kern w:val="0"/>
          <w:lang w:eastAsia="en-GB"/>
          <w14:ligatures w14:val="none"/>
        </w:rPr>
      </w:pPr>
      <w:r>
        <w:rPr>
          <w:rFonts w:eastAsia="Times New Roman" w:cs="Times New Roman"/>
          <w:kern w:val="0"/>
          <w:lang w:eastAsia="en-GB"/>
          <w14:ligatures w14:val="none"/>
        </w:rPr>
        <w:t xml:space="preserve">Supplementary File </w:t>
      </w:r>
      <w:r w:rsidR="00DA2638">
        <w:rPr>
          <w:rFonts w:eastAsia="Times New Roman" w:cs="Times New Roman"/>
          <w:kern w:val="0"/>
          <w:lang w:eastAsia="en-GB"/>
          <w14:ligatures w14:val="none"/>
        </w:rPr>
        <w:t>1</w:t>
      </w:r>
      <w:r>
        <w:rPr>
          <w:rFonts w:eastAsia="Times New Roman" w:cs="Times New Roman"/>
          <w:kern w:val="0"/>
          <w:lang w:eastAsia="en-GB"/>
          <w14:ligatures w14:val="none"/>
        </w:rPr>
        <w:t xml:space="preserve">: </w:t>
      </w:r>
      <w:r w:rsidRPr="005F6806">
        <w:rPr>
          <w:rFonts w:eastAsia="Times New Roman" w:cs="Times New Roman"/>
          <w:kern w:val="0"/>
          <w:lang w:eastAsia="en-GB"/>
          <w14:ligatures w14:val="none"/>
        </w:rPr>
        <w:t xml:space="preserve"> </w:t>
      </w:r>
      <w:r>
        <w:rPr>
          <w:rFonts w:eastAsia="Times New Roman" w:cs="Times New Roman"/>
          <w:kern w:val="0"/>
          <w:lang w:eastAsia="en-GB"/>
          <w14:ligatures w14:val="none"/>
        </w:rPr>
        <w:t>Summary of variables and outcome measures in the data</w:t>
      </w:r>
    </w:p>
    <w:tbl>
      <w:tblPr>
        <w:tblStyle w:val="PlainTable2"/>
        <w:tblW w:w="10348" w:type="dxa"/>
        <w:tblInd w:w="-709" w:type="dxa"/>
        <w:tblLook w:val="06A0" w:firstRow="1" w:lastRow="0" w:firstColumn="1" w:lastColumn="0" w:noHBand="1" w:noVBand="1"/>
      </w:tblPr>
      <w:tblGrid>
        <w:gridCol w:w="2127"/>
        <w:gridCol w:w="2268"/>
        <w:gridCol w:w="5953"/>
      </w:tblGrid>
      <w:tr w:rsidR="00F04522" w:rsidRPr="000C5C9D" w14:paraId="441E29CD" w14:textId="77777777" w:rsidTr="00764CA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7" w:type="dxa"/>
            <w:hideMark/>
          </w:tcPr>
          <w:p w14:paraId="3FC79586"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Variable category</w:t>
            </w:r>
          </w:p>
        </w:tc>
        <w:tc>
          <w:tcPr>
            <w:tcW w:w="2268" w:type="dxa"/>
            <w:hideMark/>
          </w:tcPr>
          <w:p w14:paraId="66C011EA" w14:textId="77777777" w:rsidR="00F04522" w:rsidRPr="000C5C9D" w:rsidRDefault="00F04522" w:rsidP="00764CA6">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Variable / Instrument</w:t>
            </w:r>
          </w:p>
        </w:tc>
        <w:tc>
          <w:tcPr>
            <w:tcW w:w="5953" w:type="dxa"/>
            <w:hideMark/>
          </w:tcPr>
          <w:p w14:paraId="717C2ED9" w14:textId="77777777" w:rsidR="00F04522" w:rsidRPr="000C5C9D" w:rsidRDefault="00F04522" w:rsidP="00764CA6">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Description and scoring</w:t>
            </w:r>
          </w:p>
        </w:tc>
      </w:tr>
      <w:tr w:rsidR="00F04522" w:rsidRPr="000C5C9D" w14:paraId="332DF161"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543677C3"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p>
        </w:tc>
        <w:tc>
          <w:tcPr>
            <w:tcW w:w="2268" w:type="dxa"/>
            <w:hideMark/>
          </w:tcPr>
          <w:p w14:paraId="489D48F5"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Referral-to-Assessment Time</w:t>
            </w:r>
          </w:p>
        </w:tc>
        <w:tc>
          <w:tcPr>
            <w:tcW w:w="5953" w:type="dxa"/>
            <w:hideMark/>
          </w:tcPr>
          <w:p w14:paraId="5504C608"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Calculated as the number of days between the date of referral and the date of the first rehabilitation session.</w:t>
            </w:r>
          </w:p>
        </w:tc>
      </w:tr>
      <w:tr w:rsidR="00F04522" w:rsidRPr="000C5C9D" w14:paraId="15F79066"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0491F33A"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Functional Outcomes</w:t>
            </w:r>
          </w:p>
        </w:tc>
        <w:tc>
          <w:tcPr>
            <w:tcW w:w="2268" w:type="dxa"/>
            <w:hideMark/>
          </w:tcPr>
          <w:p w14:paraId="6E2CBB81"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Work and Social Adjustment Scale (WSAS)</w:t>
            </w:r>
          </w:p>
        </w:tc>
        <w:tc>
          <w:tcPr>
            <w:tcW w:w="5953" w:type="dxa"/>
            <w:hideMark/>
          </w:tcPr>
          <w:p w14:paraId="45222FFC"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A 5-item measure assessing symptom impact on work, home management, social activities, private leisure, and relationships.</w:t>
            </w:r>
          </w:p>
          <w:p w14:paraId="4B97B495"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0–40</w:t>
            </w:r>
            <w:sdt>
              <w:sdtPr>
                <w:rPr>
                  <w:rFonts w:cs="Times New Roman"/>
                  <w:color w:val="000000"/>
                  <w:sz w:val="22"/>
                  <w:szCs w:val="22"/>
                  <w:highlight w:val="white"/>
                </w:rPr>
                <w:alias w:val="Citation"/>
                <w:tag w:val="{&quot;referencesIds&quot;:[&quot;doc:681ced7674e0cb433698c4cb&quot;],&quot;referencesOptions&quot;:{&quot;doc:681ced7674e0cb433698c4cb&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529213676,&quot;citationText&quot;:&quot;&lt;span style=\&quot;font-family:Times New Roman;font-size:14.666666666666666px;color:#000000\&quot;&gt;&lt;sup&gt;1&lt;/sup&gt;&lt;/span&gt;&quot;}"/>
                <w:id w:val="1529213676"/>
                <w:placeholder>
                  <w:docPart w:val="DEE0BCE529EC42F89871AC2AF8B7FBB1"/>
                </w:placeholder>
              </w:sdtPr>
              <w:sdtEndPr/>
              <w:sdtContent>
                <w:r>
                  <w:rPr>
                    <w:rFonts w:eastAsia="Times New Roman"/>
                    <w:color w:val="000000"/>
                    <w:sz w:val="22"/>
                    <w:szCs w:val="22"/>
                    <w:vertAlign w:val="superscript"/>
                  </w:rPr>
                  <w:t>1</w:t>
                </w:r>
              </w:sdtContent>
            </w:sdt>
            <w:r w:rsidRPr="000C5C9D">
              <w:rPr>
                <w:rFonts w:eastAsia="Times New Roman" w:cs="Times New Roman"/>
                <w:kern w:val="0"/>
                <w:sz w:val="22"/>
                <w:szCs w:val="22"/>
                <w:lang w:eastAsia="en-GB"/>
                <w14:ligatures w14:val="none"/>
              </w:rPr>
              <w:t>.</w:t>
            </w:r>
          </w:p>
        </w:tc>
      </w:tr>
      <w:tr w:rsidR="00F04522" w:rsidRPr="000C5C9D" w14:paraId="40ECBA90"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556B4B7B"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p>
        </w:tc>
        <w:tc>
          <w:tcPr>
            <w:tcW w:w="2268" w:type="dxa"/>
            <w:hideMark/>
          </w:tcPr>
          <w:p w14:paraId="103B90E4"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1-minute Sit-to-Stand (STS-1)</w:t>
            </w:r>
          </w:p>
        </w:tc>
        <w:tc>
          <w:tcPr>
            <w:tcW w:w="5953" w:type="dxa"/>
            <w:hideMark/>
          </w:tcPr>
          <w:p w14:paraId="5832412F"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Measures lower limb strength and endurance by counting the number of full stands from a seated position in one minute</w:t>
            </w:r>
            <w:sdt>
              <w:sdtPr>
                <w:rPr>
                  <w:rFonts w:cs="Times New Roman"/>
                  <w:color w:val="000000"/>
                  <w:sz w:val="22"/>
                  <w:szCs w:val="22"/>
                  <w:highlight w:val="white"/>
                </w:rPr>
                <w:alias w:val="Citation"/>
                <w:tag w:val="{&quot;referencesIds&quot;:[&quot;doc:681cf23772d3271d5f833593&quot;],&quot;referencesOptions&quot;:{&quot;doc:681cf23772d3271d5f833593&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917234741,&quot;citationText&quot;:&quot;&lt;span style=\&quot;font-family:Times New Roman;font-size:14.666666666666666px;color:#000000\&quot;&gt;&lt;sup&gt;2&lt;/sup&gt;&lt;/span&gt;&quot;}"/>
                <w:id w:val="-1917234741"/>
                <w:placeholder>
                  <w:docPart w:val="63B97C56EF72413B950A5227DB5E8D9D"/>
                </w:placeholder>
              </w:sdtPr>
              <w:sdtEndPr/>
              <w:sdtContent>
                <w:r>
                  <w:rPr>
                    <w:rFonts w:eastAsia="Times New Roman"/>
                    <w:color w:val="000000"/>
                    <w:sz w:val="22"/>
                    <w:szCs w:val="22"/>
                    <w:vertAlign w:val="superscript"/>
                  </w:rPr>
                  <w:t>2</w:t>
                </w:r>
              </w:sdtContent>
            </w:sdt>
            <w:r w:rsidRPr="000C5C9D">
              <w:rPr>
                <w:rFonts w:cs="Times New Roman"/>
                <w:sz w:val="22"/>
                <w:szCs w:val="22"/>
              </w:rPr>
              <w:t>.</w:t>
            </w:r>
            <w:r w:rsidRPr="000C5C9D">
              <w:rPr>
                <w:rFonts w:eastAsia="Times New Roman" w:cs="Times New Roman"/>
                <w:kern w:val="0"/>
                <w:sz w:val="22"/>
                <w:szCs w:val="22"/>
                <w:lang w:eastAsia="en-GB"/>
                <w14:ligatures w14:val="none"/>
              </w:rPr>
              <w:t xml:space="preserve"> </w:t>
            </w:r>
          </w:p>
          <w:p w14:paraId="1AFB976C"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Count of repetitions.</w:t>
            </w:r>
          </w:p>
        </w:tc>
      </w:tr>
      <w:tr w:rsidR="00F04522" w:rsidRPr="000C5C9D" w14:paraId="1AC6446E"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54BE0638"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Symptom Severity</w:t>
            </w:r>
          </w:p>
        </w:tc>
        <w:tc>
          <w:tcPr>
            <w:tcW w:w="2268" w:type="dxa"/>
            <w:hideMark/>
          </w:tcPr>
          <w:p w14:paraId="19017F5E"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Fatigue Severity Scale (FSS)</w:t>
            </w:r>
          </w:p>
        </w:tc>
        <w:tc>
          <w:tcPr>
            <w:tcW w:w="5953" w:type="dxa"/>
            <w:hideMark/>
          </w:tcPr>
          <w:p w14:paraId="697FF7A3"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A 9-item scale assessing the impact of fatigue on daily living.</w:t>
            </w:r>
          </w:p>
          <w:p w14:paraId="6D4C14C9"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1–7 (mean of items)</w:t>
            </w:r>
            <w:sdt>
              <w:sdtPr>
                <w:rPr>
                  <w:rFonts w:cs="Times New Roman"/>
                  <w:color w:val="000000"/>
                  <w:sz w:val="22"/>
                  <w:szCs w:val="22"/>
                  <w:highlight w:val="white"/>
                </w:rPr>
                <w:alias w:val="Citation"/>
                <w:tag w:val="{&quot;referencesIds&quot;:[&quot;doc:681cee6a8caf2b2f2951fb3f&quot;],&quot;referencesOptions&quot;:{&quot;doc:681cee6a8caf2b2f2951fb3f&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93331571,&quot;citationText&quot;:&quot;&lt;span style=\&quot;font-family:Times New Roman;font-size:14.666666666666666px;color:#000000\&quot;&gt;&lt;sup&gt;3&lt;/sup&gt;&lt;/span&gt;&quot;}"/>
                <w:id w:val="-93331571"/>
                <w:placeholder>
                  <w:docPart w:val="BC02399C32FE4354BFD9F9FA4814EF9E"/>
                </w:placeholder>
              </w:sdtPr>
              <w:sdtEndPr/>
              <w:sdtContent>
                <w:r>
                  <w:rPr>
                    <w:rFonts w:eastAsia="Times New Roman"/>
                    <w:color w:val="000000"/>
                    <w:sz w:val="22"/>
                    <w:szCs w:val="22"/>
                    <w:vertAlign w:val="superscript"/>
                  </w:rPr>
                  <w:t>3</w:t>
                </w:r>
              </w:sdtContent>
            </w:sdt>
            <w:r w:rsidRPr="000C5C9D">
              <w:rPr>
                <w:rFonts w:eastAsia="Times New Roman" w:cs="Times New Roman"/>
                <w:kern w:val="0"/>
                <w:sz w:val="22"/>
                <w:szCs w:val="22"/>
                <w:lang w:eastAsia="en-GB"/>
                <w14:ligatures w14:val="none"/>
              </w:rPr>
              <w:t>.</w:t>
            </w:r>
          </w:p>
        </w:tc>
      </w:tr>
      <w:tr w:rsidR="00F04522" w:rsidRPr="000C5C9D" w14:paraId="0577221B"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433BE888"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p>
        </w:tc>
        <w:tc>
          <w:tcPr>
            <w:tcW w:w="2268" w:type="dxa"/>
            <w:hideMark/>
          </w:tcPr>
          <w:p w14:paraId="6C548890"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MRC Dyspnoea Scale</w:t>
            </w:r>
          </w:p>
        </w:tc>
        <w:tc>
          <w:tcPr>
            <w:tcW w:w="5953" w:type="dxa"/>
            <w:hideMark/>
          </w:tcPr>
          <w:p w14:paraId="0207F061"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A 5-point scale evaluating breathlessness severity during activity.</w:t>
            </w:r>
          </w:p>
          <w:p w14:paraId="059D7AA8"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1–5</w:t>
            </w:r>
            <w:sdt>
              <w:sdtPr>
                <w:rPr>
                  <w:rFonts w:cs="Times New Roman"/>
                  <w:color w:val="000000"/>
                  <w:sz w:val="22"/>
                  <w:szCs w:val="22"/>
                  <w:highlight w:val="white"/>
                </w:rPr>
                <w:alias w:val="Citation"/>
                <w:tag w:val="{&quot;referencesIds&quot;:[&quot;doc:681ba39220c20b4bb4e53c01&quot;],&quot;referencesOptions&quot;:{&quot;doc:681ba39220c20b4bb4e53c01&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726956741,&quot;citationText&quot;:&quot;&lt;span style=\&quot;font-family:Times New Roman;font-size:14.666666666666666px;color:#000000\&quot;&gt;&lt;sup&gt;4&lt;/sup&gt;&lt;/span&gt;&quot;}"/>
                <w:id w:val="726956741"/>
                <w:placeholder>
                  <w:docPart w:val="E0A931F9CFDB4FA3BDD37BF8D8A660FF"/>
                </w:placeholder>
              </w:sdtPr>
              <w:sdtEndPr/>
              <w:sdtContent>
                <w:r>
                  <w:rPr>
                    <w:rFonts w:eastAsia="Times New Roman"/>
                    <w:color w:val="000000"/>
                    <w:sz w:val="22"/>
                    <w:szCs w:val="22"/>
                    <w:vertAlign w:val="superscript"/>
                  </w:rPr>
                  <w:t>4</w:t>
                </w:r>
              </w:sdtContent>
            </w:sdt>
            <w:r w:rsidRPr="000C5C9D">
              <w:rPr>
                <w:rFonts w:eastAsia="Times New Roman" w:cs="Times New Roman"/>
                <w:kern w:val="0"/>
                <w:sz w:val="22"/>
                <w:szCs w:val="22"/>
                <w:lang w:eastAsia="en-GB"/>
                <w14:ligatures w14:val="none"/>
              </w:rPr>
              <w:t>.</w:t>
            </w:r>
          </w:p>
        </w:tc>
      </w:tr>
      <w:tr w:rsidR="00F04522" w:rsidRPr="000C5C9D" w14:paraId="7C84EB70"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46640A37"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Psychological Outcomes</w:t>
            </w:r>
          </w:p>
        </w:tc>
        <w:tc>
          <w:tcPr>
            <w:tcW w:w="2268" w:type="dxa"/>
            <w:hideMark/>
          </w:tcPr>
          <w:p w14:paraId="06E8B535"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Patient Health Questionnaire-2 (PHQ-2)</w:t>
            </w:r>
          </w:p>
        </w:tc>
        <w:tc>
          <w:tcPr>
            <w:tcW w:w="5953" w:type="dxa"/>
            <w:hideMark/>
          </w:tcPr>
          <w:p w14:paraId="287C5AF1"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A 2-item screening tool for depression symptoms over the past two weeks</w:t>
            </w:r>
            <w:sdt>
              <w:sdtPr>
                <w:rPr>
                  <w:rFonts w:cs="Times New Roman"/>
                  <w:color w:val="000000"/>
                  <w:sz w:val="22"/>
                  <w:szCs w:val="22"/>
                  <w:highlight w:val="white"/>
                </w:rPr>
                <w:alias w:val="Citation"/>
                <w:tag w:val="{&quot;referencesIds&quot;:[&quot;doc:681cef90acd2db171f06d0db&quot;],&quot;referencesOptions&quot;:{&quot;doc:681cef90acd2db171f06d0db&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2081812656,&quot;citationText&quot;:&quot;&lt;span style=\&quot;font-family:Times New Roman;font-size:14.666666666666666px;color:#000000\&quot;&gt;&lt;sup&gt;5&lt;/sup&gt;&lt;/span&gt;&quot;}"/>
                <w:id w:val="-2081812656"/>
                <w:placeholder>
                  <w:docPart w:val="85F0125346844E018E24EE65C85DD61B"/>
                </w:placeholder>
              </w:sdtPr>
              <w:sdtEndPr/>
              <w:sdtContent>
                <w:r>
                  <w:rPr>
                    <w:rFonts w:eastAsia="Times New Roman"/>
                    <w:color w:val="000000"/>
                    <w:sz w:val="22"/>
                    <w:szCs w:val="22"/>
                    <w:vertAlign w:val="superscript"/>
                  </w:rPr>
                  <w:t>5</w:t>
                </w:r>
              </w:sdtContent>
            </w:sdt>
            <w:r w:rsidRPr="000C5C9D">
              <w:rPr>
                <w:rFonts w:eastAsia="Times New Roman" w:cs="Times New Roman"/>
                <w:kern w:val="0"/>
                <w:sz w:val="22"/>
                <w:szCs w:val="22"/>
                <w:lang w:eastAsia="en-GB"/>
                <w14:ligatures w14:val="none"/>
              </w:rPr>
              <w:t>.</w:t>
            </w:r>
          </w:p>
          <w:p w14:paraId="45B99B3A"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0–6.</w:t>
            </w:r>
          </w:p>
        </w:tc>
      </w:tr>
      <w:tr w:rsidR="00F04522" w:rsidRPr="000C5C9D" w14:paraId="2737F5D2"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1249330F"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p>
        </w:tc>
        <w:tc>
          <w:tcPr>
            <w:tcW w:w="2268" w:type="dxa"/>
            <w:hideMark/>
          </w:tcPr>
          <w:p w14:paraId="1D38743C"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Generalised Anxiety Disorder-2 (GAD-2)</w:t>
            </w:r>
          </w:p>
        </w:tc>
        <w:tc>
          <w:tcPr>
            <w:tcW w:w="5953" w:type="dxa"/>
            <w:hideMark/>
          </w:tcPr>
          <w:p w14:paraId="19CFD49A"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 xml:space="preserve">A 2-item screening tool for anxiety symptoms </w:t>
            </w:r>
            <w:sdt>
              <w:sdtPr>
                <w:rPr>
                  <w:rFonts w:cs="Times New Roman"/>
                  <w:color w:val="000000"/>
                  <w:sz w:val="22"/>
                  <w:szCs w:val="22"/>
                  <w:highlight w:val="white"/>
                </w:rPr>
                <w:alias w:val="Citation"/>
                <w:tag w:val="{&quot;referencesIds&quot;:[&quot;doc:681cf03a20c20b4bb4e5843a&quot;],&quot;referencesOptions&quot;:{&quot;doc:681cf03a20c20b4bb4e5843a&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393269532,&quot;citationText&quot;:&quot;&lt;span style=\&quot;font-family:Times New Roman;font-size:14.666666666666666px;color:#000000\&quot;&gt;&lt;sup&gt;6&lt;/sup&gt;&lt;/span&gt;&quot;}"/>
                <w:id w:val="-393269532"/>
                <w:placeholder>
                  <w:docPart w:val="20131E7CDF4346EF9F531D8771EF842A"/>
                </w:placeholder>
              </w:sdtPr>
              <w:sdtEndPr/>
              <w:sdtContent>
                <w:r>
                  <w:rPr>
                    <w:rFonts w:eastAsia="Times New Roman"/>
                    <w:color w:val="000000"/>
                    <w:sz w:val="22"/>
                    <w:szCs w:val="22"/>
                    <w:vertAlign w:val="superscript"/>
                  </w:rPr>
                  <w:t>6</w:t>
                </w:r>
              </w:sdtContent>
            </w:sdt>
            <w:r w:rsidRPr="000C5C9D">
              <w:rPr>
                <w:rFonts w:eastAsia="Times New Roman" w:cs="Times New Roman"/>
                <w:kern w:val="0"/>
                <w:sz w:val="22"/>
                <w:szCs w:val="22"/>
                <w:lang w:eastAsia="en-GB"/>
                <w14:ligatures w14:val="none"/>
              </w:rPr>
              <w:t>.</w:t>
            </w:r>
          </w:p>
          <w:p w14:paraId="551BD144"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0–6</w:t>
            </w:r>
          </w:p>
        </w:tc>
      </w:tr>
      <w:tr w:rsidR="00F04522" w:rsidRPr="000C5C9D" w14:paraId="504311B6"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28DE4425"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r w:rsidRPr="000C5C9D">
              <w:rPr>
                <w:rFonts w:eastAsia="Times New Roman" w:cs="Times New Roman"/>
                <w:b w:val="0"/>
                <w:bCs w:val="0"/>
                <w:kern w:val="0"/>
                <w:sz w:val="22"/>
                <w:szCs w:val="22"/>
                <w:lang w:eastAsia="en-GB"/>
                <w14:ligatures w14:val="none"/>
              </w:rPr>
              <w:t>Quality of Life</w:t>
            </w:r>
          </w:p>
        </w:tc>
        <w:tc>
          <w:tcPr>
            <w:tcW w:w="2268" w:type="dxa"/>
            <w:hideMark/>
          </w:tcPr>
          <w:p w14:paraId="71E90486"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EQ-5D-5L (Domains)</w:t>
            </w:r>
          </w:p>
        </w:tc>
        <w:tc>
          <w:tcPr>
            <w:tcW w:w="5953" w:type="dxa"/>
            <w:hideMark/>
          </w:tcPr>
          <w:p w14:paraId="135F74A8"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Assesses health-related quality of life across five domains: Mobility, Self-care, Usual activities, Pain/discomfort, Anxiety/depression.</w:t>
            </w:r>
          </w:p>
          <w:p w14:paraId="500AFAC4" w14:textId="77777777"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1–5 per domain.</w:t>
            </w:r>
          </w:p>
        </w:tc>
      </w:tr>
      <w:tr w:rsidR="00F04522" w:rsidRPr="000C5C9D" w14:paraId="5F9084DC" w14:textId="77777777" w:rsidTr="00764CA6">
        <w:tc>
          <w:tcPr>
            <w:cnfStyle w:val="001000000000" w:firstRow="0" w:lastRow="0" w:firstColumn="1" w:lastColumn="0" w:oddVBand="0" w:evenVBand="0" w:oddHBand="0" w:evenHBand="0" w:firstRowFirstColumn="0" w:firstRowLastColumn="0" w:lastRowFirstColumn="0" w:lastRowLastColumn="0"/>
            <w:tcW w:w="2127" w:type="dxa"/>
            <w:hideMark/>
          </w:tcPr>
          <w:p w14:paraId="380B4B29" w14:textId="77777777" w:rsidR="00F04522" w:rsidRPr="000C5C9D" w:rsidRDefault="00F04522" w:rsidP="00764CA6">
            <w:pPr>
              <w:spacing w:line="360" w:lineRule="auto"/>
              <w:rPr>
                <w:rFonts w:eastAsia="Times New Roman" w:cs="Times New Roman"/>
                <w:b w:val="0"/>
                <w:bCs w:val="0"/>
                <w:kern w:val="0"/>
                <w:sz w:val="22"/>
                <w:szCs w:val="22"/>
                <w:lang w:eastAsia="en-GB"/>
                <w14:ligatures w14:val="none"/>
              </w:rPr>
            </w:pPr>
          </w:p>
        </w:tc>
        <w:tc>
          <w:tcPr>
            <w:tcW w:w="2268" w:type="dxa"/>
            <w:hideMark/>
          </w:tcPr>
          <w:p w14:paraId="05AB93F8" w14:textId="77777777" w:rsidR="00F04522"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EQ-5D Visual Analogue Scale (VAS)</w:t>
            </w:r>
          </w:p>
          <w:p w14:paraId="244F27C8" w14:textId="4D14D35F" w:rsidR="00E04D2A" w:rsidRPr="000C5C9D" w:rsidRDefault="00E04D2A"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p>
        </w:tc>
        <w:tc>
          <w:tcPr>
            <w:tcW w:w="5953" w:type="dxa"/>
            <w:hideMark/>
          </w:tcPr>
          <w:p w14:paraId="0BB5ECDD" w14:textId="0DB6F8D3" w:rsidR="00F04522" w:rsidRPr="000C5C9D"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Self-rated overall health status on a vertical visual</w:t>
            </w:r>
            <w:sdt>
              <w:sdtPr>
                <w:rPr>
                  <w:rFonts w:cs="Times New Roman"/>
                  <w:color w:val="000000"/>
                  <w:sz w:val="22"/>
                  <w:szCs w:val="22"/>
                  <w:highlight w:val="white"/>
                </w:rPr>
                <w:alias w:val="Citation"/>
                <w:tag w:val="{&quot;referencesIds&quot;:[&quot;doc:681cf1231129db24e3d9365f&quot;],&quot;referencesOptions&quot;:{&quot;doc:681cf1231129db24e3d9365f&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716973921,&quot;citationText&quot;:&quot;&lt;span style=\&quot;font-family:Times New Roman;font-size:14.666666666666666px;color:#000000\&quot;&gt;&lt;sup&gt;7&lt;/sup&gt;&lt;/span&gt;&quot;}"/>
                <w:id w:val="-716973921"/>
                <w:placeholder>
                  <w:docPart w:val="611902C070FE4F49B504ADC51B28CEFC"/>
                </w:placeholder>
              </w:sdtPr>
              <w:sdtEndPr>
                <w:rPr>
                  <w:rFonts w:eastAsia="Times New Roman"/>
                </w:rPr>
              </w:sdtEndPr>
              <w:sdtContent>
                <w:r>
                  <w:rPr>
                    <w:rFonts w:eastAsia="Times New Roman"/>
                    <w:color w:val="000000"/>
                    <w:sz w:val="22"/>
                    <w:szCs w:val="22"/>
                    <w:vertAlign w:val="superscript"/>
                  </w:rPr>
                  <w:t>7</w:t>
                </w:r>
                <w:r w:rsidR="00512DAA">
                  <w:rPr>
                    <w:rFonts w:eastAsia="Times New Roman"/>
                    <w:color w:val="000000"/>
                    <w:sz w:val="22"/>
                    <w:szCs w:val="22"/>
                    <w:vertAlign w:val="superscript"/>
                  </w:rPr>
                  <w:t>,8</w:t>
                </w:r>
              </w:sdtContent>
            </w:sdt>
            <w:r w:rsidRPr="000C5C9D">
              <w:rPr>
                <w:rFonts w:eastAsia="Times New Roman" w:cs="Times New Roman"/>
                <w:kern w:val="0"/>
                <w:sz w:val="22"/>
                <w:szCs w:val="22"/>
                <w:lang w:eastAsia="en-GB"/>
                <w14:ligatures w14:val="none"/>
              </w:rPr>
              <w:t>.</w:t>
            </w:r>
          </w:p>
          <w:p w14:paraId="5E01A266" w14:textId="77777777" w:rsidR="00F04522" w:rsidRDefault="00F04522"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0C5C9D">
              <w:rPr>
                <w:rFonts w:eastAsia="Times New Roman" w:cs="Times New Roman"/>
                <w:kern w:val="0"/>
                <w:sz w:val="22"/>
                <w:szCs w:val="22"/>
                <w:lang w:eastAsia="en-GB"/>
                <w14:ligatures w14:val="none"/>
              </w:rPr>
              <w:t>Range: 0–100.</w:t>
            </w:r>
          </w:p>
          <w:p w14:paraId="5D4C9F84" w14:textId="77777777" w:rsidR="00E04D2A" w:rsidRPr="000C5C9D" w:rsidRDefault="00E04D2A" w:rsidP="00764CA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p>
        </w:tc>
      </w:tr>
    </w:tbl>
    <w:p w14:paraId="4645DA11" w14:textId="77777777" w:rsidR="00F04522" w:rsidRDefault="00F04522"/>
    <w:p w14:paraId="00CB9878" w14:textId="77777777" w:rsidR="00F04522" w:rsidRDefault="00F04522" w:rsidP="000C5C9D">
      <w:pPr>
        <w:spacing w:line="480" w:lineRule="auto"/>
      </w:pPr>
      <w:r>
        <w:t>References</w:t>
      </w:r>
    </w:p>
    <w:p w14:paraId="1DA4E25A" w14:textId="77777777" w:rsidR="00F04522" w:rsidRPr="000C5C9D"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t>J.C. Mundt, I.M. Marks, M.K. Shear, J.H. Greist</w:t>
      </w:r>
      <w:r>
        <w:rPr>
          <w:rFonts w:eastAsia="Times New Roman" w:cs="Times New Roman"/>
          <w:kern w:val="0"/>
          <w:szCs w:val="24"/>
          <w:lang w:eastAsia="en-GB"/>
          <w14:ligatures w14:val="none"/>
        </w:rPr>
        <w:t>. The Work and Social Adjustment Scale: a simple measure of impairment in functioning.</w:t>
      </w:r>
      <w:r w:rsidRPr="000C5C9D">
        <w:rPr>
          <w:rFonts w:eastAsia="Times New Roman" w:cs="Times New Roman"/>
          <w:kern w:val="0"/>
          <w:szCs w:val="24"/>
          <w:lang w:eastAsia="en-GB"/>
          <w14:ligatures w14:val="none"/>
        </w:rPr>
        <w:t xml:space="preserve"> Br J Psychiatry, 180 (2002), pp. 461–464, 10.1192/bjp.180.5.461</w:t>
      </w:r>
    </w:p>
    <w:p w14:paraId="598C575C" w14:textId="77777777" w:rsidR="00F04522" w:rsidRPr="000C5C9D"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lastRenderedPageBreak/>
        <w:t xml:space="preserve">R.W. Bohannon Hand-grip dynamometry predicts future outcomes in </w:t>
      </w:r>
      <w:r>
        <w:rPr>
          <w:rFonts w:eastAsia="Times New Roman" w:cs="Times New Roman"/>
          <w:kern w:val="0"/>
          <w:szCs w:val="24"/>
          <w:lang w:eastAsia="en-GB"/>
          <w14:ligatures w14:val="none"/>
        </w:rPr>
        <w:t>ageing</w:t>
      </w:r>
      <w:r w:rsidRPr="000C5C9D">
        <w:rPr>
          <w:rFonts w:eastAsia="Times New Roman" w:cs="Times New Roman"/>
          <w:kern w:val="0"/>
          <w:szCs w:val="24"/>
          <w:lang w:eastAsia="en-GB"/>
          <w14:ligatures w14:val="none"/>
        </w:rPr>
        <w:t xml:space="preserve"> adults J Geriatr Phys Ther, 31 (2008), pp. 3–10, 10.1519/00139143-200831010-00002</w:t>
      </w:r>
    </w:p>
    <w:p w14:paraId="78004065" w14:textId="77777777" w:rsidR="00F04522" w:rsidRPr="000C5C9D"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t>L.B. Krupp, N.G. LaRocca, J. Muir-Nash, A.D. Steinberg</w:t>
      </w:r>
      <w:r>
        <w:rPr>
          <w:rFonts w:eastAsia="Times New Roman" w:cs="Times New Roman"/>
          <w:kern w:val="0"/>
          <w:szCs w:val="24"/>
          <w:lang w:eastAsia="en-GB"/>
          <w14:ligatures w14:val="none"/>
        </w:rPr>
        <w:t>.</w:t>
      </w:r>
      <w:r w:rsidRPr="000C5C9D">
        <w:rPr>
          <w:rFonts w:eastAsia="Times New Roman" w:cs="Times New Roman"/>
          <w:kern w:val="0"/>
          <w:szCs w:val="24"/>
          <w:lang w:eastAsia="en-GB"/>
          <w14:ligatures w14:val="none"/>
        </w:rPr>
        <w:t xml:space="preserve"> The fatigue severity scale. Application to patients with multiple sclerosis and systemic lupus erythematosus Arch </w:t>
      </w:r>
      <w:proofErr w:type="spellStart"/>
      <w:r w:rsidRPr="000C5C9D">
        <w:rPr>
          <w:rFonts w:eastAsia="Times New Roman" w:cs="Times New Roman"/>
          <w:kern w:val="0"/>
          <w:szCs w:val="24"/>
          <w:lang w:eastAsia="en-GB"/>
          <w14:ligatures w14:val="none"/>
        </w:rPr>
        <w:t>Neurol</w:t>
      </w:r>
      <w:proofErr w:type="spellEnd"/>
      <w:r w:rsidRPr="000C5C9D">
        <w:rPr>
          <w:rFonts w:eastAsia="Times New Roman" w:cs="Times New Roman"/>
          <w:kern w:val="0"/>
          <w:szCs w:val="24"/>
          <w:lang w:eastAsia="en-GB"/>
          <w14:ligatures w14:val="none"/>
        </w:rPr>
        <w:t>, 46 (1989), pp. 1121–1123, 10.1001/archneur.1989.00520460115022</w:t>
      </w:r>
    </w:p>
    <w:p w14:paraId="3CB34E4A" w14:textId="77777777" w:rsidR="00F04522" w:rsidRPr="000C5C9D"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t xml:space="preserve">J.C. </w:t>
      </w:r>
      <w:proofErr w:type="spellStart"/>
      <w:r w:rsidRPr="000C5C9D">
        <w:rPr>
          <w:rFonts w:eastAsia="Times New Roman" w:cs="Times New Roman"/>
          <w:kern w:val="0"/>
          <w:szCs w:val="24"/>
          <w:lang w:eastAsia="en-GB"/>
          <w14:ligatures w14:val="none"/>
        </w:rPr>
        <w:t>Bestall</w:t>
      </w:r>
      <w:proofErr w:type="spellEnd"/>
      <w:r w:rsidRPr="000C5C9D">
        <w:rPr>
          <w:rFonts w:eastAsia="Times New Roman" w:cs="Times New Roman"/>
          <w:kern w:val="0"/>
          <w:szCs w:val="24"/>
          <w:lang w:eastAsia="en-GB"/>
          <w14:ligatures w14:val="none"/>
        </w:rPr>
        <w:t xml:space="preserve">, E.A. Paul, R. Garrod, R. Garnham, P.W. Jones, J.A. </w:t>
      </w:r>
      <w:proofErr w:type="spellStart"/>
      <w:r w:rsidRPr="000C5C9D">
        <w:rPr>
          <w:rFonts w:eastAsia="Times New Roman" w:cs="Times New Roman"/>
          <w:kern w:val="0"/>
          <w:szCs w:val="24"/>
          <w:lang w:eastAsia="en-GB"/>
          <w14:ligatures w14:val="none"/>
        </w:rPr>
        <w:t>Wedzicha</w:t>
      </w:r>
      <w:proofErr w:type="spellEnd"/>
      <w:r>
        <w:rPr>
          <w:rFonts w:eastAsia="Times New Roman" w:cs="Times New Roman"/>
          <w:kern w:val="0"/>
          <w:szCs w:val="24"/>
          <w:lang w:eastAsia="en-GB"/>
          <w14:ligatures w14:val="none"/>
        </w:rPr>
        <w:t>. Usefulness of the Medical Research Council (MRC) dyspnoea scale as a measure of disability in patients with chronic obstructive pulmonary disease.</w:t>
      </w:r>
      <w:r w:rsidRPr="000C5C9D">
        <w:rPr>
          <w:rFonts w:eastAsia="Times New Roman" w:cs="Times New Roman"/>
          <w:kern w:val="0"/>
          <w:szCs w:val="24"/>
          <w:lang w:eastAsia="en-GB"/>
          <w14:ligatures w14:val="none"/>
        </w:rPr>
        <w:t xml:space="preserve"> Thorax, 54 (1999), pp. 581–586, 10.1136/thx.54.7.581</w:t>
      </w:r>
    </w:p>
    <w:p w14:paraId="45CF406E" w14:textId="77777777" w:rsidR="00F04522" w:rsidRPr="000C5C9D"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t>K. Kroenke, R.L. Spitzer, J.B.W. Williams</w:t>
      </w:r>
      <w:r>
        <w:rPr>
          <w:rFonts w:eastAsia="Times New Roman" w:cs="Times New Roman"/>
          <w:kern w:val="0"/>
          <w:szCs w:val="24"/>
          <w:lang w:eastAsia="en-GB"/>
          <w14:ligatures w14:val="none"/>
        </w:rPr>
        <w:t>. The Patient Health Questionnaire-2: validity of a two-item depression screener.</w:t>
      </w:r>
      <w:r w:rsidRPr="000C5C9D">
        <w:rPr>
          <w:rFonts w:eastAsia="Times New Roman" w:cs="Times New Roman"/>
          <w:kern w:val="0"/>
          <w:szCs w:val="24"/>
          <w:lang w:eastAsia="en-GB"/>
          <w14:ligatures w14:val="none"/>
        </w:rPr>
        <w:t xml:space="preserve"> Med Care, 41 (2003), pp. 1284–1292, 10.1097/01.MLR.0000093487.78664.3C</w:t>
      </w:r>
    </w:p>
    <w:p w14:paraId="46BC152A" w14:textId="7257AC33" w:rsidR="0014793F" w:rsidRDefault="00DE6C51"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Pr>
          <w:rFonts w:eastAsia="Times New Roman" w:cs="Times New Roman"/>
          <w:kern w:val="0"/>
          <w:szCs w:val="24"/>
          <w:lang w:eastAsia="en-GB"/>
          <w14:ligatures w14:val="none"/>
        </w:rPr>
        <w:t xml:space="preserve">A. </w:t>
      </w:r>
      <w:r w:rsidRPr="00DE6C51">
        <w:rPr>
          <w:rFonts w:eastAsia="Times New Roman" w:cs="Times New Roman"/>
          <w:kern w:val="0"/>
          <w:szCs w:val="24"/>
          <w:lang w:eastAsia="en-GB"/>
          <w14:ligatures w14:val="none"/>
        </w:rPr>
        <w:t>Sapra,</w:t>
      </w:r>
      <w:r>
        <w:rPr>
          <w:rFonts w:eastAsia="Times New Roman" w:cs="Times New Roman"/>
          <w:kern w:val="0"/>
          <w:szCs w:val="24"/>
          <w:lang w:eastAsia="en-GB"/>
          <w14:ligatures w14:val="none"/>
        </w:rPr>
        <w:t xml:space="preserve"> P.</w:t>
      </w:r>
      <w:r w:rsidRPr="00DE6C51">
        <w:rPr>
          <w:rFonts w:eastAsia="Times New Roman" w:cs="Times New Roman"/>
          <w:kern w:val="0"/>
          <w:szCs w:val="24"/>
          <w:lang w:eastAsia="en-GB"/>
          <w14:ligatures w14:val="none"/>
        </w:rPr>
        <w:t xml:space="preserve"> Bhandari, </w:t>
      </w:r>
      <w:r>
        <w:rPr>
          <w:rFonts w:eastAsia="Times New Roman" w:cs="Times New Roman"/>
          <w:kern w:val="0"/>
          <w:szCs w:val="24"/>
          <w:lang w:eastAsia="en-GB"/>
          <w14:ligatures w14:val="none"/>
        </w:rPr>
        <w:t xml:space="preserve">S. </w:t>
      </w:r>
      <w:r w:rsidRPr="00DE6C51">
        <w:rPr>
          <w:rFonts w:eastAsia="Times New Roman" w:cs="Times New Roman"/>
          <w:kern w:val="0"/>
          <w:szCs w:val="24"/>
          <w:lang w:eastAsia="en-GB"/>
          <w14:ligatures w14:val="none"/>
        </w:rPr>
        <w:t xml:space="preserve">Sharma, </w:t>
      </w:r>
      <w:r>
        <w:rPr>
          <w:rFonts w:eastAsia="Times New Roman" w:cs="Times New Roman"/>
          <w:kern w:val="0"/>
          <w:szCs w:val="24"/>
          <w:lang w:eastAsia="en-GB"/>
          <w14:ligatures w14:val="none"/>
        </w:rPr>
        <w:t xml:space="preserve">T. </w:t>
      </w:r>
      <w:proofErr w:type="spellStart"/>
      <w:r w:rsidRPr="00DE6C51">
        <w:rPr>
          <w:rFonts w:eastAsia="Times New Roman" w:cs="Times New Roman"/>
          <w:kern w:val="0"/>
          <w:szCs w:val="24"/>
          <w:lang w:eastAsia="en-GB"/>
          <w14:ligatures w14:val="none"/>
        </w:rPr>
        <w:t>Chanpura</w:t>
      </w:r>
      <w:proofErr w:type="spellEnd"/>
      <w:r>
        <w:rPr>
          <w:rFonts w:eastAsia="Times New Roman" w:cs="Times New Roman"/>
          <w:kern w:val="0"/>
          <w:szCs w:val="24"/>
          <w:lang w:eastAsia="en-GB"/>
          <w14:ligatures w14:val="none"/>
        </w:rPr>
        <w:t>, L.</w:t>
      </w:r>
      <w:r w:rsidRPr="00DE6C51">
        <w:rPr>
          <w:rFonts w:eastAsia="Times New Roman" w:cs="Times New Roman"/>
          <w:kern w:val="0"/>
          <w:szCs w:val="24"/>
          <w:lang w:eastAsia="en-GB"/>
          <w14:ligatures w14:val="none"/>
        </w:rPr>
        <w:t xml:space="preserve"> Lopp L. Using Generalized Anxiety Disorder-2 (GAD-2) and GAD-7 in a Primary Care Setting. Cureus. 2020 May 21;12(5):e8224. </w:t>
      </w:r>
      <w:proofErr w:type="spellStart"/>
      <w:r w:rsidRPr="00DE6C51">
        <w:rPr>
          <w:rFonts w:eastAsia="Times New Roman" w:cs="Times New Roman"/>
          <w:kern w:val="0"/>
          <w:szCs w:val="24"/>
          <w:lang w:eastAsia="en-GB"/>
          <w14:ligatures w14:val="none"/>
        </w:rPr>
        <w:t>doi</w:t>
      </w:r>
      <w:proofErr w:type="spellEnd"/>
      <w:r w:rsidRPr="00DE6C51">
        <w:rPr>
          <w:rFonts w:eastAsia="Times New Roman" w:cs="Times New Roman"/>
          <w:kern w:val="0"/>
          <w:szCs w:val="24"/>
          <w:lang w:eastAsia="en-GB"/>
          <w14:ligatures w14:val="none"/>
        </w:rPr>
        <w:t>: 10.7759/cureus.8224. PMID: 32582485; PMCID: PMC7306644.</w:t>
      </w:r>
    </w:p>
    <w:p w14:paraId="5EB5EA4F" w14:textId="7E84C665" w:rsidR="00F04522" w:rsidRDefault="00F04522" w:rsidP="000C5C9D">
      <w:pPr>
        <w:pStyle w:val="ListParagraph"/>
        <w:numPr>
          <w:ilvl w:val="0"/>
          <w:numId w:val="1"/>
        </w:numPr>
        <w:spacing w:before="100" w:beforeAutospacing="1" w:after="100" w:afterAutospacing="1" w:line="480" w:lineRule="auto"/>
        <w:rPr>
          <w:rFonts w:eastAsia="Times New Roman" w:cs="Times New Roman"/>
          <w:kern w:val="0"/>
          <w:szCs w:val="24"/>
          <w:lang w:eastAsia="en-GB"/>
          <w14:ligatures w14:val="none"/>
        </w:rPr>
      </w:pPr>
      <w:r w:rsidRPr="000C5C9D">
        <w:rPr>
          <w:rFonts w:eastAsia="Times New Roman" w:cs="Times New Roman"/>
          <w:kern w:val="0"/>
          <w:szCs w:val="24"/>
          <w:lang w:eastAsia="en-GB"/>
          <w14:ligatures w14:val="none"/>
        </w:rPr>
        <w:t>M. Herdman, C. Gudex, A. Lloyd, et al. Development and preliminary testing of the new five-level version of EQ-5D (EQ-5D-5L) Qual Life Res, 20 (2011), pp. 1727–1736, 10.1007/s11136-011-9903-x</w:t>
      </w:r>
    </w:p>
    <w:p w14:paraId="03EAD42F" w14:textId="34B6A982" w:rsidR="00F04522" w:rsidRDefault="00512DAA" w:rsidP="00512DAA">
      <w:pPr>
        <w:pStyle w:val="ListParagraph"/>
        <w:numPr>
          <w:ilvl w:val="0"/>
          <w:numId w:val="1"/>
        </w:numPr>
        <w:spacing w:before="100" w:beforeAutospacing="1" w:after="100" w:afterAutospacing="1" w:line="480" w:lineRule="auto"/>
      </w:pPr>
      <w:r w:rsidRPr="00512DAA">
        <w:rPr>
          <w:rFonts w:eastAsia="Times New Roman" w:cs="Times New Roman"/>
          <w:kern w:val="0"/>
          <w:szCs w:val="24"/>
          <w:lang w:eastAsia="en-GB"/>
          <w14:ligatures w14:val="none"/>
        </w:rPr>
        <w:t xml:space="preserve">Y. Feng, D. Parkin, N.J. Devlin. Assessing the performance of the EQ-VAS in the NHS PROMs programme. Qual Life Res. 2014 Apr;23(3):977-89. </w:t>
      </w:r>
      <w:proofErr w:type="spellStart"/>
      <w:r w:rsidRPr="00512DAA">
        <w:rPr>
          <w:rFonts w:eastAsia="Times New Roman" w:cs="Times New Roman"/>
          <w:kern w:val="0"/>
          <w:szCs w:val="24"/>
          <w:lang w:eastAsia="en-GB"/>
          <w14:ligatures w14:val="none"/>
        </w:rPr>
        <w:t>doi</w:t>
      </w:r>
      <w:proofErr w:type="spellEnd"/>
      <w:r w:rsidRPr="00512DAA">
        <w:rPr>
          <w:rFonts w:eastAsia="Times New Roman" w:cs="Times New Roman"/>
          <w:kern w:val="0"/>
          <w:szCs w:val="24"/>
          <w:lang w:eastAsia="en-GB"/>
          <w14:ligatures w14:val="none"/>
        </w:rPr>
        <w:t xml:space="preserve">: 10.1007/s11136-013-0537-z. </w:t>
      </w:r>
    </w:p>
    <w:p w14:paraId="62DACFBC" w14:textId="77777777" w:rsidR="00F04522" w:rsidRDefault="00F04522">
      <w:pPr>
        <w:pStyle w:val="NormalWeb"/>
        <w:spacing w:line="480" w:lineRule="auto"/>
        <w:jc w:val="center"/>
      </w:pPr>
      <w:r>
        <w:br/>
      </w:r>
    </w:p>
    <w:p w14:paraId="5C9B0762" w14:textId="77777777" w:rsidR="00F04522" w:rsidRDefault="00F04522" w:rsidP="00C91214">
      <w:pPr>
        <w:pStyle w:val="MDPI21heading1"/>
        <w:spacing w:before="0"/>
        <w:ind w:left="0"/>
        <w:rPr>
          <w:rFonts w:ascii="Times New Roman" w:hAnsi="Times New Roman"/>
          <w:b w:val="0"/>
          <w:bCs/>
          <w:szCs w:val="24"/>
        </w:rPr>
      </w:pPr>
    </w:p>
    <w:p w14:paraId="06B910A4" w14:textId="12069C3A" w:rsidR="000E2498" w:rsidRPr="0014344E" w:rsidRDefault="000E2498" w:rsidP="00F000B7">
      <w:pPr>
        <w:spacing w:after="0" w:line="360" w:lineRule="auto"/>
        <w:jc w:val="both"/>
        <w:rPr>
          <w:rFonts w:cs="Times New Roman"/>
          <w:sz w:val="22"/>
          <w:szCs w:val="22"/>
        </w:rPr>
      </w:pPr>
      <w:r w:rsidRPr="00BB1C78">
        <w:rPr>
          <w:rFonts w:cs="Times New Roman"/>
          <w:noProof/>
        </w:rPr>
        <w:drawing>
          <wp:anchor distT="0" distB="0" distL="114300" distR="114300" simplePos="0" relativeHeight="251661312" behindDoc="0" locked="0" layoutInCell="1" allowOverlap="1" wp14:anchorId="5AAF99C2" wp14:editId="1DAA8A32">
            <wp:simplePos x="0" y="0"/>
            <wp:positionH relativeFrom="margin">
              <wp:posOffset>-19050</wp:posOffset>
            </wp:positionH>
            <wp:positionV relativeFrom="paragraph">
              <wp:posOffset>19050</wp:posOffset>
            </wp:positionV>
            <wp:extent cx="6141600" cy="4086000"/>
            <wp:effectExtent l="19050" t="19050" r="12065" b="10160"/>
            <wp:wrapTopAndBottom/>
            <wp:docPr id="32368959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89598" name="Picture 45"/>
                    <pic:cNvPicPr>
                      <a:picLocks noChangeAspect="1" noChangeArrowheads="1"/>
                    </pic:cNvPicPr>
                  </pic:nvPicPr>
                  <pic:blipFill rotWithShape="1">
                    <a:blip r:embed="rId5">
                      <a:extLst>
                        <a:ext uri="{28A0092B-C50C-407E-A947-70E740481C1C}">
                          <a14:useLocalDpi xmlns:a14="http://schemas.microsoft.com/office/drawing/2010/main" val="0"/>
                        </a:ext>
                      </a:extLst>
                    </a:blip>
                    <a:srcRect t="-3072" b="-803"/>
                    <a:stretch>
                      <a:fillRect/>
                    </a:stretch>
                  </pic:blipFill>
                  <pic:spPr bwMode="auto">
                    <a:xfrm>
                      <a:off x="0" y="0"/>
                      <a:ext cx="6141600" cy="4086000"/>
                    </a:xfrm>
                    <a:prstGeom prst="rect">
                      <a:avLst/>
                    </a:prstGeom>
                    <a:ln w="3175" cap="sq">
                      <a:solidFill>
                        <a:schemeClr val="accent1"/>
                      </a:solidFill>
                      <a:prstDash val="solid"/>
                      <a:miter lim="800000"/>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imes New Roman"/>
          <w:noProof/>
        </w:rPr>
        <w:t xml:space="preserve">Supplementary File </w:t>
      </w:r>
      <w:r w:rsidR="00DA2638">
        <w:rPr>
          <w:rFonts w:cs="Times New Roman"/>
          <w:noProof/>
        </w:rPr>
        <w:t>2</w:t>
      </w:r>
      <w:r>
        <w:rPr>
          <w:rFonts w:cs="Times New Roman"/>
          <w:noProof/>
        </w:rPr>
        <w:t>.</w:t>
      </w:r>
      <w:r w:rsidRPr="0014344E">
        <w:rPr>
          <w:rFonts w:eastAsia="Times New Roman" w:cs="Times New Roman"/>
          <w:kern w:val="0"/>
          <w:sz w:val="22"/>
          <w:szCs w:val="22"/>
          <w:shd w:val="clear" w:color="auto" w:fill="FFFFFF"/>
          <w:lang w:eastAsia="en-GB"/>
          <w14:ligatures w14:val="none"/>
        </w:rPr>
        <w:t xml:space="preserve"> </w:t>
      </w:r>
      <w:r>
        <w:rPr>
          <w:rFonts w:eastAsia="Times New Roman" w:cs="Times New Roman"/>
          <w:kern w:val="0"/>
          <w:sz w:val="22"/>
          <w:szCs w:val="22"/>
          <w:shd w:val="clear" w:color="auto" w:fill="FFFFFF"/>
          <w:lang w:eastAsia="en-GB"/>
          <w14:ligatures w14:val="none"/>
        </w:rPr>
        <w:t>Longitudinal review of referrals to the long COVID rehab service (2021–2023). (a) The total referrals by calendar year reveal a steep drop after the 2021 peak. (b) Referral data broken down by age group and year, emphasising the dominance of the 45–64 age range. (c) Referrals sorted by sex and year, showing a steady majority of females. (d) Referral data categorised by ethnicity and year. (</w:t>
      </w:r>
      <w:r w:rsidRPr="00F000B7">
        <w:rPr>
          <w:rFonts w:eastAsia="Times New Roman" w:cs="Times New Roman"/>
          <w:i/>
          <w:iCs/>
          <w:kern w:val="0"/>
          <w:sz w:val="22"/>
          <w:szCs w:val="22"/>
          <w:shd w:val="clear" w:color="auto" w:fill="FFFFFF"/>
          <w:lang w:eastAsia="en-GB"/>
          <w14:ligatures w14:val="none"/>
        </w:rPr>
        <w:t>N</w:t>
      </w:r>
      <w:r>
        <w:rPr>
          <w:rFonts w:eastAsia="Times New Roman" w:cs="Times New Roman"/>
          <w:kern w:val="0"/>
          <w:sz w:val="22"/>
          <w:szCs w:val="22"/>
          <w:shd w:val="clear" w:color="auto" w:fill="FFFFFF"/>
          <w:lang w:eastAsia="en-GB"/>
          <w14:ligatures w14:val="none"/>
        </w:rPr>
        <w:t>=1,269)</w:t>
      </w:r>
    </w:p>
    <w:p w14:paraId="04C02748" w14:textId="77777777" w:rsidR="000E2498" w:rsidRDefault="000E2498"/>
    <w:p w14:paraId="26478D44" w14:textId="77777777" w:rsidR="00F04522" w:rsidRPr="00C91214" w:rsidRDefault="00F04522" w:rsidP="00C91214">
      <w:pPr>
        <w:pStyle w:val="MDPI21heading1"/>
        <w:spacing w:before="0"/>
        <w:ind w:left="0"/>
        <w:rPr>
          <w:rFonts w:ascii="Times New Roman" w:hAnsi="Times New Roman"/>
          <w:b w:val="0"/>
          <w:bCs/>
          <w:szCs w:val="24"/>
        </w:rPr>
      </w:pPr>
    </w:p>
    <w:p w14:paraId="7D54C899" w14:textId="2AE28459" w:rsidR="00C91214" w:rsidRDefault="00C91214" w:rsidP="00C91214">
      <w:pPr>
        <w:jc w:val="center"/>
      </w:pPr>
    </w:p>
    <w:p w14:paraId="039F11C5" w14:textId="71155C94" w:rsidR="00C91214" w:rsidRDefault="00C91214" w:rsidP="00C91214"/>
    <w:p w14:paraId="6DA141EE" w14:textId="753B6BFC" w:rsidR="0060383C" w:rsidRDefault="0060383C" w:rsidP="00C91214"/>
    <w:sectPr w:rsidR="006038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E6389"/>
    <w:multiLevelType w:val="hybridMultilevel"/>
    <w:tmpl w:val="A1E8B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393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3NzO3NDU0Mjc1MTZS0lEKTi0uzszPAymwqAUAOLaroSwAAAA="/>
  </w:docVars>
  <w:rsids>
    <w:rsidRoot w:val="00C91214"/>
    <w:rsid w:val="000E2498"/>
    <w:rsid w:val="0014793F"/>
    <w:rsid w:val="00157EA2"/>
    <w:rsid w:val="00174BAA"/>
    <w:rsid w:val="002F0416"/>
    <w:rsid w:val="0044461A"/>
    <w:rsid w:val="00512DAA"/>
    <w:rsid w:val="0055653D"/>
    <w:rsid w:val="00591B87"/>
    <w:rsid w:val="0060383C"/>
    <w:rsid w:val="00632E71"/>
    <w:rsid w:val="007E7C21"/>
    <w:rsid w:val="00877E5C"/>
    <w:rsid w:val="008B6436"/>
    <w:rsid w:val="008E257E"/>
    <w:rsid w:val="00AC492A"/>
    <w:rsid w:val="00B57D14"/>
    <w:rsid w:val="00BA0E74"/>
    <w:rsid w:val="00C91214"/>
    <w:rsid w:val="00C92A2D"/>
    <w:rsid w:val="00C94F79"/>
    <w:rsid w:val="00DA2638"/>
    <w:rsid w:val="00DE6C51"/>
    <w:rsid w:val="00E04D2A"/>
    <w:rsid w:val="00EF4964"/>
    <w:rsid w:val="00F04522"/>
    <w:rsid w:val="00FF4FFB"/>
    <w:rsid w:val="00FF5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0915"/>
  <w15:chartTrackingRefBased/>
  <w15:docId w15:val="{6CC35149-9112-4E06-9F9E-626CCF22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kern w:val="2"/>
        <w:sz w:val="24"/>
        <w:szCs w:val="28"/>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214"/>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C91214"/>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C91214"/>
    <w:pPr>
      <w:keepNext/>
      <w:keepLines/>
      <w:spacing w:before="160" w:after="80"/>
      <w:outlineLvl w:val="2"/>
    </w:pPr>
    <w:rPr>
      <w:rFonts w:asciiTheme="minorHAnsi" w:eastAsiaTheme="majorEastAsia" w:hAnsiTheme="minorHAnsi"/>
      <w:color w:val="0F4761" w:themeColor="accent1" w:themeShade="BF"/>
      <w:sz w:val="28"/>
    </w:rPr>
  </w:style>
  <w:style w:type="paragraph" w:styleId="Heading4">
    <w:name w:val="heading 4"/>
    <w:basedOn w:val="Normal"/>
    <w:next w:val="Normal"/>
    <w:link w:val="Heading4Char"/>
    <w:uiPriority w:val="9"/>
    <w:semiHidden/>
    <w:unhideWhenUsed/>
    <w:qFormat/>
    <w:rsid w:val="00C91214"/>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C91214"/>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C91214"/>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C91214"/>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C91214"/>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C91214"/>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214"/>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C91214"/>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C91214"/>
    <w:rPr>
      <w:rFonts w:asciiTheme="minorHAnsi" w:eastAsiaTheme="majorEastAsia" w:hAnsiTheme="minorHAnsi"/>
      <w:color w:val="0F4761" w:themeColor="accent1" w:themeShade="BF"/>
      <w:sz w:val="28"/>
    </w:rPr>
  </w:style>
  <w:style w:type="character" w:customStyle="1" w:styleId="Heading4Char">
    <w:name w:val="Heading 4 Char"/>
    <w:basedOn w:val="DefaultParagraphFont"/>
    <w:link w:val="Heading4"/>
    <w:uiPriority w:val="9"/>
    <w:semiHidden/>
    <w:rsid w:val="00C91214"/>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C91214"/>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C91214"/>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C91214"/>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C91214"/>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C91214"/>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C91214"/>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C91214"/>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C91214"/>
    <w:pPr>
      <w:numPr>
        <w:ilvl w:val="1"/>
      </w:numPr>
    </w:pPr>
    <w:rPr>
      <w:rFonts w:asciiTheme="minorHAnsi" w:eastAsiaTheme="majorEastAsia" w:hAnsiTheme="minorHAnsi"/>
      <w:color w:val="595959" w:themeColor="text1" w:themeTint="A6"/>
      <w:spacing w:val="15"/>
      <w:sz w:val="28"/>
    </w:rPr>
  </w:style>
  <w:style w:type="character" w:customStyle="1" w:styleId="SubtitleChar">
    <w:name w:val="Subtitle Char"/>
    <w:basedOn w:val="DefaultParagraphFont"/>
    <w:link w:val="Subtitle"/>
    <w:uiPriority w:val="11"/>
    <w:rsid w:val="00C91214"/>
    <w:rPr>
      <w:rFonts w:asciiTheme="minorHAnsi" w:eastAsiaTheme="majorEastAsia" w:hAnsiTheme="minorHAnsi"/>
      <w:color w:val="595959" w:themeColor="text1" w:themeTint="A6"/>
      <w:spacing w:val="15"/>
      <w:sz w:val="28"/>
    </w:rPr>
  </w:style>
  <w:style w:type="paragraph" w:styleId="Quote">
    <w:name w:val="Quote"/>
    <w:basedOn w:val="Normal"/>
    <w:next w:val="Normal"/>
    <w:link w:val="QuoteChar"/>
    <w:uiPriority w:val="29"/>
    <w:qFormat/>
    <w:rsid w:val="00C91214"/>
    <w:pPr>
      <w:spacing w:before="160"/>
      <w:jc w:val="center"/>
    </w:pPr>
    <w:rPr>
      <w:i/>
      <w:iCs/>
      <w:color w:val="404040" w:themeColor="text1" w:themeTint="BF"/>
    </w:rPr>
  </w:style>
  <w:style w:type="character" w:customStyle="1" w:styleId="QuoteChar">
    <w:name w:val="Quote Char"/>
    <w:basedOn w:val="DefaultParagraphFont"/>
    <w:link w:val="Quote"/>
    <w:uiPriority w:val="29"/>
    <w:rsid w:val="00C91214"/>
    <w:rPr>
      <w:i/>
      <w:iCs/>
      <w:color w:val="404040" w:themeColor="text1" w:themeTint="BF"/>
    </w:rPr>
  </w:style>
  <w:style w:type="paragraph" w:styleId="ListParagraph">
    <w:name w:val="List Paragraph"/>
    <w:basedOn w:val="Normal"/>
    <w:uiPriority w:val="34"/>
    <w:qFormat/>
    <w:rsid w:val="00C91214"/>
    <w:pPr>
      <w:ind w:left="720"/>
      <w:contextualSpacing/>
    </w:pPr>
  </w:style>
  <w:style w:type="character" w:styleId="IntenseEmphasis">
    <w:name w:val="Intense Emphasis"/>
    <w:basedOn w:val="DefaultParagraphFont"/>
    <w:uiPriority w:val="21"/>
    <w:qFormat/>
    <w:rsid w:val="00C91214"/>
    <w:rPr>
      <w:i/>
      <w:iCs/>
      <w:color w:val="0F4761" w:themeColor="accent1" w:themeShade="BF"/>
    </w:rPr>
  </w:style>
  <w:style w:type="paragraph" w:styleId="IntenseQuote">
    <w:name w:val="Intense Quote"/>
    <w:basedOn w:val="Normal"/>
    <w:next w:val="Normal"/>
    <w:link w:val="IntenseQuoteChar"/>
    <w:uiPriority w:val="30"/>
    <w:qFormat/>
    <w:rsid w:val="00C91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214"/>
    <w:rPr>
      <w:i/>
      <w:iCs/>
      <w:color w:val="0F4761" w:themeColor="accent1" w:themeShade="BF"/>
    </w:rPr>
  </w:style>
  <w:style w:type="character" w:styleId="IntenseReference">
    <w:name w:val="Intense Reference"/>
    <w:basedOn w:val="DefaultParagraphFont"/>
    <w:uiPriority w:val="32"/>
    <w:qFormat/>
    <w:rsid w:val="00C91214"/>
    <w:rPr>
      <w:b/>
      <w:bCs/>
      <w:smallCaps/>
      <w:color w:val="0F4761" w:themeColor="accent1" w:themeShade="BF"/>
      <w:spacing w:val="5"/>
    </w:rPr>
  </w:style>
  <w:style w:type="paragraph" w:customStyle="1" w:styleId="MDPI21heading1">
    <w:name w:val="MDPI_2.1_heading1"/>
    <w:qFormat/>
    <w:rsid w:val="00C91214"/>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 w:type="table" w:styleId="PlainTable2">
    <w:name w:val="Plain Table 2"/>
    <w:basedOn w:val="TableNormal"/>
    <w:uiPriority w:val="42"/>
    <w:rsid w:val="00F045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F04522"/>
    <w:pPr>
      <w:spacing w:before="100" w:beforeAutospacing="1" w:after="100" w:afterAutospacing="1" w:line="240" w:lineRule="auto"/>
    </w:pPr>
    <w:rPr>
      <w:rFonts w:eastAsiaTheme="minorEastAsia"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E0BCE529EC42F89871AC2AF8B7FBB1"/>
        <w:category>
          <w:name w:val="General"/>
          <w:gallery w:val="placeholder"/>
        </w:category>
        <w:types>
          <w:type w:val="bbPlcHdr"/>
        </w:types>
        <w:behaviors>
          <w:behavior w:val="content"/>
        </w:behaviors>
        <w:guid w:val="{E3DB7DA7-E278-4B21-9804-E659CF9EBFA6}"/>
      </w:docPartPr>
      <w:docPartBody>
        <w:p w:rsidR="002E66D5" w:rsidRDefault="003D6B5C" w:rsidP="003D6B5C">
          <w:pPr>
            <w:pStyle w:val="DEE0BCE529EC42F89871AC2AF8B7FBB1"/>
          </w:pPr>
          <w:r w:rsidRPr="00030095">
            <w:rPr>
              <w:rStyle w:val="PlaceholderText"/>
            </w:rPr>
            <w:t>Formatting...</w:t>
          </w:r>
        </w:p>
      </w:docPartBody>
    </w:docPart>
    <w:docPart>
      <w:docPartPr>
        <w:name w:val="63B97C56EF72413B950A5227DB5E8D9D"/>
        <w:category>
          <w:name w:val="General"/>
          <w:gallery w:val="placeholder"/>
        </w:category>
        <w:types>
          <w:type w:val="bbPlcHdr"/>
        </w:types>
        <w:behaviors>
          <w:behavior w:val="content"/>
        </w:behaviors>
        <w:guid w:val="{B7977B63-8B57-413A-87A9-16A47E875297}"/>
      </w:docPartPr>
      <w:docPartBody>
        <w:p w:rsidR="002E66D5" w:rsidRDefault="003D6B5C" w:rsidP="003D6B5C">
          <w:pPr>
            <w:pStyle w:val="63B97C56EF72413B950A5227DB5E8D9D"/>
          </w:pPr>
          <w:r w:rsidRPr="00030095">
            <w:rPr>
              <w:rStyle w:val="PlaceholderText"/>
            </w:rPr>
            <w:t>Formatting...</w:t>
          </w:r>
        </w:p>
      </w:docPartBody>
    </w:docPart>
    <w:docPart>
      <w:docPartPr>
        <w:name w:val="BC02399C32FE4354BFD9F9FA4814EF9E"/>
        <w:category>
          <w:name w:val="General"/>
          <w:gallery w:val="placeholder"/>
        </w:category>
        <w:types>
          <w:type w:val="bbPlcHdr"/>
        </w:types>
        <w:behaviors>
          <w:behavior w:val="content"/>
        </w:behaviors>
        <w:guid w:val="{6F909BB8-2081-4415-94D4-CD69576FAA2E}"/>
      </w:docPartPr>
      <w:docPartBody>
        <w:p w:rsidR="002E66D5" w:rsidRDefault="003D6B5C" w:rsidP="003D6B5C">
          <w:pPr>
            <w:pStyle w:val="BC02399C32FE4354BFD9F9FA4814EF9E"/>
          </w:pPr>
          <w:r w:rsidRPr="00030095">
            <w:rPr>
              <w:rStyle w:val="PlaceholderText"/>
            </w:rPr>
            <w:t>Formatting...</w:t>
          </w:r>
        </w:p>
      </w:docPartBody>
    </w:docPart>
    <w:docPart>
      <w:docPartPr>
        <w:name w:val="E0A931F9CFDB4FA3BDD37BF8D8A660FF"/>
        <w:category>
          <w:name w:val="General"/>
          <w:gallery w:val="placeholder"/>
        </w:category>
        <w:types>
          <w:type w:val="bbPlcHdr"/>
        </w:types>
        <w:behaviors>
          <w:behavior w:val="content"/>
        </w:behaviors>
        <w:guid w:val="{FD5E4AED-6FC9-4968-9F40-EE6A0277B4D0}"/>
      </w:docPartPr>
      <w:docPartBody>
        <w:p w:rsidR="002E66D5" w:rsidRDefault="003D6B5C" w:rsidP="003D6B5C">
          <w:pPr>
            <w:pStyle w:val="E0A931F9CFDB4FA3BDD37BF8D8A660FF"/>
          </w:pPr>
          <w:r w:rsidRPr="00030095">
            <w:rPr>
              <w:rStyle w:val="PlaceholderText"/>
            </w:rPr>
            <w:t>Formatting...</w:t>
          </w:r>
        </w:p>
      </w:docPartBody>
    </w:docPart>
    <w:docPart>
      <w:docPartPr>
        <w:name w:val="85F0125346844E018E24EE65C85DD61B"/>
        <w:category>
          <w:name w:val="General"/>
          <w:gallery w:val="placeholder"/>
        </w:category>
        <w:types>
          <w:type w:val="bbPlcHdr"/>
        </w:types>
        <w:behaviors>
          <w:behavior w:val="content"/>
        </w:behaviors>
        <w:guid w:val="{74DF7E00-2C52-4884-BC7A-51BD166E8391}"/>
      </w:docPartPr>
      <w:docPartBody>
        <w:p w:rsidR="002E66D5" w:rsidRDefault="003D6B5C" w:rsidP="003D6B5C">
          <w:pPr>
            <w:pStyle w:val="85F0125346844E018E24EE65C85DD61B"/>
          </w:pPr>
          <w:r w:rsidRPr="00030095">
            <w:rPr>
              <w:rStyle w:val="PlaceholderText"/>
            </w:rPr>
            <w:t>Formatting...</w:t>
          </w:r>
        </w:p>
      </w:docPartBody>
    </w:docPart>
    <w:docPart>
      <w:docPartPr>
        <w:name w:val="20131E7CDF4346EF9F531D8771EF842A"/>
        <w:category>
          <w:name w:val="General"/>
          <w:gallery w:val="placeholder"/>
        </w:category>
        <w:types>
          <w:type w:val="bbPlcHdr"/>
        </w:types>
        <w:behaviors>
          <w:behavior w:val="content"/>
        </w:behaviors>
        <w:guid w:val="{72A92D10-D7EF-4AB5-A800-2AF560A242D8}"/>
      </w:docPartPr>
      <w:docPartBody>
        <w:p w:rsidR="002E66D5" w:rsidRDefault="003D6B5C" w:rsidP="003D6B5C">
          <w:pPr>
            <w:pStyle w:val="20131E7CDF4346EF9F531D8771EF842A"/>
          </w:pPr>
          <w:r w:rsidRPr="00030095">
            <w:rPr>
              <w:rStyle w:val="PlaceholderText"/>
            </w:rPr>
            <w:t>Formatting...</w:t>
          </w:r>
        </w:p>
      </w:docPartBody>
    </w:docPart>
    <w:docPart>
      <w:docPartPr>
        <w:name w:val="611902C070FE4F49B504ADC51B28CEFC"/>
        <w:category>
          <w:name w:val="General"/>
          <w:gallery w:val="placeholder"/>
        </w:category>
        <w:types>
          <w:type w:val="bbPlcHdr"/>
        </w:types>
        <w:behaviors>
          <w:behavior w:val="content"/>
        </w:behaviors>
        <w:guid w:val="{B36A6E9E-9D79-40EC-AAD9-2AA793EE4FF4}"/>
      </w:docPartPr>
      <w:docPartBody>
        <w:p w:rsidR="002E66D5" w:rsidRDefault="003D6B5C" w:rsidP="003D6B5C">
          <w:pPr>
            <w:pStyle w:val="611902C070FE4F49B504ADC51B28CEFC"/>
          </w:pPr>
          <w:r w:rsidRPr="00030095">
            <w:rPr>
              <w:rStyle w:val="Placehold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5C"/>
    <w:rsid w:val="00070271"/>
    <w:rsid w:val="002E66D5"/>
    <w:rsid w:val="003D6B5C"/>
    <w:rsid w:val="0044461A"/>
    <w:rsid w:val="00504DCB"/>
    <w:rsid w:val="00765C93"/>
    <w:rsid w:val="00AC492A"/>
    <w:rsid w:val="00C94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B5C"/>
    <w:rPr>
      <w:color w:val="666666"/>
    </w:rPr>
  </w:style>
  <w:style w:type="paragraph" w:customStyle="1" w:styleId="DEE0BCE529EC42F89871AC2AF8B7FBB1">
    <w:name w:val="DEE0BCE529EC42F89871AC2AF8B7FBB1"/>
    <w:rsid w:val="003D6B5C"/>
  </w:style>
  <w:style w:type="paragraph" w:customStyle="1" w:styleId="63B97C56EF72413B950A5227DB5E8D9D">
    <w:name w:val="63B97C56EF72413B950A5227DB5E8D9D"/>
    <w:rsid w:val="003D6B5C"/>
  </w:style>
  <w:style w:type="paragraph" w:customStyle="1" w:styleId="BC02399C32FE4354BFD9F9FA4814EF9E">
    <w:name w:val="BC02399C32FE4354BFD9F9FA4814EF9E"/>
    <w:rsid w:val="003D6B5C"/>
  </w:style>
  <w:style w:type="paragraph" w:customStyle="1" w:styleId="E0A931F9CFDB4FA3BDD37BF8D8A660FF">
    <w:name w:val="E0A931F9CFDB4FA3BDD37BF8D8A660FF"/>
    <w:rsid w:val="003D6B5C"/>
  </w:style>
  <w:style w:type="paragraph" w:customStyle="1" w:styleId="85F0125346844E018E24EE65C85DD61B">
    <w:name w:val="85F0125346844E018E24EE65C85DD61B"/>
    <w:rsid w:val="003D6B5C"/>
  </w:style>
  <w:style w:type="paragraph" w:customStyle="1" w:styleId="20131E7CDF4346EF9F531D8771EF842A">
    <w:name w:val="20131E7CDF4346EF9F531D8771EF842A"/>
    <w:rsid w:val="003D6B5C"/>
  </w:style>
  <w:style w:type="paragraph" w:customStyle="1" w:styleId="611902C070FE4F49B504ADC51B28CEFC">
    <w:name w:val="611902C070FE4F49B504ADC51B28CEFC"/>
    <w:rsid w:val="003D6B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3061</Characters>
  <Application>Microsoft Office Word</Application>
  <DocSecurity>0</DocSecurity>
  <Lines>113</Lines>
  <Paragraphs>33</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LANRE DAODU</dc:creator>
  <cp:keywords/>
  <dc:description/>
  <cp:lastModifiedBy>Daodu, Lanre P</cp:lastModifiedBy>
  <cp:revision>2</cp:revision>
  <dcterms:created xsi:type="dcterms:W3CDTF">2026-07-28T22:01:00Z</dcterms:created>
  <dcterms:modified xsi:type="dcterms:W3CDTF">2026-07-28T22:01:00Z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40b1b0fe-903f-43e6-b657-42a5d226cc4f</vt:lpwstr>
  </property>
</Properties>
</file>