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default" w:ascii="Times New Roman" w:hAnsi="Times New Roman" w:cs="Times New Roman"/>
          <w:b/>
          <w:bCs/>
          <w:i/>
          <w:iCs/>
          <w:sz w:val="40"/>
          <w:szCs w:val="44"/>
          <w:highlight w:val="none"/>
        </w:rPr>
      </w:pPr>
      <w:bookmarkStart w:id="0" w:name="_Toc4904"/>
      <w:bookmarkStart w:id="1" w:name="_Toc30256"/>
      <w:bookmarkStart w:id="7" w:name="_GoBack"/>
      <w:r>
        <w:rPr>
          <w:rFonts w:hint="default" w:ascii="Times New Roman" w:hAnsi="Times New Roman" w:cs="Times New Roman"/>
          <w:b/>
          <w:bCs/>
          <w:i/>
          <w:iCs/>
          <w:sz w:val="40"/>
          <w:szCs w:val="44"/>
          <w:highlight w:val="none"/>
        </w:rPr>
        <w:t>Supplementary material</w:t>
      </w:r>
      <w:bookmarkEnd w:id="0"/>
      <w:bookmarkEnd w:id="1"/>
    </w:p>
    <w:p>
      <w:pPr>
        <w:bidi w:val="0"/>
        <w:rPr>
          <w:rFonts w:hint="default" w:ascii="Times New Roman" w:hAnsi="Times New Roman" w:cs="Times New Roman"/>
          <w:highlight w:val="none"/>
        </w:rPr>
      </w:pPr>
    </w:p>
    <w:p>
      <w:pPr>
        <w:bidi w:val="0"/>
        <w:rPr>
          <w:rFonts w:hint="default" w:ascii="Times New Roman" w:hAnsi="Times New Roman" w:cs="Times New Roman"/>
          <w:highlight w:val="none"/>
        </w:rPr>
      </w:pPr>
    </w:p>
    <w:p>
      <w:pPr>
        <w:bidi w:val="0"/>
        <w:rPr>
          <w:rFonts w:hint="default" w:ascii="Times New Roman" w:hAnsi="Times New Roman" w:cs="Times New Roman"/>
          <w:highlight w:val="none"/>
        </w:rPr>
      </w:pPr>
    </w:p>
    <w:p>
      <w:pPr>
        <w:bidi w:val="0"/>
        <w:rPr>
          <w:rFonts w:hint="default" w:ascii="Times New Roman" w:hAnsi="Times New Roman" w:cs="Times New Roman"/>
          <w:highlight w:val="none"/>
        </w:rPr>
      </w:pPr>
    </w:p>
    <w:sdt>
      <w:sdtPr>
        <w:rPr>
          <w:rFonts w:hint="default" w:ascii="Times New Roman" w:hAnsi="Times New Roman" w:eastAsia="宋体" w:cs="Times New Roman"/>
          <w:b/>
          <w:bCs/>
          <w:kern w:val="2"/>
          <w:sz w:val="36"/>
          <w:szCs w:val="40"/>
          <w:highlight w:val="none"/>
          <w:lang w:val="en-US" w:eastAsia="zh-CN" w:bidi="ar-SA"/>
        </w:rPr>
        <w:id w:val="147466536"/>
        <w:docPartObj>
          <w:docPartGallery w:val="Table of Contents"/>
          <w:docPartUnique/>
        </w:docPartObj>
      </w:sdtPr>
      <w:sdtEndPr>
        <w:rPr>
          <w:rFonts w:hint="default" w:ascii="Times New Roman" w:hAnsi="Times New Roman" w:cs="Times New Roman" w:eastAsiaTheme="minorEastAsia"/>
          <w:b/>
          <w:bCs/>
          <w:kern w:val="2"/>
          <w:sz w:val="21"/>
          <w:szCs w:val="22"/>
          <w:highlight w:val="none"/>
          <w:lang w:val="en-US" w:eastAsia="zh-CN" w:bidi="ar-SA"/>
        </w:rPr>
      </w:sdtEndPr>
      <w:sdtContent>
        <w:p>
          <w:pPr>
            <w:keepNext w:val="0"/>
            <w:keepLines w:val="0"/>
            <w:pageBreakBefore w:val="0"/>
            <w:widowControl w:val="0"/>
            <w:kinsoku/>
            <w:wordWrap/>
            <w:overflowPunct/>
            <w:topLinePunct w:val="0"/>
            <w:autoSpaceDE/>
            <w:autoSpaceDN/>
            <w:bidi w:val="0"/>
            <w:adjustRightInd/>
            <w:snapToGrid w:val="0"/>
            <w:spacing w:before="0" w:beforeLines="0" w:after="160" w:line="480" w:lineRule="auto"/>
            <w:ind w:left="0" w:leftChars="0" w:right="0" w:rightChars="0" w:firstLine="0" w:firstLineChars="0"/>
            <w:jc w:val="center"/>
            <w:textAlignment w:val="auto"/>
            <w:rPr>
              <w:rFonts w:hint="eastAsia" w:ascii="Times New Roman" w:hAnsi="Times New Roman" w:eastAsia="宋体" w:cs="Times New Roman"/>
              <w:b/>
              <w:bCs/>
              <w:kern w:val="2"/>
              <w:sz w:val="36"/>
              <w:szCs w:val="40"/>
              <w:highlight w:val="none"/>
              <w:lang w:val="en-US" w:eastAsia="zh-CN" w:bidi="ar-SA"/>
            </w:rPr>
          </w:pPr>
          <w:r>
            <w:rPr>
              <w:rFonts w:hint="eastAsia" w:ascii="Times New Roman" w:hAnsi="Times New Roman" w:eastAsia="宋体" w:cs="Times New Roman"/>
              <w:b/>
              <w:bCs/>
              <w:kern w:val="2"/>
              <w:sz w:val="36"/>
              <w:szCs w:val="40"/>
              <w:highlight w:val="none"/>
              <w:lang w:val="en-US" w:eastAsia="zh-CN" w:bidi="ar-SA"/>
            </w:rPr>
            <w:t>Content</w:t>
          </w:r>
        </w:p>
        <w:p>
          <w:pPr>
            <w:pStyle w:val="7"/>
            <w:keepNext w:val="0"/>
            <w:keepLines w:val="0"/>
            <w:pageBreakBefore w:val="0"/>
            <w:widowControl w:val="0"/>
            <w:tabs>
              <w:tab w:val="right" w:leader="dot" w:pos="8312"/>
            </w:tabs>
            <w:kinsoku/>
            <w:wordWrap/>
            <w:overflowPunct/>
            <w:topLinePunct w:val="0"/>
            <w:autoSpaceDE/>
            <w:autoSpaceDN/>
            <w:bidi w:val="0"/>
            <w:adjustRightInd/>
            <w:snapToGrid w:val="0"/>
            <w:spacing w:after="160" w:line="480" w:lineRule="auto"/>
            <w:textAlignment w:val="auto"/>
            <w:rPr>
              <w:rFonts w:hint="default" w:ascii="Times New Roman" w:hAnsi="Times New Roman" w:cs="Times New Roman"/>
              <w:b w:val="0"/>
              <w:bCs w:val="0"/>
              <w:sz w:val="28"/>
              <w:szCs w:val="32"/>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TOC \o "1-3" \h \u </w:instrText>
          </w:r>
          <w:r>
            <w:rPr>
              <w:rFonts w:hint="default" w:ascii="Times New Roman" w:hAnsi="Times New Roman" w:cs="Times New Roman"/>
              <w:highlight w:val="none"/>
            </w:rPr>
            <w:fldChar w:fldCharType="separate"/>
          </w: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HYPERLINK \l _Toc17958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40"/>
              <w:highlight w:val="none"/>
              <w:lang w:val="en-US" w:eastAsia="zh-CN"/>
            </w:rPr>
            <w:t>Appendix 1</w:t>
          </w:r>
          <w:r>
            <w:rPr>
              <w:rFonts w:hint="default" w:ascii="Times New Roman" w:hAnsi="Times New Roman" w:cs="Times New Roman"/>
              <w:b w:val="0"/>
              <w:bCs w:val="0"/>
              <w:sz w:val="28"/>
              <w:szCs w:val="40"/>
              <w:highlight w:val="none"/>
            </w:rPr>
            <w:t>. Survey Questionnaire</w:t>
          </w:r>
          <w:r>
            <w:rPr>
              <w:rFonts w:hint="default" w:ascii="Times New Roman" w:hAnsi="Times New Roman" w:cs="Times New Roman"/>
              <w:b w:val="0"/>
              <w:bCs w:val="0"/>
              <w:sz w:val="28"/>
              <w:szCs w:val="32"/>
              <w:highlight w:val="none"/>
            </w:rPr>
            <w:tab/>
          </w: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PAGEREF _Toc17958 \h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32"/>
              <w:highlight w:val="none"/>
            </w:rPr>
            <w:t>- 2 -</w:t>
          </w:r>
          <w:r>
            <w:rPr>
              <w:rFonts w:hint="default" w:ascii="Times New Roman" w:hAnsi="Times New Roman" w:cs="Times New Roman"/>
              <w:b w:val="0"/>
              <w:bCs w:val="0"/>
              <w:sz w:val="28"/>
              <w:szCs w:val="32"/>
              <w:highlight w:val="none"/>
            </w:rPr>
            <w:fldChar w:fldCharType="end"/>
          </w:r>
          <w:r>
            <w:rPr>
              <w:rFonts w:hint="default" w:ascii="Times New Roman" w:hAnsi="Times New Roman" w:cs="Times New Roman"/>
              <w:b w:val="0"/>
              <w:bCs w:val="0"/>
              <w:sz w:val="28"/>
              <w:szCs w:val="32"/>
              <w:highlight w:val="none"/>
            </w:rPr>
            <w:fldChar w:fldCharType="end"/>
          </w:r>
        </w:p>
        <w:p>
          <w:pPr>
            <w:pStyle w:val="7"/>
            <w:keepNext w:val="0"/>
            <w:keepLines w:val="0"/>
            <w:pageBreakBefore w:val="0"/>
            <w:widowControl w:val="0"/>
            <w:tabs>
              <w:tab w:val="right" w:leader="dot" w:pos="8312"/>
            </w:tabs>
            <w:kinsoku/>
            <w:wordWrap/>
            <w:overflowPunct/>
            <w:topLinePunct w:val="0"/>
            <w:autoSpaceDE/>
            <w:autoSpaceDN/>
            <w:bidi w:val="0"/>
            <w:adjustRightInd/>
            <w:snapToGrid w:val="0"/>
            <w:spacing w:after="160" w:line="480" w:lineRule="auto"/>
            <w:textAlignment w:val="auto"/>
            <w:rPr>
              <w:rFonts w:hint="default" w:ascii="Times New Roman" w:hAnsi="Times New Roman" w:cs="Times New Roman"/>
              <w:b w:val="0"/>
              <w:bCs w:val="0"/>
              <w:sz w:val="28"/>
              <w:szCs w:val="32"/>
              <w:highlight w:val="none"/>
            </w:rPr>
          </w:pP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HYPERLINK \l _Toc31104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40"/>
              <w:highlight w:val="none"/>
              <w:lang w:val="en-US" w:eastAsia="zh-CN"/>
            </w:rPr>
            <w:t>Appendix 2. Definitions and Construction of Composite Variables and Indices</w:t>
          </w:r>
          <w:r>
            <w:rPr>
              <w:rFonts w:hint="default" w:ascii="Times New Roman" w:hAnsi="Times New Roman" w:cs="Times New Roman"/>
              <w:b w:val="0"/>
              <w:bCs w:val="0"/>
              <w:sz w:val="28"/>
              <w:szCs w:val="32"/>
              <w:highlight w:val="none"/>
            </w:rPr>
            <w:tab/>
          </w: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PAGEREF _Toc31104 \h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32"/>
              <w:highlight w:val="none"/>
            </w:rPr>
            <w:t>- 10 -</w:t>
          </w:r>
          <w:r>
            <w:rPr>
              <w:rFonts w:hint="default" w:ascii="Times New Roman" w:hAnsi="Times New Roman" w:cs="Times New Roman"/>
              <w:b w:val="0"/>
              <w:bCs w:val="0"/>
              <w:sz w:val="28"/>
              <w:szCs w:val="32"/>
              <w:highlight w:val="none"/>
            </w:rPr>
            <w:fldChar w:fldCharType="end"/>
          </w:r>
          <w:r>
            <w:rPr>
              <w:rFonts w:hint="default" w:ascii="Times New Roman" w:hAnsi="Times New Roman" w:cs="Times New Roman"/>
              <w:b w:val="0"/>
              <w:bCs w:val="0"/>
              <w:sz w:val="28"/>
              <w:szCs w:val="32"/>
              <w:highlight w:val="none"/>
            </w:rPr>
            <w:fldChar w:fldCharType="end"/>
          </w:r>
        </w:p>
        <w:p>
          <w:pPr>
            <w:pStyle w:val="7"/>
            <w:keepNext w:val="0"/>
            <w:keepLines w:val="0"/>
            <w:pageBreakBefore w:val="0"/>
            <w:widowControl w:val="0"/>
            <w:tabs>
              <w:tab w:val="right" w:leader="dot" w:pos="8312"/>
            </w:tabs>
            <w:kinsoku/>
            <w:wordWrap/>
            <w:overflowPunct/>
            <w:topLinePunct w:val="0"/>
            <w:autoSpaceDE/>
            <w:autoSpaceDN/>
            <w:bidi w:val="0"/>
            <w:adjustRightInd/>
            <w:snapToGrid w:val="0"/>
            <w:spacing w:after="160" w:line="480" w:lineRule="auto"/>
            <w:textAlignment w:val="auto"/>
            <w:rPr>
              <w:rFonts w:hint="default" w:ascii="Times New Roman" w:hAnsi="Times New Roman" w:cs="Times New Roman"/>
              <w:b w:val="0"/>
              <w:bCs w:val="0"/>
              <w:sz w:val="28"/>
              <w:szCs w:val="32"/>
              <w:highlight w:val="none"/>
            </w:rPr>
          </w:pP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HYPERLINK \l _Toc13729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40"/>
              <w:highlight w:val="none"/>
            </w:rPr>
            <w:t>Table S1. High-risk sexual behaviors characteristics of MSM</w:t>
          </w:r>
          <w:r>
            <w:rPr>
              <w:rFonts w:hint="default" w:ascii="Times New Roman" w:hAnsi="Times New Roman" w:cs="Times New Roman"/>
              <w:b w:val="0"/>
              <w:bCs w:val="0"/>
              <w:sz w:val="28"/>
              <w:szCs w:val="32"/>
              <w:highlight w:val="none"/>
            </w:rPr>
            <w:tab/>
          </w: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PAGEREF _Toc13729 \h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32"/>
              <w:highlight w:val="none"/>
            </w:rPr>
            <w:t>- 14 -</w:t>
          </w:r>
          <w:r>
            <w:rPr>
              <w:rFonts w:hint="default" w:ascii="Times New Roman" w:hAnsi="Times New Roman" w:cs="Times New Roman"/>
              <w:b w:val="0"/>
              <w:bCs w:val="0"/>
              <w:sz w:val="28"/>
              <w:szCs w:val="32"/>
              <w:highlight w:val="none"/>
            </w:rPr>
            <w:fldChar w:fldCharType="end"/>
          </w:r>
          <w:r>
            <w:rPr>
              <w:rFonts w:hint="default" w:ascii="Times New Roman" w:hAnsi="Times New Roman" w:cs="Times New Roman"/>
              <w:b w:val="0"/>
              <w:bCs w:val="0"/>
              <w:sz w:val="28"/>
              <w:szCs w:val="32"/>
              <w:highlight w:val="none"/>
            </w:rPr>
            <w:fldChar w:fldCharType="end"/>
          </w:r>
        </w:p>
        <w:p>
          <w:pPr>
            <w:pStyle w:val="7"/>
            <w:keepNext w:val="0"/>
            <w:keepLines w:val="0"/>
            <w:pageBreakBefore w:val="0"/>
            <w:widowControl w:val="0"/>
            <w:tabs>
              <w:tab w:val="right" w:leader="dot" w:pos="8312"/>
            </w:tabs>
            <w:kinsoku/>
            <w:wordWrap/>
            <w:overflowPunct/>
            <w:topLinePunct w:val="0"/>
            <w:autoSpaceDE/>
            <w:autoSpaceDN/>
            <w:bidi w:val="0"/>
            <w:adjustRightInd/>
            <w:snapToGrid w:val="0"/>
            <w:spacing w:after="160" w:line="480" w:lineRule="auto"/>
            <w:textAlignment w:val="auto"/>
            <w:rPr>
              <w:rFonts w:hint="default" w:ascii="Times New Roman" w:hAnsi="Times New Roman" w:cs="Times New Roman"/>
              <w:b w:val="0"/>
              <w:bCs w:val="0"/>
              <w:sz w:val="28"/>
              <w:szCs w:val="32"/>
              <w:highlight w:val="none"/>
            </w:rPr>
          </w:pP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HYPERLINK \l _Toc3357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40"/>
              <w:highlight w:val="none"/>
            </w:rPr>
            <w:t>Table S2. Accuracy of Responses to Monkeypox-Related Knowledge Items</w:t>
          </w:r>
          <w:r>
            <w:rPr>
              <w:rFonts w:hint="default" w:ascii="Times New Roman" w:hAnsi="Times New Roman" w:cs="Times New Roman"/>
              <w:b w:val="0"/>
              <w:bCs w:val="0"/>
              <w:sz w:val="28"/>
              <w:szCs w:val="32"/>
              <w:highlight w:val="none"/>
            </w:rPr>
            <w:tab/>
          </w: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PAGEREF _Toc3357 \h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32"/>
              <w:highlight w:val="none"/>
            </w:rPr>
            <w:t>- 15 -</w:t>
          </w:r>
          <w:r>
            <w:rPr>
              <w:rFonts w:hint="default" w:ascii="Times New Roman" w:hAnsi="Times New Roman" w:cs="Times New Roman"/>
              <w:b w:val="0"/>
              <w:bCs w:val="0"/>
              <w:sz w:val="28"/>
              <w:szCs w:val="32"/>
              <w:highlight w:val="none"/>
            </w:rPr>
            <w:fldChar w:fldCharType="end"/>
          </w:r>
          <w:r>
            <w:rPr>
              <w:rFonts w:hint="default" w:ascii="Times New Roman" w:hAnsi="Times New Roman" w:cs="Times New Roman"/>
              <w:b w:val="0"/>
              <w:bCs w:val="0"/>
              <w:sz w:val="28"/>
              <w:szCs w:val="32"/>
              <w:highlight w:val="none"/>
            </w:rPr>
            <w:fldChar w:fldCharType="end"/>
          </w:r>
        </w:p>
        <w:p>
          <w:pPr>
            <w:pStyle w:val="7"/>
            <w:keepNext w:val="0"/>
            <w:keepLines w:val="0"/>
            <w:pageBreakBefore w:val="0"/>
            <w:widowControl w:val="0"/>
            <w:tabs>
              <w:tab w:val="right" w:leader="dot" w:pos="8312"/>
            </w:tabs>
            <w:kinsoku/>
            <w:wordWrap/>
            <w:overflowPunct/>
            <w:topLinePunct w:val="0"/>
            <w:autoSpaceDE/>
            <w:autoSpaceDN/>
            <w:bidi w:val="0"/>
            <w:adjustRightInd/>
            <w:snapToGrid w:val="0"/>
            <w:spacing w:after="160" w:line="480" w:lineRule="auto"/>
            <w:textAlignment w:val="auto"/>
            <w:rPr>
              <w:highlight w:val="none"/>
            </w:rPr>
          </w:pP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HYPERLINK \l _Toc30658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40"/>
              <w:highlight w:val="none"/>
            </w:rPr>
            <w:t>Fig. S1. Influencing factors of subjective–objective risk perception mismatch for monkeypox infection: stratified logistic regression results</w:t>
          </w:r>
          <w:r>
            <w:rPr>
              <w:rFonts w:hint="default" w:ascii="Times New Roman" w:hAnsi="Times New Roman" w:cs="Times New Roman"/>
              <w:b w:val="0"/>
              <w:bCs w:val="0"/>
              <w:sz w:val="28"/>
              <w:szCs w:val="40"/>
              <w:highlight w:val="none"/>
              <w:lang w:val="en-US" w:eastAsia="zh-CN"/>
            </w:rPr>
            <w:t xml:space="preserve"> </w:t>
          </w:r>
          <w:r>
            <w:rPr>
              <w:rFonts w:hint="default" w:ascii="Times New Roman" w:hAnsi="Times New Roman" w:cs="Times New Roman" w:eastAsiaTheme="minorEastAsia"/>
              <w:b w:val="0"/>
              <w:bCs w:val="0"/>
              <w:kern w:val="44"/>
              <w:sz w:val="28"/>
              <w:szCs w:val="40"/>
              <w:highlight w:val="none"/>
              <w:lang w:val="en-US" w:eastAsia="zh-CN" w:bidi="ar-SA"/>
            </w:rPr>
            <w:t>[P (95% CI)] (superscripts a and b indicate risk subjective underestimation and overestimation, respectively)</w:t>
          </w:r>
          <w:r>
            <w:rPr>
              <w:rFonts w:hint="default" w:ascii="Times New Roman" w:hAnsi="Times New Roman" w:cs="Times New Roman"/>
              <w:b w:val="0"/>
              <w:bCs w:val="0"/>
              <w:sz w:val="28"/>
              <w:szCs w:val="32"/>
              <w:highlight w:val="none"/>
            </w:rPr>
            <w:tab/>
          </w:r>
          <w:r>
            <w:rPr>
              <w:rFonts w:hint="default" w:ascii="Times New Roman" w:hAnsi="Times New Roman" w:cs="Times New Roman"/>
              <w:b w:val="0"/>
              <w:bCs w:val="0"/>
              <w:sz w:val="28"/>
              <w:szCs w:val="32"/>
              <w:highlight w:val="none"/>
            </w:rPr>
            <w:fldChar w:fldCharType="begin"/>
          </w:r>
          <w:r>
            <w:rPr>
              <w:rFonts w:hint="default" w:ascii="Times New Roman" w:hAnsi="Times New Roman" w:cs="Times New Roman"/>
              <w:b w:val="0"/>
              <w:bCs w:val="0"/>
              <w:sz w:val="28"/>
              <w:szCs w:val="32"/>
              <w:highlight w:val="none"/>
            </w:rPr>
            <w:instrText xml:space="preserve"> PAGEREF _Toc30658 \h </w:instrText>
          </w:r>
          <w:r>
            <w:rPr>
              <w:rFonts w:hint="default" w:ascii="Times New Roman" w:hAnsi="Times New Roman" w:cs="Times New Roman"/>
              <w:b w:val="0"/>
              <w:bCs w:val="0"/>
              <w:sz w:val="28"/>
              <w:szCs w:val="32"/>
              <w:highlight w:val="none"/>
            </w:rPr>
            <w:fldChar w:fldCharType="separate"/>
          </w:r>
          <w:r>
            <w:rPr>
              <w:rFonts w:hint="default" w:ascii="Times New Roman" w:hAnsi="Times New Roman" w:cs="Times New Roman"/>
              <w:b w:val="0"/>
              <w:bCs w:val="0"/>
              <w:sz w:val="28"/>
              <w:szCs w:val="32"/>
              <w:highlight w:val="none"/>
            </w:rPr>
            <w:t>- 16 -</w:t>
          </w:r>
          <w:r>
            <w:rPr>
              <w:rFonts w:hint="default" w:ascii="Times New Roman" w:hAnsi="Times New Roman" w:cs="Times New Roman"/>
              <w:b w:val="0"/>
              <w:bCs w:val="0"/>
              <w:sz w:val="28"/>
              <w:szCs w:val="32"/>
              <w:highlight w:val="none"/>
            </w:rPr>
            <w:fldChar w:fldCharType="end"/>
          </w:r>
          <w:r>
            <w:rPr>
              <w:rFonts w:hint="default" w:ascii="Times New Roman" w:hAnsi="Times New Roman" w:cs="Times New Roman"/>
              <w:b w:val="0"/>
              <w:bCs w:val="0"/>
              <w:sz w:val="28"/>
              <w:szCs w:val="32"/>
              <w:highlight w:val="none"/>
            </w:rPr>
            <w:fldChar w:fldCharType="end"/>
          </w:r>
        </w:p>
        <w:p>
          <w:pPr>
            <w:keepNext w:val="0"/>
            <w:keepLines w:val="0"/>
            <w:pageBreakBefore w:val="0"/>
            <w:widowControl w:val="0"/>
            <w:kinsoku/>
            <w:wordWrap/>
            <w:overflowPunct/>
            <w:topLinePunct w:val="0"/>
            <w:autoSpaceDE/>
            <w:autoSpaceDN/>
            <w:bidi w:val="0"/>
            <w:adjustRightInd/>
            <w:snapToGrid w:val="0"/>
            <w:spacing w:after="160" w:line="480" w:lineRule="auto"/>
            <w:textAlignment w:val="auto"/>
            <w:rPr>
              <w:rFonts w:hint="default" w:ascii="Times New Roman" w:hAnsi="Times New Roman" w:cs="Times New Roman"/>
              <w:highlight w:val="none"/>
            </w:rPr>
          </w:pPr>
          <w:r>
            <w:rPr>
              <w:rFonts w:hint="default" w:ascii="Times New Roman" w:hAnsi="Times New Roman" w:cs="Times New Roman"/>
              <w:highlight w:val="none"/>
            </w:rPr>
            <w:fldChar w:fldCharType="end"/>
          </w:r>
        </w:p>
      </w:sdtContent>
    </w:sdt>
    <w:p>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p>
    <w:p>
      <w:pPr>
        <w:pStyle w:val="2"/>
        <w:keepNext/>
        <w:keepLines/>
        <w:pageBreakBefore w:val="0"/>
        <w:widowControl w:val="0"/>
        <w:kinsoku/>
        <w:wordWrap/>
        <w:overflowPunct/>
        <w:topLinePunct w:val="0"/>
        <w:autoSpaceDE/>
        <w:autoSpaceDN/>
        <w:bidi w:val="0"/>
        <w:adjustRightInd/>
        <w:snapToGrid w:val="0"/>
        <w:spacing w:before="0" w:after="0" w:line="279" w:lineRule="auto"/>
        <w:jc w:val="left"/>
        <w:textAlignment w:val="auto"/>
        <w:rPr>
          <w:rFonts w:hint="default" w:ascii="Times New Roman" w:hAnsi="Times New Roman" w:cs="Times New Roman"/>
          <w:color w:val="auto"/>
          <w:sz w:val="28"/>
          <w:szCs w:val="28"/>
          <w:highlight w:val="none"/>
        </w:rPr>
      </w:pPr>
      <w:bookmarkStart w:id="2" w:name="_Toc17958"/>
      <w:r>
        <w:rPr>
          <w:rFonts w:hint="default" w:ascii="Times New Roman" w:hAnsi="Times New Roman" w:cs="Times New Roman"/>
          <w:color w:val="auto"/>
          <w:sz w:val="28"/>
          <w:szCs w:val="28"/>
          <w:highlight w:val="none"/>
          <w:lang w:val="en-US" w:eastAsia="zh-CN"/>
        </w:rPr>
        <w:t>Appendix 1</w:t>
      </w:r>
      <w:r>
        <w:rPr>
          <w:rFonts w:hint="default" w:ascii="Times New Roman" w:hAnsi="Times New Roman" w:cs="Times New Roman"/>
          <w:color w:val="auto"/>
          <w:sz w:val="28"/>
          <w:szCs w:val="28"/>
          <w:highlight w:val="none"/>
        </w:rPr>
        <w:t>. Survey Questionnaire</w:t>
      </w:r>
      <w:bookmarkEnd w:id="2"/>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Dear Participant,</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This survey is conducted by the National Center for AIDS/STD Control and Prevention, Chinese Center for Disease Control and Prevention. The purpose is to assess the level of mpox-related health knowledge among men who have sex with men (MSM). This survey is anonymous and does not collect any personally identifiable information. Your responses will be kept confidential. We encourage you to answer honestly. The survey will take approximately 10 minutes. Thank you for your support.</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 Do you agree to participate in this survey?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No → (End of survey)</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 What is your gender?</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Male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Transgender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Female → (End of survey)</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 In the past 12 months, have you had same-sex sexual behaviors (including oral, anal, or manual sex)?</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No → (End of survey)</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 Are you 18 years of age or older?</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No → (End of survey)</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Section A: General Information</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 Year of birth:</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_______</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 Marital status (heterosexual marriage):</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Never married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 Married</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Cohabiting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 Divorced or widowed</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7. Education level: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Middle school or below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High school/vocational school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College/university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 Graduate degree or above</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8. Current employment status: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Student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Cadre/administrative staff/public institution employee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Commercial or service worker (hotel, bar, bathhouse, catering, sales, etc.)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D. Worker or farmer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E. Self-employed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F. Healthcare worker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G. Retired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H. Unemployed/not working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I. Other (please specify): _________</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9. Average monthly income or living allowance: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No income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 3,000 RMB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3,001–5,000 RMB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D. 5,001–10,000 RMB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E. ≥ 10,001 RMB</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10. Current city and province of residence:  _______________</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11. Type of current residence: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Urban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Rural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Peri-urban</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12. What is your sexual orientation?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Homosexual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Bisexual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Heterosexual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 Unsure</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13. Main way of finding sexual partners currently: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Online (e.g., Blued, Aloha, WeChat/QQ apps)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Offline (e.g., friend introduction, bars, clubs, bathhouses)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Both online and offline equally</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14. Before this survey, had you heard of mpox?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 No</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b/>
          <w:bCs/>
          <w:color w:val="auto"/>
          <w:sz w:val="24"/>
          <w:szCs w:val="24"/>
          <w:highlight w:val="none"/>
        </w:rPr>
      </w:pP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eastAsiaTheme="minorEastAsia"/>
          <w:b/>
          <w:bCs/>
          <w:color w:val="auto"/>
          <w:sz w:val="24"/>
          <w:szCs w:val="24"/>
          <w:highlight w:val="none"/>
          <w:lang w:eastAsia="zh-CN"/>
        </w:rPr>
      </w:pPr>
      <w:r>
        <w:rPr>
          <w:rFonts w:hint="default" w:ascii="Times New Roman" w:hAnsi="Times New Roman" w:cs="Times New Roman"/>
          <w:b/>
          <w:bCs/>
          <w:color w:val="auto"/>
          <w:sz w:val="24"/>
          <w:szCs w:val="24"/>
          <w:highlight w:val="none"/>
        </w:rPr>
        <w:t>Section B-1: Core Mpox Knowledge</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15. Is mpox an infectious disease caused by the mpox virus?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16. Are both humans and animals infected with mpox virus sources of infection?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17. Can mpox virus be transmitted through direct contact with the skin lesions or mucous membranes of mpox cases via touching, hugging, kissing, or sexual behaviors?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numPr>
          <w:ilvl w:val="0"/>
          <w:numId w:val="0"/>
        </w:numPr>
        <w:kinsoku/>
        <w:wordWrap/>
        <w:overflowPunct/>
        <w:topLinePunct w:val="0"/>
        <w:autoSpaceDE/>
        <w:autoSpaceDN/>
        <w:bidi w:val="0"/>
        <w:adjustRightInd/>
        <w:snapToGrid w:val="0"/>
        <w:spacing w:line="279" w:lineRule="auto"/>
        <w:ind w:left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18. What is the usual incubation period from mpox virus infection to symptom onset?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1–4 days, usually 2–3 days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5–21 days, usually 6–13 days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19. Can mpox virus be transmitted through contact with bodily fluids of infected animals, or via bites or scratches from infected animals?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20. Can prolonged, close-range inhalation of respiratory droplets from mpox cases transmit the virus?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it can transmit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it cannot transmit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21. Are there currently specific antiviral drugs for mpox available in China?  </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there are specific drugs  </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there are no specific drugs  </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22. Can mpox virus be transmitted through contact with contaminated objects?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23. Are all populations susceptible to mpox virus?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24. Do mpox virus infections present with symptoms such as fever, headache, and lymphadenopathy?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numPr>
          <w:ilvl w:val="0"/>
          <w:numId w:val="0"/>
        </w:numPr>
        <w:kinsoku/>
        <w:wordWrap/>
        <w:overflowPunct/>
        <w:topLinePunct w:val="0"/>
        <w:autoSpaceDE/>
        <w:autoSpaceDN/>
        <w:bidi w:val="0"/>
        <w:adjustRightInd/>
        <w:snapToGrid w:val="0"/>
        <w:spacing w:line="279" w:lineRule="auto"/>
        <w:ind w:left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25. Does mpox virus infection cause itchy or painful rashes or mucosal lesions on the body?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Don't know</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eastAsiaTheme="minorEastAsia"/>
          <w:b/>
          <w:bCs/>
          <w:color w:val="auto"/>
          <w:sz w:val="24"/>
          <w:szCs w:val="24"/>
          <w:highlight w:val="none"/>
          <w:lang w:eastAsia="zh-CN"/>
        </w:rPr>
      </w:pPr>
      <w:r>
        <w:rPr>
          <w:rFonts w:hint="default" w:ascii="Times New Roman" w:hAnsi="Times New Roman" w:cs="Times New Roman"/>
          <w:b/>
          <w:bCs/>
          <w:color w:val="auto"/>
          <w:sz w:val="24"/>
          <w:szCs w:val="24"/>
          <w:highlight w:val="none"/>
        </w:rPr>
        <w:t>Section B-2: Mpox Risk Perception and Behaviors</w:t>
      </w:r>
    </w:p>
    <w:p>
      <w:pPr>
        <w:pageBreakBefore w:val="0"/>
        <w:widowControl w:val="0"/>
        <w:numPr>
          <w:ilvl w:val="0"/>
          <w:numId w:val="0"/>
        </w:numPr>
        <w:kinsoku/>
        <w:wordWrap/>
        <w:overflowPunct/>
        <w:topLinePunct w:val="0"/>
        <w:autoSpaceDE/>
        <w:autoSpaceDN/>
        <w:bidi w:val="0"/>
        <w:adjustRightInd/>
        <w:snapToGrid w:val="0"/>
        <w:spacing w:line="279" w:lineRule="auto"/>
        <w:ind w:left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26. How high do you perceive your own risk of mpox infection?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Very low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Low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Moderate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D. High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E. Very high  </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27. Have you recently experienced any new or unexplained rash or lesions, including in the oral, genital, or anal areas?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 No</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28. (If Q27 = Yes) After the symptoms appeared, which of the following measures did you take? (Select all that apply</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 xml:space="preserv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Visited a relevant hospital department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Consulted CDC medical staff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Sought help from community-based organizations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D. Purchased medication on one's own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E. Reduced contact with others and self-isolated at home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F. Disinfected surrounding environment and items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G. Took personal protective measures when going out, avoiding skin exposure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H. Did not take any measures</w:t>
      </w:r>
    </w:p>
    <w:p>
      <w:pPr>
        <w:pageBreakBefore w:val="0"/>
        <w:widowControl w:val="0"/>
        <w:numPr>
          <w:ilvl w:val="0"/>
          <w:numId w:val="0"/>
        </w:numPr>
        <w:kinsoku/>
        <w:wordWrap/>
        <w:overflowPunct/>
        <w:topLinePunct w:val="0"/>
        <w:autoSpaceDE/>
        <w:autoSpaceDN/>
        <w:bidi w:val="0"/>
        <w:adjustRightInd/>
        <w:snapToGrid w:val="0"/>
        <w:spacing w:line="279" w:lineRule="auto"/>
        <w:ind w:left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29. (If Q27 = No) If you were to develop such symptoms, what would you do? (Select all that apply</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 xml:space="preserv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Visit a relevant hospital department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Consult CDC medical staff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Seek help from community-based organizations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D. Purchase medication on one's own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E. Reduce contact with others and self-isolate at home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F. Disinfect surrounding environment and items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G. Take personal protective measures when going out, avoiding skin exposure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H. Take no measures</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30. (If Q28 or Q29 selected any option other than hospital visit) Why did you choose not to visit a hospital? (Select all that apply</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 xml:space="preserv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Not necessary; mild symptoms, could self-medicate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Fear of mandatory quarantine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Fear of privacy exposure if community notified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D. Fear of privacy exposure if workplace disinfection required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E. Worry about disclosing HIV status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F. Worry about involuntary disclosure of sexual orientation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G. Other (please specify): _________</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Section C: Behavioral Information  </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Note: "Same-sex sexual behaviors" in the following questions include anal, oral, and manual sex.</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31. In the past 3 months, on average, how many times per month did you have same-sex sexual behaviors?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Once a month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2–4 times a month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5 or more times a month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color w:val="auto"/>
          <w:sz w:val="24"/>
          <w:szCs w:val="24"/>
          <w:highlight w:val="none"/>
        </w:rPr>
        <w:t>D. 0 times → Skip to Q36</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 In the past 3 months, have you used any of the following substances during same-sex sexual encounters? (Select all that apply</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 xml:space="preserv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Rush poppers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"Zero capsule" (5-MeO-DiPT)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Heroin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D. Methamphetamine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E. Ecstasy (MDMA)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F. Ketamine ("K powder")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G. Magu (methamphetamine tablet)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H. Cannabis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I. None of the above</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33. In the past 3 months, on average, how many same-sex sexual partners did you have per month?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1 partner per month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2–3 partners per month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4 or more partners per month</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34. In the past 3 months, among your same-sex sexual partners, did any have rash symptoms?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Did not notice / unsure</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35. In the past 3 months, how many times did you engage in group same-sex sexual behaviors (with ≥2 partners simultaneously)?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0 times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1–2 times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3–4 times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 5 or more times</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36. In the past 3 months, have you traveled internationally?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37. (If Q36 = Yes) During your international travel in the past 3 months, did you have same-sex sexual behaviors locally?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color w:val="auto"/>
          <w:sz w:val="24"/>
          <w:szCs w:val="24"/>
          <w:highlight w:val="none"/>
        </w:rPr>
        <w:t xml:space="preserve">B. No </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38. (If Q37 = Yes) During your international travel, did any of your same-sex sexual partners have rash symptoms?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Yes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No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 Did not notice / unsure</w:t>
      </w:r>
    </w:p>
    <w:p>
      <w:pPr>
        <w:pageBreakBefore w:val="0"/>
        <w:widowControl w:val="0"/>
        <w:tabs>
          <w:tab w:val="left" w:pos="3570"/>
        </w:tabs>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39. In the past 3 months, have you been diagnosed with any of the following sexually transmitted infections? (Select all that apply</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 xml:space="preserv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None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Syphilis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C. Gonorrhea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D. Condyloma acuminatum (genital warts)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E. Genital herpes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F. Chlamydia trachomatis infection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G. Other STIs (please specify): _________</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40. What is your current HIV status?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A. Positive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B. Negative → Skip to end </w:t>
      </w:r>
    </w:p>
    <w:p>
      <w:pPr>
        <w:pageBreakBefore w:val="0"/>
        <w:widowControl w:val="0"/>
        <w:numPr>
          <w:ilvl w:val="0"/>
          <w:numId w:val="1"/>
        </w:numPr>
        <w:kinsoku/>
        <w:wordWrap/>
        <w:overflowPunct/>
        <w:topLinePunct w:val="0"/>
        <w:autoSpaceDE/>
        <w:autoSpaceDN/>
        <w:bidi w:val="0"/>
        <w:adjustRightInd/>
        <w:snapToGrid w:val="0"/>
        <w:spacing w:line="279" w:lineRule="auto"/>
        <w:ind w:left="420" w:leftChars="0" w:hanging="420" w:firstLineChars="0"/>
        <w:textAlignment w:val="auto"/>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t>C. Unknown → Skip to end</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b/>
          <w:bCs/>
          <w:sz w:val="24"/>
          <w:szCs w:val="24"/>
          <w:highlight w:val="none"/>
        </w:rPr>
      </w:pP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br w:type="page"/>
      </w:r>
    </w:p>
    <w:p>
      <w:pPr>
        <w:pStyle w:val="2"/>
        <w:keepNext/>
        <w:keepLines/>
        <w:pageBreakBefore w:val="0"/>
        <w:widowControl w:val="0"/>
        <w:kinsoku/>
        <w:wordWrap/>
        <w:overflowPunct/>
        <w:topLinePunct w:val="0"/>
        <w:autoSpaceDE/>
        <w:autoSpaceDN/>
        <w:bidi w:val="0"/>
        <w:adjustRightInd/>
        <w:snapToGrid w:val="0"/>
        <w:spacing w:before="0" w:after="0" w:line="279" w:lineRule="auto"/>
        <w:jc w:val="left"/>
        <w:textAlignment w:val="auto"/>
        <w:rPr>
          <w:rFonts w:hint="default" w:ascii="Times New Roman" w:hAnsi="Times New Roman" w:cs="Times New Roman"/>
          <w:color w:val="auto"/>
          <w:sz w:val="28"/>
          <w:szCs w:val="28"/>
          <w:highlight w:val="none"/>
          <w:lang w:val="en-US" w:eastAsia="zh-CN"/>
        </w:rPr>
      </w:pPr>
      <w:bookmarkStart w:id="3" w:name="_Toc31104"/>
      <w:r>
        <w:rPr>
          <w:rFonts w:hint="default" w:ascii="Times New Roman" w:hAnsi="Times New Roman" w:cs="Times New Roman"/>
          <w:color w:val="auto"/>
          <w:sz w:val="28"/>
          <w:szCs w:val="28"/>
          <w:highlight w:val="none"/>
          <w:lang w:val="en-US" w:eastAsia="zh-CN"/>
        </w:rPr>
        <w:t>Appendix 2. Definitions and Construction of Composite Variables and Indices</w:t>
      </w:r>
      <w:bookmarkEnd w:id="3"/>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This appendix provides detailed, plain-language explanations of all composite variables and indices used in the Measures section of the main text. Each construct is defined in terms of its components, scoring rules, and classification criteria, to facilitate transparency and reproducibility.</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1</w:t>
      </w:r>
      <w:r>
        <w:rPr>
          <w:rFonts w:hint="default" w:ascii="Times New Roman" w:hAnsi="Times New Roman" w:cs="Times New Roman"/>
          <w:b/>
          <w:bCs/>
          <w:sz w:val="24"/>
          <w:szCs w:val="24"/>
          <w:highlight w:val="none"/>
        </w:rPr>
        <w:t>. Monkeypox Knowledge Score</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This variable was constructed to measure participants' factual understanding of monkeypox (mpox). Seven questions were used, covering the following domains: (1) source of infection, (2) transmission routes, (3) susceptible populations, (4) typical symptoms, (5) rash or mucosal lesions, (6) incubation period, and (7) preventive measures.</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For single-choice questions, each correct answer was assigned </w:t>
      </w:r>
      <w:r>
        <w:rPr>
          <w:rFonts w:hint="default" w:ascii="Times New Roman" w:hAnsi="Times New Roman" w:cs="Times New Roman"/>
          <w:b/>
          <w:bCs/>
          <w:sz w:val="24"/>
          <w:szCs w:val="24"/>
          <w:highlight w:val="none"/>
        </w:rPr>
        <w:t>1 point</w:t>
      </w:r>
      <w:r>
        <w:rPr>
          <w:rFonts w:hint="default" w:ascii="Times New Roman" w:hAnsi="Times New Roman" w:cs="Times New Roman"/>
          <w:sz w:val="24"/>
          <w:szCs w:val="24"/>
          <w:highlight w:val="none"/>
        </w:rPr>
        <w: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 xml:space="preserve">For multiple-choice questions, each correct option contributed a fractional score equal to </w:t>
      </w:r>
      <w:r>
        <w:rPr>
          <w:rFonts w:hint="default" w:ascii="Times New Roman" w:hAnsi="Times New Roman" w:cs="Times New Roman"/>
          <w:b/>
          <w:bCs/>
          <w:sz w:val="24"/>
          <w:szCs w:val="24"/>
          <w:highlight w:val="none"/>
        </w:rPr>
        <w:t>1 divided by the total number of correct options</w:t>
      </w:r>
      <w:r>
        <w:rPr>
          <w:rFonts w:hint="default" w:ascii="Times New Roman" w:hAnsi="Times New Roman" w:cs="Times New Roman"/>
          <w:sz w:val="24"/>
          <w:szCs w:val="24"/>
          <w:highlight w:val="none"/>
        </w:rPr>
        <w:t xml:space="preserve"> for that question. Selecting an incorrect option yielded 0 points for that option. No points were deducted for incorrect selections.</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The total knowledge score was the sum of points across all seven questions, ranging from</w:t>
      </w:r>
      <w:r>
        <w:rPr>
          <w:rFonts w:hint="default" w:ascii="Times New Roman" w:hAnsi="Times New Roman" w:cs="Times New Roman"/>
          <w:b/>
          <w:bCs/>
          <w:sz w:val="24"/>
          <w:szCs w:val="24"/>
          <w:highlight w:val="none"/>
        </w:rPr>
        <w:t xml:space="preserve"> 0 to 7</w:t>
      </w:r>
      <w:r>
        <w:rPr>
          <w:rFonts w:hint="default" w:ascii="Times New Roman" w:hAnsi="Times New Roman" w:cs="Times New Roman"/>
          <w:sz w:val="24"/>
          <w:szCs w:val="24"/>
          <w:highlight w:val="none"/>
        </w:rPr>
        <w: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A passing threshold was set at ≥60% of the maximum score, i.e., ≥4.2 points.</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Participants with scores ≥4.2 were classified as having adequate knowledge awareness; those with scores &lt;4.2 were classified as having inadequate knowledge awareness.</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rPr>
        <w:t>. High-Risk Men Who Have Sex with Men</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This binary composite variable identified participants at elevated risk of mpox exposure based on recent behavioral and clinical indicators. A participant was defined as high-risk if they met at least one of the following criteria within the past 3 months:</w:t>
      </w:r>
    </w:p>
    <w:p>
      <w:pPr>
        <w:pageBreakBefore w:val="0"/>
        <w:widowControl w:val="0"/>
        <w:numPr>
          <w:ilvl w:val="0"/>
          <w:numId w:val="2"/>
        </w:numPr>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Frequent or group sexual behaviors</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 xml:space="preserve">meeting any of: </w:t>
      </w:r>
    </w:p>
    <w:p>
      <w:pPr>
        <w:pageBreakBefore w:val="0"/>
        <w:widowControl w:val="0"/>
        <w:numPr>
          <w:ilvl w:val="0"/>
          <w:numId w:val="3"/>
        </w:numPr>
        <w:kinsoku/>
        <w:wordWrap/>
        <w:overflowPunct/>
        <w:topLinePunct w:val="0"/>
        <w:autoSpaceDE/>
        <w:autoSpaceDN/>
        <w:bidi w:val="0"/>
        <w:adjustRightInd/>
        <w:snapToGrid w:val="0"/>
        <w:spacing w:line="279" w:lineRule="auto"/>
        <w:ind w:left="126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Average of ≥5 same-sex sexual acts per month; or  </w:t>
      </w:r>
    </w:p>
    <w:p>
      <w:pPr>
        <w:pageBreakBefore w:val="0"/>
        <w:widowControl w:val="0"/>
        <w:numPr>
          <w:ilvl w:val="0"/>
          <w:numId w:val="3"/>
        </w:numPr>
        <w:kinsoku/>
        <w:wordWrap/>
        <w:overflowPunct/>
        <w:topLinePunct w:val="0"/>
        <w:autoSpaceDE/>
        <w:autoSpaceDN/>
        <w:bidi w:val="0"/>
        <w:adjustRightInd/>
        <w:snapToGrid w:val="0"/>
        <w:spacing w:line="279" w:lineRule="auto"/>
        <w:ind w:left="126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Average of ≥4 male sexual partners per month; or  </w:t>
      </w:r>
    </w:p>
    <w:p>
      <w:pPr>
        <w:pageBreakBefore w:val="0"/>
        <w:widowControl w:val="0"/>
        <w:numPr>
          <w:ilvl w:val="0"/>
          <w:numId w:val="3"/>
        </w:numPr>
        <w:kinsoku/>
        <w:wordWrap/>
        <w:overflowPunct/>
        <w:topLinePunct w:val="0"/>
        <w:autoSpaceDE/>
        <w:autoSpaceDN/>
        <w:bidi w:val="0"/>
        <w:adjustRightInd/>
        <w:snapToGrid w:val="0"/>
        <w:spacing w:line="279" w:lineRule="auto"/>
        <w:ind w:left="126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Engaged in group sex (sexual activity with two or more male partners simultaneously).</w:t>
      </w:r>
    </w:p>
    <w:p>
      <w:pPr>
        <w:pageBreakBefore w:val="0"/>
        <w:widowControl w:val="0"/>
        <w:numPr>
          <w:ilvl w:val="0"/>
          <w:numId w:val="2"/>
        </w:numPr>
        <w:kinsoku/>
        <w:wordWrap/>
        <w:overflowPunct/>
        <w:topLinePunct w:val="0"/>
        <w:autoSpaceDE/>
        <w:autoSpaceDN/>
        <w:bidi w:val="0"/>
        <w:adjustRightInd/>
        <w:snapToGrid w:val="0"/>
        <w:spacing w:line="279" w:lineRule="auto"/>
        <w:ind w:left="0" w:leftChars="0"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Male sexual partners with rash symptoms</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reported that at least one same-sex partner had visible rash during the past 3 months.</w:t>
      </w:r>
    </w:p>
    <w:p>
      <w:pPr>
        <w:pageBreakBefore w:val="0"/>
        <w:widowControl w:val="0"/>
        <w:numPr>
          <w:ilvl w:val="0"/>
          <w:numId w:val="2"/>
        </w:numPr>
        <w:kinsoku/>
        <w:wordWrap/>
        <w:overflowPunct/>
        <w:topLinePunct w:val="0"/>
        <w:autoSpaceDE/>
        <w:autoSpaceDN/>
        <w:bidi w:val="0"/>
        <w:adjustRightInd/>
        <w:snapToGrid w:val="0"/>
        <w:spacing w:line="279" w:lineRule="auto"/>
        <w:ind w:left="0" w:leftChars="0"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Overseas partners with rash symptoms</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reported that, during international travel in the past 3 months, at least one same-sex partner had rash symptoms.</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sz w:val="24"/>
          <w:szCs w:val="24"/>
          <w:highlight w:val="none"/>
        </w:rPr>
      </w:pPr>
    </w:p>
    <w:p>
      <w:pPr>
        <w:pageBreakBefore w:val="0"/>
        <w:widowControl w:val="0"/>
        <w:numPr>
          <w:ilvl w:val="0"/>
          <w:numId w:val="2"/>
        </w:numPr>
        <w:kinsoku/>
        <w:wordWrap/>
        <w:overflowPunct/>
        <w:topLinePunct w:val="0"/>
        <w:autoSpaceDE/>
        <w:autoSpaceDN/>
        <w:bidi w:val="0"/>
        <w:adjustRightInd/>
        <w:snapToGrid w:val="0"/>
        <w:spacing w:line="279" w:lineRule="auto"/>
        <w:ind w:left="0" w:leftChars="0"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HIV-positive status or recent STI diagnosis</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self-reported HIV-positive status, or a diagnosis of at least one sexually transmitted infection (including syphilis, gonorrhea, condyloma acuminatum, genital herpes, or chlamydia) within the past 3 months.</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Participants who did not meet any of the above conditions were classified as non-high-risk.</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b/>
          <w:bCs/>
          <w:sz w:val="24"/>
          <w:szCs w:val="24"/>
          <w:highlight w:val="none"/>
          <w:lang w:val="en-US" w:eastAsia="zh-CN"/>
        </w:rPr>
        <w:t>3</w:t>
      </w:r>
      <w:r>
        <w:rPr>
          <w:rFonts w:hint="default" w:ascii="Times New Roman" w:hAnsi="Times New Roman" w:cs="Times New Roman"/>
          <w:b/>
          <w:bCs/>
          <w:sz w:val="24"/>
          <w:szCs w:val="24"/>
          <w:highlight w:val="none"/>
        </w:rPr>
        <w:t>. Subjective Risk Perception of Mpox Infection</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This single-item measure captured participants' self-assessed likelihood of contracting mpox. Participants responded to the question: "</w:t>
      </w:r>
      <w:r>
        <w:rPr>
          <w:rFonts w:hint="default" w:ascii="Times New Roman" w:hAnsi="Times New Roman" w:cs="Times New Roman"/>
          <w:b/>
          <w:bCs/>
          <w:sz w:val="24"/>
          <w:szCs w:val="24"/>
          <w:highlight w:val="none"/>
        </w:rPr>
        <w:t>How high do you think your risk of monkeypox infection is?</w:t>
      </w:r>
      <w:r>
        <w:rPr>
          <w:rFonts w:hint="default" w:ascii="Times New Roman" w:hAnsi="Times New Roman" w:cs="Times New Roman"/>
          <w:sz w:val="24"/>
          <w:szCs w:val="24"/>
          <w:highlight w:val="none"/>
        </w:rPr>
        <w:t>" using a 5-point Likert scale:</w:t>
      </w:r>
    </w:p>
    <w:p>
      <w:pPr>
        <w:pageBreakBefore w:val="0"/>
        <w:widowControl w:val="0"/>
        <w:numPr>
          <w:ilvl w:val="0"/>
          <w:numId w:val="4"/>
        </w:numPr>
        <w:kinsoku/>
        <w:wordWrap/>
        <w:overflowPunct/>
        <w:topLinePunct w:val="0"/>
        <w:autoSpaceDE/>
        <w:autoSpaceDN/>
        <w:bidi w:val="0"/>
        <w:adjustRightInd/>
        <w:snapToGrid w:val="0"/>
        <w:spacing w:line="279" w:lineRule="auto"/>
        <w:ind w:left="126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1 = Very low  </w:t>
      </w:r>
    </w:p>
    <w:p>
      <w:pPr>
        <w:pageBreakBefore w:val="0"/>
        <w:widowControl w:val="0"/>
        <w:numPr>
          <w:ilvl w:val="0"/>
          <w:numId w:val="4"/>
        </w:numPr>
        <w:kinsoku/>
        <w:wordWrap/>
        <w:overflowPunct/>
        <w:topLinePunct w:val="0"/>
        <w:autoSpaceDE/>
        <w:autoSpaceDN/>
        <w:bidi w:val="0"/>
        <w:adjustRightInd/>
        <w:snapToGrid w:val="0"/>
        <w:spacing w:line="279" w:lineRule="auto"/>
        <w:ind w:left="126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2 = Low  </w:t>
      </w:r>
    </w:p>
    <w:p>
      <w:pPr>
        <w:pageBreakBefore w:val="0"/>
        <w:widowControl w:val="0"/>
        <w:numPr>
          <w:ilvl w:val="0"/>
          <w:numId w:val="4"/>
        </w:numPr>
        <w:kinsoku/>
        <w:wordWrap/>
        <w:overflowPunct/>
        <w:topLinePunct w:val="0"/>
        <w:autoSpaceDE/>
        <w:autoSpaceDN/>
        <w:bidi w:val="0"/>
        <w:adjustRightInd/>
        <w:snapToGrid w:val="0"/>
        <w:spacing w:line="279" w:lineRule="auto"/>
        <w:ind w:left="126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3 = Moderate  </w:t>
      </w:r>
    </w:p>
    <w:p>
      <w:pPr>
        <w:pageBreakBefore w:val="0"/>
        <w:widowControl w:val="0"/>
        <w:numPr>
          <w:ilvl w:val="0"/>
          <w:numId w:val="4"/>
        </w:numPr>
        <w:kinsoku/>
        <w:wordWrap/>
        <w:overflowPunct/>
        <w:topLinePunct w:val="0"/>
        <w:autoSpaceDE/>
        <w:autoSpaceDN/>
        <w:bidi w:val="0"/>
        <w:adjustRightInd/>
        <w:snapToGrid w:val="0"/>
        <w:spacing w:line="279" w:lineRule="auto"/>
        <w:ind w:left="126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4 = High  </w:t>
      </w:r>
    </w:p>
    <w:p>
      <w:pPr>
        <w:pageBreakBefore w:val="0"/>
        <w:widowControl w:val="0"/>
        <w:numPr>
          <w:ilvl w:val="0"/>
          <w:numId w:val="4"/>
        </w:numPr>
        <w:kinsoku/>
        <w:wordWrap/>
        <w:overflowPunct/>
        <w:topLinePunct w:val="0"/>
        <w:autoSpaceDE/>
        <w:autoSpaceDN/>
        <w:bidi w:val="0"/>
        <w:adjustRightInd/>
        <w:snapToGrid w:val="0"/>
        <w:spacing w:line="279" w:lineRule="auto"/>
        <w:ind w:left="126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5 = Very high  </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This variable was used as the subjective dimension in the subjective–objective risk discrepancy analysis.</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b/>
          <w:bCs/>
          <w:sz w:val="24"/>
          <w:szCs w:val="24"/>
          <w:highlight w:val="none"/>
          <w:lang w:val="en-US" w:eastAsia="zh-CN"/>
        </w:rPr>
        <w:t>4</w:t>
      </w:r>
      <w:r>
        <w:rPr>
          <w:rFonts w:hint="default" w:ascii="Times New Roman" w:hAnsi="Times New Roman" w:cs="Times New Roman"/>
          <w:b/>
          <w:bCs/>
          <w:sz w:val="24"/>
          <w:szCs w:val="24"/>
          <w:highlight w:val="none"/>
        </w:rPr>
        <w:t>. Objective Risk Assessment (Among High-Risk MSM)</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Objective risk was operationalized using two behavioral and clinical indicators collected from high-risk MSM participants:</w:t>
      </w:r>
    </w:p>
    <w:p>
      <w:pPr>
        <w:pageBreakBefore w:val="0"/>
        <w:widowControl w:val="0"/>
        <w:numPr>
          <w:ilvl w:val="0"/>
          <w:numId w:val="5"/>
        </w:numPr>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Presence of unexplained rash or lesions – response to the question: *"Have you developed any new unexplained rash or lesions (including in the genital or perianal areas) in the past month?"* (Yes/No).</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(2)</w:t>
      </w:r>
      <w:r>
        <w:rPr>
          <w:rFonts w:hint="default" w:ascii="Times New Roman" w:hAnsi="Times New Roman" w:cs="Times New Roman"/>
          <w:sz w:val="24"/>
          <w:szCs w:val="24"/>
          <w:highlight w:val="none"/>
        </w:rPr>
        <w:t xml:space="preserve"> Healthcare-seeking behavior – for those who reported rash/lesions, response to: *"After experiencing these symptoms, what measures did you take?"* Options included visiting a hospital, consulting CDC staff, seeking community organization help, self-purchasing medication, self-isolation, disinfection, protective measures, or taking no action.</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These two items together formed the basis for classifying the alignment or misalignment between objective risk indicators and subjective risk perception.</w:t>
      </w: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5</w:t>
      </w:r>
      <w:r>
        <w:rPr>
          <w:rFonts w:hint="default" w:ascii="Times New Roman" w:hAnsi="Times New Roman" w:cs="Times New Roman"/>
          <w:b/>
          <w:bCs/>
          <w:sz w:val="24"/>
          <w:szCs w:val="24"/>
          <w:highlight w:val="none"/>
        </w:rPr>
        <w:t>. Subjective–Objective Risk Discrepancy Classification</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This composite typology was constructed exclusively among high-risk MSM to categorize the degree of alignment or misalignment between subjective risk perception (self-assessed likelihood of mpox infection) and objective risk indicators (presence of unexplained rash/lesions and subsequent healthcare-seeking behaviors). The classification was based on a cross-tabulation of subjective risk ratings (five levels: Very low, Low, Moderate, High, Very high) against objective clinical/behavioral indicators, yielding four overarching categories with further gradations as specified below.</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 Underestimation</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This category applied to high-risk MSM who reported unexplained rash or lesions (an objective indicator of potential mpox infection) but rated their subjective infection risk as Low or Very low. These individuals objectively exhibited a clinical sign consistent with mpox but did not perceive themselves to be at meaningful risk. Based on the specific subjective rating, underestimation was stratified into three levels:</w:t>
      </w:r>
    </w:p>
    <w:p>
      <w:pPr>
        <w:pageBreakBefore w:val="0"/>
        <w:widowControl w:val="0"/>
        <w:numPr>
          <w:ilvl w:val="0"/>
          <w:numId w:val="6"/>
        </w:numPr>
        <w:kinsoku/>
        <w:wordWrap/>
        <w:overflowPunct/>
        <w:topLinePunct w:val="0"/>
        <w:autoSpaceDE/>
        <w:autoSpaceDN/>
        <w:bidi w:val="0"/>
        <w:adjustRightInd/>
        <w:snapToGrid w:val="0"/>
        <w:spacing w:line="279" w:lineRule="auto"/>
        <w:ind w:left="840" w:leftChars="0" w:hanging="420" w:firstLineChars="0"/>
        <w:textAlignment w:val="auto"/>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t>High underestimatio</w:t>
      </w:r>
      <w:r>
        <w:rPr>
          <w:rFonts w:hint="default" w:ascii="Times New Roman" w:hAnsi="Times New Roman" w:cs="Times New Roman"/>
          <w:sz w:val="24"/>
          <w:szCs w:val="24"/>
          <w:highlight w:val="none"/>
          <w:lang w:val="en-US" w:eastAsia="zh-CN"/>
        </w:rPr>
        <w:t xml:space="preserve">n: </w:t>
      </w:r>
      <w:r>
        <w:rPr>
          <w:rFonts w:hint="default" w:ascii="Times New Roman" w:hAnsi="Times New Roman" w:cs="Times New Roman"/>
          <w:sz w:val="24"/>
          <w:szCs w:val="24"/>
          <w:highlight w:val="none"/>
        </w:rPr>
        <w:t>rash/lesions present + subjective risk = Very low</w:t>
      </w:r>
      <w:r>
        <w:rPr>
          <w:rFonts w:hint="default" w:ascii="Times New Roman" w:hAnsi="Times New Roman" w:cs="Times New Roman"/>
          <w:sz w:val="24"/>
          <w:szCs w:val="24"/>
          <w:highlight w:val="none"/>
          <w:lang w:val="en-US" w:eastAsia="zh-CN"/>
        </w:rPr>
        <w:t>;</w:t>
      </w:r>
    </w:p>
    <w:p>
      <w:pPr>
        <w:pageBreakBefore w:val="0"/>
        <w:widowControl w:val="0"/>
        <w:numPr>
          <w:ilvl w:val="0"/>
          <w:numId w:val="6"/>
        </w:numPr>
        <w:kinsoku/>
        <w:wordWrap/>
        <w:overflowPunct/>
        <w:topLinePunct w:val="0"/>
        <w:autoSpaceDE/>
        <w:autoSpaceDN/>
        <w:bidi w:val="0"/>
        <w:adjustRightInd/>
        <w:snapToGrid w:val="0"/>
        <w:spacing w:line="279" w:lineRule="auto"/>
        <w:ind w:left="840" w:leftChars="0" w:hanging="420" w:firstLineChars="0"/>
        <w:textAlignment w:val="auto"/>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t>Moderate underestimation</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rash/lesions present + subjective risk = Low</w:t>
      </w:r>
      <w:r>
        <w:rPr>
          <w:rFonts w:hint="default" w:ascii="Times New Roman" w:hAnsi="Times New Roman" w:cs="Times New Roman"/>
          <w:sz w:val="24"/>
          <w:szCs w:val="24"/>
          <w:highlight w:val="none"/>
          <w:lang w:val="en-US" w:eastAsia="zh-CN"/>
        </w:rPr>
        <w:t>;</w:t>
      </w:r>
    </w:p>
    <w:p>
      <w:pPr>
        <w:pageBreakBefore w:val="0"/>
        <w:widowControl w:val="0"/>
        <w:numPr>
          <w:ilvl w:val="0"/>
          <w:numId w:val="6"/>
        </w:numPr>
        <w:kinsoku/>
        <w:wordWrap/>
        <w:overflowPunct/>
        <w:topLinePunct w:val="0"/>
        <w:autoSpaceDE/>
        <w:autoSpaceDN/>
        <w:bidi w:val="0"/>
        <w:adjustRightInd/>
        <w:snapToGrid w:val="0"/>
        <w:spacing w:line="279" w:lineRule="auto"/>
        <w:ind w:left="84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Mild underestimation</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rash/lesions present + subjective risk = Moderate</w:t>
      </w:r>
      <w:r>
        <w:rPr>
          <w:rFonts w:hint="default" w:ascii="Times New Roman" w:hAnsi="Times New Roman" w:cs="Times New Roman"/>
          <w:sz w:val="24"/>
          <w:szCs w:val="24"/>
          <w:highlight w:val="none"/>
          <w:lang w:val="en-US" w:eastAsia="zh-CN"/>
        </w:rPr>
        <w:t>.</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(2) Matched Perception  </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This category applied when subjective risk ratings were consistent with objective indicators, reflecting accurate risk appraisal. Two matching levels were defined based on the direction of alignment:</w:t>
      </w:r>
    </w:p>
    <w:p>
      <w:pPr>
        <w:pageBreakBefore w:val="0"/>
        <w:widowControl w:val="0"/>
        <w:numPr>
          <w:ilvl w:val="0"/>
          <w:numId w:val="6"/>
        </w:numPr>
        <w:kinsoku/>
        <w:wordWrap/>
        <w:overflowPunct/>
        <w:topLinePunct w:val="0"/>
        <w:autoSpaceDE/>
        <w:autoSpaceDN/>
        <w:bidi w:val="0"/>
        <w:adjustRightInd/>
        <w:snapToGrid w:val="0"/>
        <w:spacing w:line="279" w:lineRule="auto"/>
        <w:ind w:left="84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High match</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rash/lesions present + subjective risk = Very high</w:t>
      </w:r>
      <w:r>
        <w:rPr>
          <w:rFonts w:hint="default" w:ascii="Times New Roman" w:hAnsi="Times New Roman" w:cs="Times New Roman"/>
          <w:sz w:val="24"/>
          <w:szCs w:val="24"/>
          <w:highlight w:val="none"/>
          <w:lang w:val="en-US" w:eastAsia="zh-CN"/>
        </w:rPr>
        <w:t xml:space="preserve"> or </w:t>
      </w:r>
      <w:r>
        <w:rPr>
          <w:rFonts w:hint="default" w:ascii="Times New Roman" w:hAnsi="Times New Roman" w:cs="Times New Roman"/>
          <w:sz w:val="24"/>
          <w:szCs w:val="24"/>
          <w:highlight w:val="none"/>
        </w:rPr>
        <w:t>no rash/lesions + subjective risk = Very low</w:t>
      </w:r>
      <w:r>
        <w:rPr>
          <w:rFonts w:hint="default" w:ascii="Times New Roman" w:hAnsi="Times New Roman" w:cs="Times New Roman"/>
          <w:sz w:val="24"/>
          <w:szCs w:val="24"/>
          <w:highlight w:val="none"/>
          <w:lang w:val="en-US" w:eastAsia="zh-CN"/>
        </w:rPr>
        <w:t>;</w:t>
      </w:r>
    </w:p>
    <w:p>
      <w:pPr>
        <w:pageBreakBefore w:val="0"/>
        <w:widowControl w:val="0"/>
        <w:numPr>
          <w:ilvl w:val="0"/>
          <w:numId w:val="6"/>
        </w:numPr>
        <w:kinsoku/>
        <w:wordWrap/>
        <w:overflowPunct/>
        <w:topLinePunct w:val="0"/>
        <w:autoSpaceDE/>
        <w:autoSpaceDN/>
        <w:bidi w:val="0"/>
        <w:adjustRightInd/>
        <w:snapToGrid w:val="0"/>
        <w:spacing w:line="279" w:lineRule="auto"/>
        <w:ind w:left="84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M</w:t>
      </w:r>
      <w:r>
        <w:rPr>
          <w:rFonts w:hint="default" w:ascii="Times New Roman" w:hAnsi="Times New Roman" w:cs="Times New Roman"/>
          <w:sz w:val="24"/>
          <w:szCs w:val="24"/>
          <w:highlight w:val="none"/>
        </w:rPr>
        <w:t>atch</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rash/lesions present + subjective risk = high</w:t>
      </w:r>
      <w:r>
        <w:rPr>
          <w:rFonts w:hint="default" w:ascii="Times New Roman" w:hAnsi="Times New Roman" w:cs="Times New Roman"/>
          <w:sz w:val="24"/>
          <w:szCs w:val="24"/>
          <w:highlight w:val="none"/>
          <w:lang w:val="en-US" w:eastAsia="zh-CN"/>
        </w:rPr>
        <w:t xml:space="preserve"> or </w:t>
      </w:r>
      <w:r>
        <w:rPr>
          <w:rFonts w:hint="default" w:ascii="Times New Roman" w:hAnsi="Times New Roman" w:cs="Times New Roman"/>
          <w:sz w:val="24"/>
          <w:szCs w:val="24"/>
          <w:highlight w:val="none"/>
        </w:rPr>
        <w:t>no rash/lesions + subjective risk = low.</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(3) Overestimation  </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This category applied to high-risk MSM who did NOT report unexplained rash or lesions (no objective indicator of active infection) but rated their subjective risk as High or Very high. These individuals overestimated their infection risk in the absence of clinical signs. Based on the specific subjective rating, overestimation was stratified into three levels:</w:t>
      </w:r>
    </w:p>
    <w:p>
      <w:pPr>
        <w:pageBreakBefore w:val="0"/>
        <w:widowControl w:val="0"/>
        <w:numPr>
          <w:ilvl w:val="0"/>
          <w:numId w:val="6"/>
        </w:numPr>
        <w:kinsoku/>
        <w:wordWrap/>
        <w:overflowPunct/>
        <w:topLinePunct w:val="0"/>
        <w:autoSpaceDE/>
        <w:autoSpaceDN/>
        <w:bidi w:val="0"/>
        <w:adjustRightInd/>
        <w:snapToGrid w:val="0"/>
        <w:spacing w:line="279" w:lineRule="auto"/>
        <w:ind w:left="840" w:leftChars="0" w:hanging="420" w:firstLineChars="0"/>
        <w:textAlignment w:val="auto"/>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t>High overestimation</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no rash/lesions + subjective risk = Very high</w:t>
      </w:r>
      <w:r>
        <w:rPr>
          <w:rFonts w:hint="default" w:ascii="Times New Roman" w:hAnsi="Times New Roman" w:cs="Times New Roman"/>
          <w:sz w:val="24"/>
          <w:szCs w:val="24"/>
          <w:highlight w:val="none"/>
          <w:lang w:val="en-US" w:eastAsia="zh-CN"/>
        </w:rPr>
        <w:t>;</w:t>
      </w:r>
    </w:p>
    <w:p>
      <w:pPr>
        <w:pageBreakBefore w:val="0"/>
        <w:widowControl w:val="0"/>
        <w:numPr>
          <w:ilvl w:val="0"/>
          <w:numId w:val="6"/>
        </w:numPr>
        <w:kinsoku/>
        <w:wordWrap/>
        <w:overflowPunct/>
        <w:topLinePunct w:val="0"/>
        <w:autoSpaceDE/>
        <w:autoSpaceDN/>
        <w:bidi w:val="0"/>
        <w:adjustRightInd/>
        <w:snapToGrid w:val="0"/>
        <w:spacing w:line="279" w:lineRule="auto"/>
        <w:ind w:left="840" w:leftChars="0" w:hanging="420" w:firstLineChars="0"/>
        <w:textAlignment w:val="auto"/>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t>Moderate overestimation</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 xml:space="preserve"> no rash/lesions + subjective risk = High</w:t>
      </w:r>
      <w:r>
        <w:rPr>
          <w:rFonts w:hint="default" w:ascii="Times New Roman" w:hAnsi="Times New Roman" w:cs="Times New Roman"/>
          <w:sz w:val="24"/>
          <w:szCs w:val="24"/>
          <w:highlight w:val="none"/>
          <w:lang w:val="en-US" w:eastAsia="zh-CN"/>
        </w:rPr>
        <w:t>;</w:t>
      </w:r>
    </w:p>
    <w:p>
      <w:pPr>
        <w:pageBreakBefore w:val="0"/>
        <w:widowControl w:val="0"/>
        <w:numPr>
          <w:ilvl w:val="0"/>
          <w:numId w:val="6"/>
        </w:numPr>
        <w:kinsoku/>
        <w:wordWrap/>
        <w:overflowPunct/>
        <w:topLinePunct w:val="0"/>
        <w:autoSpaceDE/>
        <w:autoSpaceDN/>
        <w:bidi w:val="0"/>
        <w:adjustRightInd/>
        <w:snapToGrid w:val="0"/>
        <w:spacing w:line="279" w:lineRule="auto"/>
        <w:ind w:left="840" w:leftChars="0" w:hanging="42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Mild overestimation</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 xml:space="preserve"> no rash/lesions + subjective risk = Moderate.</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(4) Severe Mismatch Subgroup </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This subgroup represented the most concerning discrepancy pattern. It comprised underestimators who had unexplained rash/lesions AND did NOT seek any medical advice or purchase medication following symptom onset. These individuals not only failed to recognize their risk but also took no active measures to address potential infection, posing potential risks to both themselves and others.</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Within this subgroup, the severity of subjective–objective discrepancy was further graded into five ordinal levels (Severe, Major, Moderate, Little, and Minimal)</w:t>
      </w:r>
      <w:r>
        <w:rPr>
          <w:rFonts w:hint="default" w:ascii="Times New Roman" w:hAnsi="Times New Roman" w:cs="Times New Roman"/>
          <w:sz w:val="24"/>
          <w:szCs w:val="24"/>
          <w:highlight w:val="none"/>
          <w:lang w:val="en-US" w:eastAsia="zh-CN"/>
        </w:rPr>
        <w:t>.</w:t>
      </w:r>
    </w:p>
    <w:p>
      <w:pPr>
        <w:pageBreakBefore w:val="0"/>
        <w:widowControl w:val="0"/>
        <w:kinsoku/>
        <w:wordWrap/>
        <w:overflowPunct/>
        <w:topLinePunct w:val="0"/>
        <w:autoSpaceDE/>
        <w:autoSpaceDN/>
        <w:bidi w:val="0"/>
        <w:adjustRightInd/>
        <w:snapToGrid w:val="0"/>
        <w:spacing w:line="279" w:lineRule="auto"/>
        <w:ind w:firstLine="480" w:firstLineChars="200"/>
        <w:textAlignment w:val="auto"/>
        <w:rPr>
          <w:rFonts w:hint="default" w:ascii="Times New Roman" w:hAnsi="Times New Roman" w:cs="Times New Roman"/>
          <w:sz w:val="24"/>
          <w:szCs w:val="24"/>
          <w:highlight w:val="none"/>
        </w:rPr>
      </w:pPr>
    </w:p>
    <w:p>
      <w:pPr>
        <w:pageBreakBefore w:val="0"/>
        <w:widowControl w:val="0"/>
        <w:kinsoku/>
        <w:wordWrap/>
        <w:overflowPunct/>
        <w:topLinePunct w:val="0"/>
        <w:autoSpaceDE/>
        <w:autoSpaceDN/>
        <w:bidi w:val="0"/>
        <w:adjustRightInd/>
        <w:snapToGrid w:val="0"/>
        <w:spacing w:line="279" w:lineRule="auto"/>
        <w:textAlignment w:val="auto"/>
        <w:rPr>
          <w:rFonts w:hint="default" w:ascii="Times New Roman" w:hAnsi="Times New Roman" w:cs="Times New Roman"/>
          <w:sz w:val="24"/>
          <w:szCs w:val="24"/>
          <w:highlight w:val="none"/>
        </w:rPr>
      </w:pPr>
    </w:p>
    <w:p>
      <w:pP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br w:type="page"/>
      </w:r>
    </w:p>
    <w:p>
      <w:pPr>
        <w:pStyle w:val="2"/>
        <w:keepNext/>
        <w:keepLines/>
        <w:pageBreakBefore w:val="0"/>
        <w:widowControl w:val="0"/>
        <w:kinsoku/>
        <w:wordWrap/>
        <w:overflowPunct/>
        <w:topLinePunct w:val="0"/>
        <w:autoSpaceDE/>
        <w:autoSpaceDN/>
        <w:bidi w:val="0"/>
        <w:adjustRightInd/>
        <w:snapToGrid w:val="0"/>
        <w:spacing w:before="0" w:after="0" w:line="240" w:lineRule="auto"/>
        <w:jc w:val="center"/>
        <w:textAlignment w:val="auto"/>
        <w:rPr>
          <w:rFonts w:hint="default" w:ascii="Times New Roman" w:hAnsi="Times New Roman" w:cs="Times New Roman"/>
          <w:sz w:val="28"/>
          <w:szCs w:val="28"/>
          <w:highlight w:val="none"/>
        </w:rPr>
      </w:pPr>
      <w:bookmarkStart w:id="4" w:name="_Toc13729"/>
      <w:r>
        <w:rPr>
          <w:rFonts w:hint="default" w:ascii="Times New Roman" w:hAnsi="Times New Roman" w:cs="Times New Roman"/>
          <w:sz w:val="28"/>
          <w:szCs w:val="28"/>
          <w:highlight w:val="none"/>
        </w:rPr>
        <w:t>Table S1. High-risk sexual behaviors characteristics of MSM</w:t>
      </w:r>
      <w:bookmarkEnd w:id="4"/>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01"/>
        <w:gridCol w:w="1283"/>
        <w:gridCol w:w="1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601" w:type="dxa"/>
            <w:tcBorders>
              <w:top w:val="single" w:color="auto" w:sz="4" w:space="0"/>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b/>
                <w:bCs/>
                <w:highlight w:val="none"/>
              </w:rPr>
            </w:pPr>
            <w:r>
              <w:rPr>
                <w:rFonts w:hint="default" w:ascii="Times New Roman" w:hAnsi="Times New Roman" w:cs="Times New Roman"/>
                <w:b/>
                <w:bCs/>
                <w:highlight w:val="none"/>
              </w:rPr>
              <w:t>Variables</w:t>
            </w:r>
          </w:p>
        </w:tc>
        <w:tc>
          <w:tcPr>
            <w:tcW w:w="1283" w:type="dxa"/>
            <w:tcBorders>
              <w:top w:val="single" w:color="auto" w:sz="4" w:space="0"/>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b/>
                <w:bCs/>
                <w:highlight w:val="none"/>
              </w:rPr>
            </w:pPr>
            <w:r>
              <w:rPr>
                <w:rFonts w:hint="default" w:ascii="Times New Roman" w:hAnsi="Times New Roman" w:cs="Times New Roman"/>
                <w:b/>
                <w:bCs/>
                <w:highlight w:val="none"/>
              </w:rPr>
              <w:t>Number</w:t>
            </w:r>
          </w:p>
          <w:p>
            <w:pPr>
              <w:adjustRightInd w:val="0"/>
              <w:snapToGrid w:val="0"/>
              <w:spacing w:after="0" w:line="240" w:lineRule="auto"/>
              <w:contextualSpacing/>
              <w:jc w:val="center"/>
              <w:rPr>
                <w:rFonts w:hint="default" w:ascii="Times New Roman" w:hAnsi="Times New Roman" w:cs="Times New Roman"/>
                <w:b/>
                <w:bCs/>
                <w:highlight w:val="none"/>
              </w:rPr>
            </w:pPr>
            <w:r>
              <w:rPr>
                <w:rFonts w:hint="default" w:ascii="Times New Roman" w:hAnsi="Times New Roman" w:cs="Times New Roman"/>
                <w:b/>
                <w:bCs/>
                <w:highlight w:val="none"/>
              </w:rPr>
              <w:t>(n)</w:t>
            </w:r>
          </w:p>
        </w:tc>
        <w:tc>
          <w:tcPr>
            <w:tcW w:w="1330" w:type="dxa"/>
            <w:tcBorders>
              <w:top w:val="single" w:color="auto" w:sz="4" w:space="0"/>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b/>
                <w:bCs/>
                <w:highlight w:val="none"/>
              </w:rPr>
            </w:pPr>
            <w:r>
              <w:rPr>
                <w:rFonts w:hint="default" w:ascii="Times New Roman" w:hAnsi="Times New Roman" w:cs="Times New Roman"/>
                <w:b/>
                <w:bCs/>
                <w:highlight w:val="none"/>
              </w:rPr>
              <w:t>Proportion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601" w:type="dxa"/>
            <w:tcBorders>
              <w:top w:val="single" w:color="auto" w:sz="4" w:space="0"/>
            </w:tcBorders>
            <w:vAlign w:val="center"/>
          </w:tcPr>
          <w:p>
            <w:pPr>
              <w:adjustRightInd w:val="0"/>
              <w:snapToGrid w:val="0"/>
              <w:spacing w:line="240" w:lineRule="auto"/>
              <w:contextualSpacing/>
              <w:rPr>
                <w:rFonts w:hint="default" w:ascii="Times New Roman" w:hAnsi="Times New Roman" w:eastAsia="宋体" w:cs="Times New Roman"/>
                <w:b/>
                <w:bCs/>
                <w:highlight w:val="none"/>
              </w:rPr>
            </w:pPr>
            <w:r>
              <w:rPr>
                <w:rFonts w:hint="default" w:ascii="Times New Roman" w:hAnsi="Times New Roman" w:cs="Times New Roman"/>
                <w:b/>
                <w:bCs/>
                <w:highlight w:val="none"/>
              </w:rPr>
              <w:t>Frequency of sexual activity with men//month</w:t>
            </w:r>
          </w:p>
        </w:tc>
        <w:tc>
          <w:tcPr>
            <w:tcW w:w="1283" w:type="dxa"/>
            <w:tcBorders>
              <w:top w:val="single" w:color="auto" w:sz="4" w:space="0"/>
            </w:tcBorders>
            <w:vAlign w:val="center"/>
          </w:tcPr>
          <w:p>
            <w:pPr>
              <w:adjustRightInd w:val="0"/>
              <w:snapToGrid w:val="0"/>
              <w:spacing w:after="0" w:line="240" w:lineRule="auto"/>
              <w:contextualSpacing/>
              <w:rPr>
                <w:rFonts w:hint="default" w:ascii="Times New Roman" w:hAnsi="Times New Roman" w:cs="Times New Roman"/>
                <w:highlight w:val="none"/>
              </w:rPr>
            </w:pPr>
          </w:p>
        </w:tc>
        <w:tc>
          <w:tcPr>
            <w:tcW w:w="1330" w:type="dxa"/>
            <w:tcBorders>
              <w:top w:val="single" w:color="auto" w:sz="4" w:space="0"/>
            </w:tcBorders>
            <w:vAlign w:val="center"/>
          </w:tcPr>
          <w:p>
            <w:pPr>
              <w:adjustRightInd w:val="0"/>
              <w:snapToGrid w:val="0"/>
              <w:spacing w:after="0" w:line="240" w:lineRule="auto"/>
              <w:contextualSpacing/>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601" w:type="dxa"/>
            <w:vAlign w:val="center"/>
          </w:tcPr>
          <w:p>
            <w:pPr>
              <w:adjustRightInd w:val="0"/>
              <w:snapToGrid w:val="0"/>
              <w:spacing w:after="0" w:line="240" w:lineRule="auto"/>
              <w:ind w:firstLine="210" w:firstLineChars="100"/>
              <w:contextualSpacing/>
              <w:rPr>
                <w:rFonts w:hint="default" w:ascii="Times New Roman" w:hAnsi="Times New Roman" w:eastAsia="宋体" w:cs="Times New Roman"/>
                <w:highlight w:val="none"/>
              </w:rPr>
            </w:pPr>
            <w:r>
              <w:rPr>
                <w:rFonts w:hint="default" w:ascii="Times New Roman" w:hAnsi="Times New Roman" w:eastAsia="宋体" w:cs="Times New Roman"/>
                <w:highlight w:val="none"/>
              </w:rPr>
              <w:t>0 times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3452</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24.10%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601" w:type="dxa"/>
            <w:vAlign w:val="center"/>
          </w:tcPr>
          <w:p>
            <w:pPr>
              <w:adjustRightInd w:val="0"/>
              <w:snapToGrid w:val="0"/>
              <w:spacing w:after="0" w:line="240" w:lineRule="auto"/>
              <w:ind w:firstLine="210" w:firstLineChars="100"/>
              <w:contextualSpacing/>
              <w:rPr>
                <w:rFonts w:hint="default" w:ascii="Times New Roman" w:hAnsi="Times New Roman" w:eastAsia="宋体" w:cs="Times New Roman"/>
                <w:highlight w:val="none"/>
              </w:rPr>
            </w:pPr>
            <w:r>
              <w:rPr>
                <w:rFonts w:hint="default" w:ascii="Times New Roman" w:hAnsi="Times New Roman" w:eastAsia="宋体" w:cs="Times New Roman"/>
                <w:highlight w:val="none"/>
              </w:rPr>
              <w:t>1–5 times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9448</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65.95%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601" w:type="dxa"/>
            <w:vAlign w:val="center"/>
          </w:tcPr>
          <w:p>
            <w:pPr>
              <w:adjustRightInd w:val="0"/>
              <w:snapToGrid w:val="0"/>
              <w:spacing w:after="0" w:line="240" w:lineRule="auto"/>
              <w:ind w:firstLine="210" w:firstLineChars="100"/>
              <w:contextualSpacing/>
              <w:rPr>
                <w:rFonts w:hint="default" w:ascii="Times New Roman" w:hAnsi="Times New Roman" w:eastAsia="宋体" w:cs="Times New Roman"/>
                <w:highlight w:val="none"/>
              </w:rPr>
            </w:pPr>
            <w:r>
              <w:rPr>
                <w:rFonts w:hint="default" w:ascii="Times New Roman" w:hAnsi="Times New Roman" w:eastAsia="宋体" w:cs="Times New Roman"/>
                <w:highlight w:val="none"/>
              </w:rPr>
              <w:t>≥5 times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1425</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601" w:type="dxa"/>
            <w:vAlign w:val="center"/>
          </w:tcPr>
          <w:p>
            <w:pPr>
              <w:adjustRightInd w:val="0"/>
              <w:snapToGrid w:val="0"/>
              <w:spacing w:after="0" w:line="240" w:lineRule="auto"/>
              <w:contextualSpacing/>
              <w:rPr>
                <w:rFonts w:hint="default" w:ascii="Times New Roman" w:hAnsi="Times New Roman" w:cs="Times New Roman"/>
                <w:b/>
                <w:bCs/>
                <w:highlight w:val="none"/>
              </w:rPr>
            </w:pPr>
            <w:r>
              <w:rPr>
                <w:rFonts w:hint="default" w:ascii="Times New Roman" w:hAnsi="Times New Roman" w:eastAsia="宋体" w:cs="Times New Roman"/>
                <w:b/>
                <w:bCs/>
                <w:highlight w:val="none"/>
              </w:rPr>
              <w:t>Average monthly number of male sexual partners*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ind w:firstLine="210" w:firstLineChars="100"/>
              <w:contextualSpacing/>
              <w:rPr>
                <w:rFonts w:hint="default" w:ascii="Times New Roman" w:hAnsi="Times New Roman" w:cs="Times New Roman"/>
                <w:highlight w:val="none"/>
              </w:rPr>
            </w:pPr>
            <w:r>
              <w:rPr>
                <w:rFonts w:hint="default" w:ascii="Times New Roman" w:hAnsi="Times New Roman" w:cs="Times New Roman"/>
                <w:highlight w:val="none"/>
              </w:rPr>
              <w:t>1-3</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9649</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88.74%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ind w:firstLine="210" w:firstLineChars="100"/>
              <w:contextualSpacing/>
              <w:rPr>
                <w:rFonts w:hint="default" w:ascii="Times New Roman" w:hAnsi="Times New Roman" w:cs="Times New Roman"/>
                <w:highlight w:val="none"/>
              </w:rPr>
            </w:pPr>
            <w:r>
              <w:rPr>
                <w:rFonts w:hint="default" w:ascii="Times New Roman" w:hAnsi="Times New Roman" w:cs="Times New Roman"/>
                <w:highlight w:val="none"/>
              </w:rPr>
              <w:t>≥4</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1224</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b/>
                <w:bCs/>
                <w:highlight w:val="none"/>
              </w:rPr>
            </w:pPr>
            <w:r>
              <w:rPr>
                <w:rFonts w:hint="default" w:ascii="Times New Roman" w:hAnsi="Times New Roman" w:cs="Times New Roman"/>
                <w:b/>
                <w:bCs/>
                <w:szCs w:val="21"/>
                <w:highlight w:val="none"/>
              </w:rPr>
              <w:t>History of group sex with men</w:t>
            </w:r>
            <w:r>
              <w:rPr>
                <w:rFonts w:hint="default" w:ascii="Times New Roman" w:hAnsi="Times New Roman" w:cs="Times New Roman"/>
                <w:b/>
                <w:bCs/>
                <w:highlight w:val="none"/>
              </w:rPr>
              <w:t>*</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highlight w:val="none"/>
              </w:rPr>
            </w:pPr>
            <w:r>
              <w:rPr>
                <w:rFonts w:hint="default" w:ascii="Times New Roman" w:hAnsi="Times New Roman" w:cs="Times New Roman"/>
                <w:highlight w:val="none"/>
              </w:rPr>
              <w:t xml:space="preserve">  No</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8457</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77.78%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ind w:firstLine="210" w:firstLineChars="100"/>
              <w:contextualSpacing/>
              <w:rPr>
                <w:rFonts w:hint="default" w:ascii="Times New Roman" w:hAnsi="Times New Roman" w:cs="Times New Roman"/>
                <w:highlight w:val="none"/>
              </w:rPr>
            </w:pPr>
            <w:r>
              <w:rPr>
                <w:rFonts w:hint="default" w:ascii="Times New Roman" w:hAnsi="Times New Roman" w:cs="Times New Roman"/>
                <w:highlight w:val="none"/>
              </w:rPr>
              <w:t>Yes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2416</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22.22%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b/>
                <w:bCs/>
                <w:szCs w:val="21"/>
                <w:highlight w:val="none"/>
              </w:rPr>
            </w:pPr>
            <w:r>
              <w:rPr>
                <w:rFonts w:hint="default" w:ascii="Times New Roman" w:hAnsi="Times New Roman" w:cs="Times New Roman"/>
                <w:b/>
                <w:bCs/>
                <w:highlight w:val="none"/>
              </w:rPr>
              <w:t>Rash symptoms in male sexual partners*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highlight w:val="none"/>
              </w:rPr>
              <w:t xml:space="preserve">  Yes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569</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5.23%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highlight w:val="none"/>
              </w:rPr>
              <w:t xml:space="preserve">  No</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8793</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80.87%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Not sure</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1511</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Rash symptoms in male sexual partners during overseas travel</w:t>
            </w:r>
            <w:r>
              <w:rPr>
                <w:rFonts w:hint="default" w:ascii="Times New Roman" w:hAnsi="Times New Roman" w:cs="Times New Roman"/>
                <w:b/>
                <w:bCs/>
                <w:highlight w:val="none"/>
              </w:rPr>
              <w:t>*</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No history of overseas travel</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10282</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History of overseas travel</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591</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5.44%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No male-male sexual activity</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253</w:t>
            </w:r>
          </w:p>
        </w:tc>
        <w:tc>
          <w:tcPr>
            <w:tcW w:w="1330" w:type="dxa"/>
            <w:vAlign w:val="bottom"/>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ind w:firstLine="420" w:firstLineChars="200"/>
              <w:contextualSpacing/>
              <w:rPr>
                <w:rFonts w:hint="default" w:ascii="Times New Roman" w:hAnsi="Times New Roman" w:cs="Times New Roman"/>
                <w:szCs w:val="21"/>
                <w:highlight w:val="none"/>
              </w:rPr>
            </w:pPr>
            <w:r>
              <w:rPr>
                <w:rFonts w:hint="default" w:ascii="Times New Roman" w:hAnsi="Times New Roman" w:cs="Times New Roman"/>
                <w:highlight w:val="none"/>
              </w:rPr>
              <w:t>Yes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158</w:t>
            </w:r>
          </w:p>
        </w:tc>
        <w:tc>
          <w:tcPr>
            <w:tcW w:w="1330" w:type="dxa"/>
            <w:vAlign w:val="bottom"/>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No</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136</w:t>
            </w:r>
          </w:p>
        </w:tc>
        <w:tc>
          <w:tcPr>
            <w:tcW w:w="1330" w:type="dxa"/>
            <w:vAlign w:val="bottom"/>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0.95%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Not sure</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44</w:t>
            </w:r>
          </w:p>
        </w:tc>
        <w:tc>
          <w:tcPr>
            <w:tcW w:w="1330" w:type="dxa"/>
            <w:vAlign w:val="bottom"/>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b/>
                <w:bCs/>
                <w:szCs w:val="21"/>
                <w:highlight w:val="none"/>
              </w:rPr>
            </w:pPr>
            <w:r>
              <w:rPr>
                <w:rFonts w:hint="default" w:ascii="Times New Roman" w:hAnsi="Times New Roman" w:cs="Times New Roman"/>
                <w:b/>
                <w:bCs/>
                <w:highlight w:val="none"/>
              </w:rPr>
              <w:t>STI Diagnosis*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w:t>
            </w:r>
            <w:r>
              <w:rPr>
                <w:rFonts w:hint="default" w:ascii="Times New Roman" w:hAnsi="Times New Roman" w:cs="Times New Roman"/>
                <w:highlight w:val="none"/>
              </w:rPr>
              <w:t>No</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10309</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94.81%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highlight w:val="none"/>
              </w:rPr>
              <w:t xml:space="preserve">  Yes (e.g., syphilis, gonorrhea, genital warts, genital herpes, genital chlamydia infection)</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564</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5.19%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contextualSpacing/>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Current HIV status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vAlign w:val="center"/>
          </w:tcPr>
          <w:p>
            <w:pPr>
              <w:adjustRightInd w:val="0"/>
              <w:snapToGrid w:val="0"/>
              <w:spacing w:after="0" w:line="240" w:lineRule="auto"/>
              <w:ind w:firstLine="210" w:firstLineChars="100"/>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Positive</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3357</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23.43%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 w:hRule="atLeast"/>
          <w:jc w:val="center"/>
        </w:trPr>
        <w:tc>
          <w:tcPr>
            <w:tcW w:w="4601" w:type="dxa"/>
            <w:vAlign w:val="center"/>
          </w:tcPr>
          <w:p>
            <w:pPr>
              <w:adjustRightInd w:val="0"/>
              <w:snapToGrid w:val="0"/>
              <w:spacing w:after="0" w:line="240" w:lineRule="auto"/>
              <w:ind w:firstLine="210" w:firstLineChars="100"/>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Negative</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9997</w:t>
            </w:r>
          </w:p>
        </w:tc>
        <w:tc>
          <w:tcPr>
            <w:tcW w:w="1330"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69.79%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01" w:type="dxa"/>
            <w:tcBorders>
              <w:bottom w:val="single" w:color="auto" w:sz="4" w:space="0"/>
            </w:tcBorders>
            <w:vAlign w:val="center"/>
          </w:tcPr>
          <w:p>
            <w:pPr>
              <w:adjustRightInd w:val="0"/>
              <w:snapToGrid w:val="0"/>
              <w:spacing w:after="0" w:line="240" w:lineRule="auto"/>
              <w:contextualSpacing/>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Unknown</w:t>
            </w:r>
          </w:p>
        </w:tc>
        <w:tc>
          <w:tcPr>
            <w:tcW w:w="1283" w:type="dxa"/>
            <w:tcBorders>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971</w:t>
            </w:r>
          </w:p>
        </w:tc>
        <w:tc>
          <w:tcPr>
            <w:tcW w:w="1330" w:type="dxa"/>
            <w:tcBorders>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6.78%</w:t>
            </w:r>
          </w:p>
        </w:tc>
      </w:tr>
    </w:tbl>
    <w:p>
      <w:pPr>
        <w:rPr>
          <w:rFonts w:hint="default" w:ascii="Times New Roman" w:hAnsi="Times New Roman" w:cs="Times New Roman"/>
          <w:highlight w:val="none"/>
        </w:rPr>
      </w:pPr>
      <w:r>
        <w:rPr>
          <w:rFonts w:hint="default" w:ascii="Times New Roman" w:hAnsi="Times New Roman" w:cs="Times New Roman"/>
          <w:b/>
          <w:bCs/>
          <w:highlight w:val="none"/>
        </w:rPr>
        <w:t>*</w:t>
      </w:r>
      <w:r>
        <w:rPr>
          <w:rFonts w:hint="default" w:ascii="Times New Roman" w:hAnsi="Times New Roman" w:cs="Times New Roman"/>
          <w:highlight w:val="none"/>
        </w:rPr>
        <w:t xml:space="preserve"> Indicated MSM who engaged in sexual activity in the past 3 months.</w:t>
      </w: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b/>
          <w:bCs/>
          <w:sz w:val="24"/>
          <w:szCs w:val="28"/>
          <w:highlight w:val="none"/>
        </w:rPr>
      </w:pPr>
      <w:r>
        <w:rPr>
          <w:rFonts w:hint="default" w:ascii="Times New Roman" w:hAnsi="Times New Roman" w:cs="Times New Roman"/>
          <w:b/>
          <w:bCs/>
          <w:sz w:val="24"/>
          <w:szCs w:val="28"/>
          <w:highlight w:val="none"/>
        </w:rPr>
        <w:br w:type="page"/>
      </w:r>
    </w:p>
    <w:p>
      <w:pPr>
        <w:pStyle w:val="2"/>
        <w:keepNext/>
        <w:keepLines/>
        <w:pageBreakBefore w:val="0"/>
        <w:widowControl w:val="0"/>
        <w:kinsoku/>
        <w:wordWrap/>
        <w:overflowPunct/>
        <w:topLinePunct w:val="0"/>
        <w:autoSpaceDE/>
        <w:autoSpaceDN/>
        <w:bidi w:val="0"/>
        <w:adjustRightInd/>
        <w:snapToGrid w:val="0"/>
        <w:spacing w:before="0" w:after="0" w:line="240" w:lineRule="auto"/>
        <w:jc w:val="center"/>
        <w:textAlignment w:val="auto"/>
        <w:rPr>
          <w:rFonts w:hint="default" w:ascii="Times New Roman" w:hAnsi="Times New Roman" w:cs="Times New Roman"/>
          <w:sz w:val="28"/>
          <w:szCs w:val="28"/>
          <w:highlight w:val="none"/>
        </w:rPr>
      </w:pPr>
      <w:bookmarkStart w:id="5" w:name="_Toc3357"/>
      <w:r>
        <w:rPr>
          <w:rFonts w:hint="default" w:ascii="Times New Roman" w:hAnsi="Times New Roman" w:cs="Times New Roman"/>
          <w:sz w:val="28"/>
          <w:szCs w:val="28"/>
          <w:highlight w:val="none"/>
        </w:rPr>
        <w:t>Table S2. Accuracy of Responses to Monkeypox-Related Knowledge Items</w:t>
      </w:r>
      <w:bookmarkEnd w:id="5"/>
    </w:p>
    <w:tbl>
      <w:tblPr>
        <w:tblStyle w:val="10"/>
        <w:tblW w:w="102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20"/>
        <w:gridCol w:w="1283"/>
        <w:gridCol w:w="12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tcBorders>
              <w:top w:val="single" w:color="auto" w:sz="4" w:space="0"/>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b/>
                <w:bCs/>
                <w:highlight w:val="none"/>
              </w:rPr>
            </w:pPr>
            <w:r>
              <w:rPr>
                <w:rFonts w:hint="default" w:ascii="Times New Roman" w:hAnsi="Times New Roman" w:cs="Times New Roman"/>
                <w:b/>
                <w:bCs/>
                <w:highlight w:val="none"/>
              </w:rPr>
              <w:t>Variables</w:t>
            </w:r>
          </w:p>
        </w:tc>
        <w:tc>
          <w:tcPr>
            <w:tcW w:w="1283" w:type="dxa"/>
            <w:tcBorders>
              <w:top w:val="single" w:color="auto" w:sz="4" w:space="0"/>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b/>
                <w:bCs/>
                <w:highlight w:val="none"/>
              </w:rPr>
            </w:pPr>
            <w:r>
              <w:rPr>
                <w:rFonts w:hint="default" w:ascii="Times New Roman" w:hAnsi="Times New Roman" w:cs="Times New Roman"/>
                <w:b/>
                <w:bCs/>
                <w:highlight w:val="none"/>
              </w:rPr>
              <w:t>Correct respondents (n)</w:t>
            </w:r>
          </w:p>
        </w:tc>
        <w:tc>
          <w:tcPr>
            <w:tcW w:w="1257" w:type="dxa"/>
            <w:tcBorders>
              <w:top w:val="single" w:color="auto" w:sz="4" w:space="0"/>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b/>
                <w:bCs/>
                <w:highlight w:val="none"/>
              </w:rPr>
            </w:pPr>
            <w:r>
              <w:rPr>
                <w:rFonts w:hint="default" w:ascii="Times New Roman" w:hAnsi="Times New Roman" w:cs="Times New Roman"/>
                <w:b/>
                <w:bCs/>
                <w:highlight w:val="none"/>
              </w:rPr>
              <w:t>Proportion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20" w:type="dxa"/>
            <w:tcBorders>
              <w:top w:val="single" w:color="auto" w:sz="4" w:space="0"/>
            </w:tcBorders>
            <w:vAlign w:val="center"/>
          </w:tcPr>
          <w:p>
            <w:pPr>
              <w:adjustRightInd w:val="0"/>
              <w:snapToGrid w:val="0"/>
              <w:spacing w:after="0" w:line="240" w:lineRule="auto"/>
              <w:contextualSpacing/>
              <w:rPr>
                <w:rFonts w:hint="default" w:ascii="Times New Roman" w:hAnsi="Times New Roman" w:cs="Times New Roman"/>
                <w:b/>
                <w:bCs/>
                <w:highlight w:val="none"/>
              </w:rPr>
            </w:pPr>
            <w:r>
              <w:rPr>
                <w:rFonts w:hint="default" w:ascii="Times New Roman" w:hAnsi="Times New Roman" w:cs="Times New Roman"/>
                <w:b/>
                <w:bCs/>
                <w:highlight w:val="none"/>
              </w:rPr>
              <w:t>Source of infection</w:t>
            </w:r>
          </w:p>
        </w:tc>
        <w:tc>
          <w:tcPr>
            <w:tcW w:w="1283" w:type="dxa"/>
            <w:tcBorders>
              <w:top w:val="single" w:color="auto" w:sz="4" w:space="0"/>
            </w:tcBorders>
            <w:vAlign w:val="center"/>
          </w:tcPr>
          <w:p>
            <w:pPr>
              <w:adjustRightInd w:val="0"/>
              <w:snapToGrid w:val="0"/>
              <w:spacing w:after="0" w:line="240" w:lineRule="auto"/>
              <w:contextualSpacing/>
              <w:rPr>
                <w:rFonts w:hint="default" w:ascii="Times New Roman" w:hAnsi="Times New Roman" w:cs="Times New Roman"/>
                <w:highlight w:val="none"/>
              </w:rPr>
            </w:pPr>
          </w:p>
        </w:tc>
        <w:tc>
          <w:tcPr>
            <w:tcW w:w="1257" w:type="dxa"/>
            <w:tcBorders>
              <w:top w:val="single" w:color="auto" w:sz="4" w:space="0"/>
            </w:tcBorders>
            <w:vAlign w:val="center"/>
          </w:tcPr>
          <w:p>
            <w:pPr>
              <w:adjustRightInd w:val="0"/>
              <w:snapToGrid w:val="0"/>
              <w:spacing w:after="0" w:line="240" w:lineRule="auto"/>
              <w:contextualSpacing/>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20" w:type="dxa"/>
            <w:vAlign w:val="center"/>
          </w:tcPr>
          <w:p>
            <w:pPr>
              <w:adjustRightInd w:val="0"/>
              <w:snapToGrid w:val="0"/>
              <w:spacing w:after="0" w:line="240" w:lineRule="auto"/>
              <w:ind w:firstLine="210" w:firstLineChars="100"/>
              <w:contextualSpacing/>
              <w:rPr>
                <w:rFonts w:hint="default" w:ascii="Times New Roman" w:hAnsi="Times New Roman" w:cs="Times New Roman"/>
                <w:highlight w:val="none"/>
              </w:rPr>
            </w:pPr>
            <w:r>
              <w:rPr>
                <w:rFonts w:hint="default" w:ascii="Times New Roman" w:hAnsi="Times New Roman" w:cs="Times New Roman"/>
                <w:highlight w:val="none"/>
              </w:rPr>
              <w:t>Monkeypox can be transmitted from infected animals or humans.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11838</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82.64%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contextualSpacing/>
              <w:rPr>
                <w:rFonts w:hint="default" w:ascii="Times New Roman" w:hAnsi="Times New Roman" w:cs="Times New Roman"/>
                <w:b/>
                <w:bCs/>
                <w:highlight w:val="none"/>
              </w:rPr>
            </w:pPr>
            <w:r>
              <w:rPr>
                <w:rFonts w:hint="default" w:ascii="Times New Roman" w:hAnsi="Times New Roman" w:cs="Times New Roman"/>
                <w:b/>
                <w:bCs/>
                <w:highlight w:val="none"/>
              </w:rPr>
              <w:t>Routes of transmission (Multiple choices)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ind w:firstLine="210" w:firstLineChars="100"/>
              <w:contextualSpacing/>
              <w:rPr>
                <w:rFonts w:hint="default" w:ascii="Times New Roman" w:hAnsi="Times New Roman" w:cs="Times New Roman"/>
                <w:highlight w:val="none"/>
              </w:rPr>
            </w:pPr>
            <w:r>
              <w:rPr>
                <w:rFonts w:hint="default" w:ascii="Times New Roman" w:hAnsi="Times New Roman" w:cs="Times New Roman"/>
                <w:highlight w:val="none"/>
              </w:rPr>
              <w:t>Sexual contact (under investigation); through mucous membranes or broken skin</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12458</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86.97%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ind w:firstLine="210" w:firstLineChars="100"/>
              <w:contextualSpacing/>
              <w:rPr>
                <w:rFonts w:hint="default" w:ascii="Times New Roman" w:hAnsi="Times New Roman" w:cs="Times New Roman"/>
                <w:highlight w:val="none"/>
              </w:rPr>
            </w:pPr>
            <w:r>
              <w:rPr>
                <w:rFonts w:hint="default" w:ascii="Times New Roman" w:hAnsi="Times New Roman" w:cs="Times New Roman"/>
                <w:highlight w:val="none"/>
              </w:rPr>
              <w:t>Contact with blood, bodily fluids, or bites from infected animals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11827</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82.56%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ind w:firstLine="210" w:firstLineChars="100"/>
              <w:contextualSpacing/>
              <w:rPr>
                <w:rFonts w:hint="default" w:ascii="Times New Roman" w:hAnsi="Times New Roman" w:cs="Times New Roman"/>
                <w:highlight w:val="none"/>
              </w:rPr>
            </w:pPr>
            <w:r>
              <w:rPr>
                <w:rFonts w:hint="default" w:ascii="Times New Roman" w:hAnsi="Times New Roman" w:cs="Times New Roman"/>
                <w:highlight w:val="none"/>
              </w:rPr>
              <w:t>Close physical contact or contact with contaminated materials (e.g., bedding, surfaces)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9131</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63.74%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contextualSpacing/>
              <w:rPr>
                <w:rFonts w:hint="default" w:ascii="Times New Roman" w:hAnsi="Times New Roman" w:cs="Times New Roman"/>
                <w:highlight w:val="none"/>
              </w:rPr>
            </w:pPr>
            <w:r>
              <w:rPr>
                <w:rFonts w:hint="default" w:ascii="Times New Roman" w:hAnsi="Times New Roman" w:cs="Times New Roman"/>
                <w:highlight w:val="none"/>
              </w:rPr>
              <w:t xml:space="preserve">  Respiratory droplets during prolonged face-to-face contact</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9862</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68.84%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contextualSpacing/>
              <w:rPr>
                <w:rFonts w:hint="default" w:ascii="Times New Roman" w:hAnsi="Times New Roman" w:cs="Times New Roman"/>
                <w:b/>
                <w:bCs/>
                <w:highlight w:val="none"/>
              </w:rPr>
            </w:pPr>
            <w:r>
              <w:rPr>
                <w:rFonts w:hint="default" w:ascii="Times New Roman" w:hAnsi="Times New Roman" w:cs="Times New Roman"/>
                <w:b/>
                <w:bCs/>
                <w:highlight w:val="none"/>
              </w:rPr>
              <w:t>Susceptibility</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ind w:firstLine="210" w:firstLineChars="100"/>
              <w:contextualSpacing/>
              <w:rPr>
                <w:rFonts w:hint="default" w:ascii="Times New Roman" w:hAnsi="Times New Roman" w:cs="Times New Roman"/>
                <w:highlight w:val="none"/>
              </w:rPr>
            </w:pPr>
            <w:r>
              <w:rPr>
                <w:rFonts w:hint="default" w:ascii="Times New Roman" w:hAnsi="Times New Roman" w:cs="Times New Roman"/>
                <w:highlight w:val="none"/>
              </w:rPr>
              <w:t>All individuals are susceptible to monkeypox.</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7447</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51.99%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contextualSpacing/>
              <w:rPr>
                <w:rFonts w:hint="default" w:ascii="Times New Roman" w:hAnsi="Times New Roman" w:eastAsia="宋体" w:cs="Times New Roman"/>
                <w:b/>
                <w:bCs/>
                <w:color w:val="000000"/>
                <w:highlight w:val="none"/>
                <w:shd w:val="clear" w:color="auto" w:fill="FFFFFF"/>
              </w:rPr>
            </w:pPr>
            <w:r>
              <w:rPr>
                <w:rFonts w:hint="default" w:ascii="Times New Roman" w:hAnsi="Times New Roman" w:eastAsia="宋体" w:cs="Times New Roman"/>
                <w:b/>
                <w:bCs/>
                <w:color w:val="000000"/>
                <w:highlight w:val="none"/>
                <w:shd w:val="clear" w:color="auto" w:fill="FFFFFF"/>
              </w:rPr>
              <w:t>Typical symptoms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contextualSpacing/>
              <w:rPr>
                <w:rFonts w:hint="default" w:ascii="Times New Roman" w:hAnsi="Times New Roman" w:cs="Times New Roman"/>
                <w:highlight w:val="none"/>
              </w:rPr>
            </w:pPr>
            <w:r>
              <w:rPr>
                <w:rFonts w:hint="default" w:ascii="Times New Roman" w:hAnsi="Times New Roman" w:eastAsia="宋体" w:cs="Times New Roman"/>
                <w:color w:val="000000"/>
                <w:highlight w:val="none"/>
                <w:shd w:val="clear" w:color="auto" w:fill="FFFFFF"/>
              </w:rPr>
              <w:t xml:space="preserve">  Typical symptoms include fever, headache, and lymphadenopathy.</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10275</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71.73%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720" w:type="dxa"/>
            <w:vAlign w:val="center"/>
          </w:tcPr>
          <w:p>
            <w:pPr>
              <w:adjustRightInd w:val="0"/>
              <w:snapToGrid w:val="0"/>
              <w:spacing w:after="0" w:line="240" w:lineRule="auto"/>
              <w:contextualSpacing/>
              <w:rPr>
                <w:rFonts w:hint="default" w:ascii="Times New Roman" w:hAnsi="Times New Roman" w:eastAsia="宋体" w:cs="Times New Roman"/>
                <w:color w:val="000000"/>
                <w:highlight w:val="none"/>
                <w:shd w:val="clear" w:color="auto" w:fill="FFFFFF"/>
              </w:rPr>
            </w:pPr>
            <w:r>
              <w:rPr>
                <w:rFonts w:hint="default" w:ascii="Times New Roman" w:hAnsi="Times New Roman" w:eastAsia="宋体" w:cs="Times New Roman"/>
                <w:b/>
                <w:bCs/>
                <w:color w:val="000000"/>
                <w:highlight w:val="none"/>
                <w:shd w:val="clear" w:color="auto" w:fill="FFFFFF"/>
              </w:rPr>
              <w:t>Rash/mucosal lesions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720" w:type="dxa"/>
            <w:vAlign w:val="center"/>
          </w:tcPr>
          <w:p>
            <w:pPr>
              <w:adjustRightInd w:val="0"/>
              <w:snapToGrid w:val="0"/>
              <w:spacing w:after="0" w:line="240" w:lineRule="auto"/>
              <w:contextualSpacing/>
              <w:rPr>
                <w:rFonts w:hint="default" w:ascii="Times New Roman" w:hAnsi="Times New Roman" w:eastAsia="宋体" w:cs="Times New Roman"/>
                <w:highlight w:val="none"/>
              </w:rPr>
            </w:pPr>
            <w:r>
              <w:rPr>
                <w:rFonts w:hint="default" w:ascii="Times New Roman" w:hAnsi="Times New Roman" w:eastAsia="宋体" w:cs="Times New Roman"/>
                <w:highlight w:val="none"/>
              </w:rPr>
              <w:t xml:space="preserve">  Rash or mucosal lesions, often painful or pruritic, usually follow early symptoms.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11019</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76.92%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720" w:type="dxa"/>
            <w:vAlign w:val="center"/>
          </w:tcPr>
          <w:p>
            <w:pPr>
              <w:adjustRightInd w:val="0"/>
              <w:snapToGrid w:val="0"/>
              <w:spacing w:after="0" w:line="240" w:lineRule="auto"/>
              <w:contextualSpacing/>
              <w:rPr>
                <w:rFonts w:hint="default" w:ascii="Times New Roman" w:hAnsi="Times New Roman" w:eastAsia="宋体" w:cs="Times New Roman"/>
                <w:b/>
                <w:bCs/>
                <w:highlight w:val="none"/>
              </w:rPr>
            </w:pPr>
            <w:r>
              <w:rPr>
                <w:rFonts w:hint="default" w:ascii="Times New Roman" w:hAnsi="Times New Roman" w:eastAsia="宋体" w:cs="Times New Roman"/>
                <w:b/>
                <w:bCs/>
                <w:highlight w:val="none"/>
              </w:rPr>
              <w:t>Incubation period</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720" w:type="dxa"/>
            <w:vAlign w:val="center"/>
          </w:tcPr>
          <w:p>
            <w:pPr>
              <w:adjustRightInd w:val="0"/>
              <w:snapToGrid w:val="0"/>
              <w:spacing w:after="0" w:line="240" w:lineRule="auto"/>
              <w:contextualSpacing/>
              <w:rPr>
                <w:rFonts w:hint="default" w:ascii="Times New Roman" w:hAnsi="Times New Roman" w:cs="Times New Roman"/>
                <w:b/>
                <w:bCs/>
                <w:highlight w:val="none"/>
              </w:rPr>
            </w:pPr>
            <w:r>
              <w:rPr>
                <w:rFonts w:hint="default" w:ascii="Times New Roman" w:hAnsi="Times New Roman" w:eastAsia="宋体" w:cs="Times New Roman"/>
                <w:highlight w:val="none"/>
              </w:rPr>
              <w:t xml:space="preserve">  The incubation period ranges from 5 to 21 days, most commonly 6 to 13 days.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7254</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50.64%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720" w:type="dxa"/>
            <w:vAlign w:val="center"/>
          </w:tcPr>
          <w:p>
            <w:pPr>
              <w:adjustRightInd w:val="0"/>
              <w:snapToGrid w:val="0"/>
              <w:spacing w:after="0" w:line="240" w:lineRule="auto"/>
              <w:contextualSpacing/>
              <w:rPr>
                <w:rFonts w:hint="default" w:ascii="Times New Roman" w:hAnsi="Times New Roman" w:eastAsia="宋体" w:cs="Times New Roman"/>
                <w:highlight w:val="none"/>
              </w:rPr>
            </w:pPr>
            <w:r>
              <w:rPr>
                <w:rFonts w:hint="default" w:ascii="Times New Roman" w:hAnsi="Times New Roman" w:eastAsia="宋体" w:cs="Times New Roman"/>
                <w:b/>
                <w:bCs/>
                <w:highlight w:val="none"/>
              </w:rPr>
              <w:t>Preventive Measures</w:t>
            </w:r>
            <w:r>
              <w:rPr>
                <w:rFonts w:hint="default" w:ascii="Times New Roman" w:hAnsi="Times New Roman" w:cs="Times New Roman"/>
                <w:b/>
                <w:bCs/>
                <w:highlight w:val="none"/>
              </w:rPr>
              <w:t xml:space="preserve"> (Multiple choices)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720" w:type="dxa"/>
            <w:vAlign w:val="center"/>
          </w:tcPr>
          <w:p>
            <w:pPr>
              <w:adjustRightInd w:val="0"/>
              <w:snapToGrid w:val="0"/>
              <w:spacing w:after="0" w:line="240" w:lineRule="auto"/>
              <w:contextualSpacing/>
              <w:rPr>
                <w:rFonts w:hint="default" w:ascii="Times New Roman" w:hAnsi="Times New Roman" w:eastAsia="宋体" w:cs="Times New Roman"/>
                <w:highlight w:val="none"/>
              </w:rPr>
            </w:pPr>
            <w:r>
              <w:rPr>
                <w:rFonts w:hint="default" w:ascii="Times New Roman" w:hAnsi="Times New Roman" w:eastAsia="宋体" w:cs="Times New Roman"/>
                <w:highlight w:val="none"/>
              </w:rPr>
              <w:t xml:space="preserve">  Maintain a consistent sexual partner and use condoms correctly</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13163</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91.89%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720" w:type="dxa"/>
            <w:vAlign w:val="center"/>
          </w:tcPr>
          <w:p>
            <w:pPr>
              <w:adjustRightInd w:val="0"/>
              <w:snapToGrid w:val="0"/>
              <w:spacing w:after="0" w:line="240" w:lineRule="auto"/>
              <w:ind w:firstLine="210" w:firstLineChars="100"/>
              <w:contextualSpacing/>
              <w:rPr>
                <w:rFonts w:hint="default" w:ascii="Times New Roman" w:hAnsi="Times New Roman" w:eastAsia="宋体" w:cs="Times New Roman"/>
                <w:highlight w:val="none"/>
              </w:rPr>
            </w:pPr>
            <w:r>
              <w:rPr>
                <w:rFonts w:hint="default" w:ascii="Times New Roman" w:hAnsi="Times New Roman" w:eastAsia="宋体" w:cs="Times New Roman"/>
                <w:highlight w:val="none"/>
              </w:rPr>
              <w:t>Perform hand hygiene and disinfect surfaces regularly</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11463</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80.02%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720" w:type="dxa"/>
            <w:vAlign w:val="center"/>
          </w:tcPr>
          <w:p>
            <w:pPr>
              <w:adjustRightInd w:val="0"/>
              <w:snapToGrid w:val="0"/>
              <w:spacing w:after="0" w:line="240" w:lineRule="auto"/>
              <w:contextualSpacing/>
              <w:rPr>
                <w:rFonts w:hint="default" w:ascii="Times New Roman" w:hAnsi="Times New Roman" w:eastAsia="宋体" w:cs="Times New Roman"/>
                <w:highlight w:val="none"/>
              </w:rPr>
            </w:pPr>
            <w:r>
              <w:rPr>
                <w:rFonts w:hint="default" w:ascii="Times New Roman" w:hAnsi="Times New Roman" w:eastAsia="宋体" w:cs="Times New Roman"/>
                <w:highlight w:val="none"/>
              </w:rPr>
              <w:t xml:space="preserve">  Avoid travel to areas with active outbreaks</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11283</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78.76%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720" w:type="dxa"/>
            <w:vAlign w:val="center"/>
          </w:tcPr>
          <w:p>
            <w:pPr>
              <w:adjustRightInd w:val="0"/>
              <w:snapToGrid w:val="0"/>
              <w:spacing w:after="0" w:line="240" w:lineRule="auto"/>
              <w:contextualSpacing/>
              <w:rPr>
                <w:rFonts w:hint="default" w:ascii="Times New Roman" w:hAnsi="Times New Roman" w:eastAsia="宋体" w:cs="Times New Roman"/>
                <w:highlight w:val="none"/>
              </w:rPr>
            </w:pPr>
            <w:r>
              <w:rPr>
                <w:rFonts w:hint="default" w:ascii="Times New Roman" w:hAnsi="Times New Roman" w:eastAsia="宋体" w:cs="Times New Roman"/>
                <w:highlight w:val="none"/>
              </w:rPr>
              <w:t xml:space="preserve">  Practice physical distancing and wear masks appropriately</w:t>
            </w:r>
          </w:p>
        </w:tc>
        <w:tc>
          <w:tcPr>
            <w:tcW w:w="1283"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9997</w:t>
            </w:r>
          </w:p>
        </w:tc>
        <w:tc>
          <w:tcPr>
            <w:tcW w:w="1257" w:type="dxa"/>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69.79%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720" w:type="dxa"/>
            <w:tcBorders>
              <w:bottom w:val="single" w:color="auto" w:sz="4" w:space="0"/>
            </w:tcBorders>
            <w:vAlign w:val="center"/>
          </w:tcPr>
          <w:p>
            <w:pPr>
              <w:adjustRightInd w:val="0"/>
              <w:snapToGrid w:val="0"/>
              <w:spacing w:after="0" w:line="240" w:lineRule="auto"/>
              <w:contextualSpacing/>
              <w:rPr>
                <w:rFonts w:hint="default" w:ascii="Times New Roman" w:hAnsi="Times New Roman" w:eastAsia="宋体" w:cs="Times New Roman"/>
                <w:highlight w:val="none"/>
              </w:rPr>
            </w:pPr>
            <w:r>
              <w:rPr>
                <w:rFonts w:hint="default" w:ascii="Times New Roman" w:hAnsi="Times New Roman" w:eastAsia="宋体" w:cs="Times New Roman"/>
                <w:highlight w:val="none"/>
              </w:rPr>
              <w:t xml:space="preserve">  Receive vaccination when eligible</w:t>
            </w:r>
          </w:p>
        </w:tc>
        <w:tc>
          <w:tcPr>
            <w:tcW w:w="1283" w:type="dxa"/>
            <w:tcBorders>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8941</w:t>
            </w:r>
          </w:p>
        </w:tc>
        <w:tc>
          <w:tcPr>
            <w:tcW w:w="1257" w:type="dxa"/>
            <w:tcBorders>
              <w:bottom w:val="single" w:color="auto" w:sz="4" w:space="0"/>
            </w:tcBorders>
            <w:vAlign w:val="center"/>
          </w:tcPr>
          <w:p>
            <w:pPr>
              <w:adjustRightInd w:val="0"/>
              <w:snapToGrid w:val="0"/>
              <w:spacing w:after="0" w:line="240" w:lineRule="auto"/>
              <w:contextualSpacing/>
              <w:jc w:val="center"/>
              <w:rPr>
                <w:rFonts w:hint="default" w:ascii="Times New Roman" w:hAnsi="Times New Roman" w:cs="Times New Roman"/>
                <w:highlight w:val="none"/>
              </w:rPr>
            </w:pPr>
            <w:r>
              <w:rPr>
                <w:rFonts w:hint="default" w:ascii="Times New Roman" w:hAnsi="Times New Roman" w:cs="Times New Roman"/>
                <w:highlight w:val="none"/>
              </w:rPr>
              <w:t>62.42%</w:t>
            </w:r>
          </w:p>
        </w:tc>
      </w:tr>
    </w:tbl>
    <w:p>
      <w:pPr>
        <w:bidi w:val="0"/>
        <w:rPr>
          <w:rFonts w:hint="default" w:ascii="Times New Roman" w:hAnsi="Times New Roman" w:cs="Times New Roman"/>
          <w:highlight w:val="none"/>
        </w:rPr>
      </w:pPr>
    </w:p>
    <w:p>
      <w:pPr>
        <w:widowControl/>
        <w:jc w:val="left"/>
        <w:rPr>
          <w:rFonts w:hint="default" w:ascii="Times New Roman" w:hAnsi="Times New Roman" w:cs="Times New Roman"/>
          <w:b/>
          <w:bCs/>
          <w:highlight w:val="none"/>
        </w:rPr>
      </w:pPr>
      <w:r>
        <w:rPr>
          <w:rFonts w:hint="default" w:ascii="Times New Roman" w:hAnsi="Times New Roman" w:cs="Times New Roman"/>
          <w:b/>
          <w:bCs/>
          <w:highlight w:val="none"/>
        </w:rPr>
        <w:br w:type="page"/>
      </w:r>
    </w:p>
    <w:p>
      <w:pPr>
        <w:rPr>
          <w:rFonts w:hint="default" w:ascii="Times New Roman" w:hAnsi="Times New Roman" w:cs="Times New Roman"/>
          <w:highlight w:val="none"/>
        </w:rPr>
        <w:sectPr>
          <w:footerReference r:id="rId3" w:type="default"/>
          <w:pgSz w:w="11906" w:h="16838"/>
          <w:pgMar w:top="1440" w:right="1797" w:bottom="1440" w:left="1797" w:header="851" w:footer="992" w:gutter="0"/>
          <w:pgNumType w:fmt="numberInDash"/>
          <w:cols w:space="425" w:num="1"/>
          <w:docGrid w:type="linesAndChars" w:linePitch="312" w:charSpace="0"/>
        </w:sectPr>
      </w:pPr>
    </w:p>
    <w:p>
      <w:pPr>
        <w:spacing w:after="0"/>
        <w:jc w:val="center"/>
        <w:rPr>
          <w:rFonts w:hint="default" w:ascii="Times New Roman" w:hAnsi="Times New Roman" w:eastAsia="宋体" w:cs="Times New Roman"/>
          <w:color w:val="000000"/>
          <w:sz w:val="18"/>
          <w:szCs w:val="18"/>
          <w:highlight w:val="none"/>
        </w:rPr>
      </w:pPr>
      <w:r>
        <w:rPr>
          <w:rFonts w:hint="default" w:ascii="Times New Roman" w:hAnsi="Times New Roman" w:eastAsia="宋体" w:cs="Times New Roman"/>
          <w:color w:val="000000"/>
          <w:sz w:val="18"/>
          <w:szCs w:val="18"/>
          <w:highlight w:val="none"/>
        </w:rPr>
        <w:drawing>
          <wp:inline distT="0" distB="0" distL="0" distR="0">
            <wp:extent cx="5295265" cy="4509770"/>
            <wp:effectExtent l="0" t="0" r="635" b="5080"/>
            <wp:docPr id="5619295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29501"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97149" cy="4511260"/>
                    </a:xfrm>
                    <a:prstGeom prst="rect">
                      <a:avLst/>
                    </a:prstGeom>
                  </pic:spPr>
                </pic:pic>
              </a:graphicData>
            </a:graphic>
          </wp:inline>
        </w:drawing>
      </w:r>
    </w:p>
    <w:p>
      <w:pPr>
        <w:pStyle w:val="2"/>
        <w:keepNext/>
        <w:keepLines/>
        <w:pageBreakBefore w:val="0"/>
        <w:widowControl w:val="0"/>
        <w:kinsoku/>
        <w:wordWrap/>
        <w:overflowPunct/>
        <w:topLinePunct w:val="0"/>
        <w:autoSpaceDE/>
        <w:autoSpaceDN/>
        <w:bidi w:val="0"/>
        <w:adjustRightInd/>
        <w:snapToGrid w:val="0"/>
        <w:spacing w:before="0" w:after="0" w:line="240" w:lineRule="auto"/>
        <w:jc w:val="left"/>
        <w:textAlignment w:val="auto"/>
        <w:rPr>
          <w:rFonts w:hint="default" w:ascii="Times New Roman" w:hAnsi="Times New Roman" w:cs="Times New Roman" w:eastAsiaTheme="minorEastAsia"/>
          <w:b/>
          <w:bCs/>
          <w:kern w:val="44"/>
          <w:sz w:val="28"/>
          <w:szCs w:val="28"/>
          <w:highlight w:val="none"/>
          <w:lang w:val="en-US" w:eastAsia="zh-CN" w:bidi="ar-SA"/>
        </w:rPr>
      </w:pPr>
      <w:bookmarkStart w:id="6" w:name="_Toc30658"/>
      <w:r>
        <w:rPr>
          <w:rFonts w:hint="default" w:ascii="Times New Roman" w:hAnsi="Times New Roman" w:cs="Times New Roman"/>
          <w:sz w:val="28"/>
          <w:szCs w:val="28"/>
          <w:highlight w:val="none"/>
        </w:rPr>
        <w:t>Fig. S1. Influencing factors of subjective–objective risk perception mismatch for monkeypox infection: stratified logistic regression results</w:t>
      </w:r>
      <w:r>
        <w:rPr>
          <w:rFonts w:hint="eastAsia" w:ascii="Times New Roman" w:hAnsi="Times New Roman" w:cs="Times New Roman"/>
          <w:sz w:val="28"/>
          <w:szCs w:val="28"/>
          <w:highlight w:val="none"/>
          <w:lang w:val="en-US" w:eastAsia="zh-CN"/>
        </w:rPr>
        <w:t xml:space="preserve"> </w:t>
      </w:r>
      <w:r>
        <w:rPr>
          <w:rFonts w:hint="default" w:ascii="Times New Roman" w:hAnsi="Times New Roman" w:cs="Times New Roman" w:eastAsiaTheme="minorEastAsia"/>
          <w:b/>
          <w:bCs/>
          <w:kern w:val="44"/>
          <w:sz w:val="28"/>
          <w:szCs w:val="28"/>
          <w:highlight w:val="none"/>
          <w:lang w:val="en-US" w:eastAsia="zh-CN" w:bidi="ar-SA"/>
        </w:rPr>
        <w:t>[P (95% CI)] (superscripts a and b indicate risk subjective underestimation and overestimation, respectively)</w:t>
      </w:r>
      <w:bookmarkEnd w:id="6"/>
    </w:p>
    <w:bookmarkEnd w:id="7"/>
    <w:sectPr>
      <w:pgSz w:w="16838" w:h="11906" w:orient="landscape"/>
      <w:pgMar w:top="1797" w:right="1440" w:bottom="1797"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FA4AB"/>
    <w:multiLevelType w:val="singleLevel"/>
    <w:tmpl w:val="0E9FA4AB"/>
    <w:lvl w:ilvl="0" w:tentative="0">
      <w:start w:val="1"/>
      <w:numFmt w:val="bullet"/>
      <w:lvlText w:val=""/>
      <w:lvlJc w:val="left"/>
      <w:pPr>
        <w:ind w:left="420" w:hanging="420"/>
      </w:pPr>
      <w:rPr>
        <w:rFonts w:hint="default" w:ascii="Wingdings" w:hAnsi="Wingdings"/>
      </w:rPr>
    </w:lvl>
  </w:abstractNum>
  <w:abstractNum w:abstractNumId="1">
    <w:nsid w:val="2EFA927A"/>
    <w:multiLevelType w:val="singleLevel"/>
    <w:tmpl w:val="2EFA927A"/>
    <w:lvl w:ilvl="0" w:tentative="0">
      <w:start w:val="1"/>
      <w:numFmt w:val="bullet"/>
      <w:lvlText w:val=""/>
      <w:lvlJc w:val="left"/>
      <w:pPr>
        <w:tabs>
          <w:tab w:val="left" w:pos="840"/>
        </w:tabs>
        <w:ind w:left="1260" w:hanging="420"/>
      </w:pPr>
      <w:rPr>
        <w:rFonts w:hint="default" w:ascii="Wingdings" w:hAnsi="Wingdings"/>
      </w:rPr>
    </w:lvl>
  </w:abstractNum>
  <w:abstractNum w:abstractNumId="2">
    <w:nsid w:val="5075A025"/>
    <w:multiLevelType w:val="singleLevel"/>
    <w:tmpl w:val="5075A025"/>
    <w:lvl w:ilvl="0" w:tentative="0">
      <w:start w:val="1"/>
      <w:numFmt w:val="bullet"/>
      <w:lvlText w:val=""/>
      <w:lvlJc w:val="left"/>
      <w:pPr>
        <w:tabs>
          <w:tab w:val="left" w:pos="840"/>
        </w:tabs>
        <w:ind w:left="1260" w:hanging="420"/>
      </w:pPr>
      <w:rPr>
        <w:rFonts w:hint="default" w:ascii="Wingdings" w:hAnsi="Wingdings"/>
      </w:rPr>
    </w:lvl>
  </w:abstractNum>
  <w:abstractNum w:abstractNumId="3">
    <w:nsid w:val="5FF01E8F"/>
    <w:multiLevelType w:val="singleLevel"/>
    <w:tmpl w:val="5FF01E8F"/>
    <w:lvl w:ilvl="0" w:tentative="0">
      <w:start w:val="1"/>
      <w:numFmt w:val="decimal"/>
      <w:suff w:val="space"/>
      <w:lvlText w:val="(%1)"/>
      <w:lvlJc w:val="left"/>
    </w:lvl>
  </w:abstractNum>
  <w:abstractNum w:abstractNumId="4">
    <w:nsid w:val="70B48076"/>
    <w:multiLevelType w:val="singleLevel"/>
    <w:tmpl w:val="70B48076"/>
    <w:lvl w:ilvl="0" w:tentative="0">
      <w:start w:val="1"/>
      <w:numFmt w:val="bullet"/>
      <w:lvlText w:val=""/>
      <w:lvlJc w:val="left"/>
      <w:pPr>
        <w:tabs>
          <w:tab w:val="left" w:pos="420"/>
        </w:tabs>
        <w:ind w:left="840" w:hanging="420"/>
      </w:pPr>
      <w:rPr>
        <w:rFonts w:hint="default" w:ascii="Wingdings" w:hAnsi="Wingdings"/>
      </w:rPr>
    </w:lvl>
  </w:abstractNum>
  <w:abstractNum w:abstractNumId="5">
    <w:nsid w:val="710F97AC"/>
    <w:multiLevelType w:val="singleLevel"/>
    <w:tmpl w:val="710F97AC"/>
    <w:lvl w:ilvl="0" w:tentative="0">
      <w:start w:val="1"/>
      <w:numFmt w:val="decimal"/>
      <w:suff w:val="space"/>
      <w:lvlText w:val="(%1)"/>
      <w:lvlJc w:val="left"/>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E84665"/>
    <w:rsid w:val="00031B57"/>
    <w:rsid w:val="00033909"/>
    <w:rsid w:val="0005182E"/>
    <w:rsid w:val="00065D75"/>
    <w:rsid w:val="00085885"/>
    <w:rsid w:val="000B5FE4"/>
    <w:rsid w:val="000D2D97"/>
    <w:rsid w:val="000F555A"/>
    <w:rsid w:val="001461E3"/>
    <w:rsid w:val="00150A26"/>
    <w:rsid w:val="00154938"/>
    <w:rsid w:val="0016162E"/>
    <w:rsid w:val="0016799B"/>
    <w:rsid w:val="0017469D"/>
    <w:rsid w:val="0018171F"/>
    <w:rsid w:val="00192FDF"/>
    <w:rsid w:val="00196B6C"/>
    <w:rsid w:val="002102BF"/>
    <w:rsid w:val="0024222C"/>
    <w:rsid w:val="00243DDF"/>
    <w:rsid w:val="0024718E"/>
    <w:rsid w:val="0024775A"/>
    <w:rsid w:val="0028784A"/>
    <w:rsid w:val="002A0008"/>
    <w:rsid w:val="002A41C2"/>
    <w:rsid w:val="002B0C7E"/>
    <w:rsid w:val="002D163D"/>
    <w:rsid w:val="002F2D48"/>
    <w:rsid w:val="00327CA9"/>
    <w:rsid w:val="0034041F"/>
    <w:rsid w:val="003618E3"/>
    <w:rsid w:val="00363C12"/>
    <w:rsid w:val="003817D2"/>
    <w:rsid w:val="0038731E"/>
    <w:rsid w:val="003B1873"/>
    <w:rsid w:val="003C452B"/>
    <w:rsid w:val="003C7BEE"/>
    <w:rsid w:val="003F5ACF"/>
    <w:rsid w:val="004156EC"/>
    <w:rsid w:val="00422FFC"/>
    <w:rsid w:val="004329F9"/>
    <w:rsid w:val="00455A70"/>
    <w:rsid w:val="00463C3D"/>
    <w:rsid w:val="00465B37"/>
    <w:rsid w:val="00472FF6"/>
    <w:rsid w:val="004740D7"/>
    <w:rsid w:val="0048085B"/>
    <w:rsid w:val="00482452"/>
    <w:rsid w:val="004863D1"/>
    <w:rsid w:val="00490CF6"/>
    <w:rsid w:val="004D6992"/>
    <w:rsid w:val="004F2A73"/>
    <w:rsid w:val="004F30AC"/>
    <w:rsid w:val="00501200"/>
    <w:rsid w:val="00522DFD"/>
    <w:rsid w:val="005336EF"/>
    <w:rsid w:val="00545C31"/>
    <w:rsid w:val="00590998"/>
    <w:rsid w:val="00593382"/>
    <w:rsid w:val="0059447C"/>
    <w:rsid w:val="005A0024"/>
    <w:rsid w:val="005A34A3"/>
    <w:rsid w:val="005C5FBB"/>
    <w:rsid w:val="005D5C3D"/>
    <w:rsid w:val="005E2B0F"/>
    <w:rsid w:val="00614EB3"/>
    <w:rsid w:val="0063193E"/>
    <w:rsid w:val="00632C2A"/>
    <w:rsid w:val="00636E2C"/>
    <w:rsid w:val="006512FB"/>
    <w:rsid w:val="006526E3"/>
    <w:rsid w:val="00657597"/>
    <w:rsid w:val="00666E69"/>
    <w:rsid w:val="006979D8"/>
    <w:rsid w:val="006B3FE0"/>
    <w:rsid w:val="006B4622"/>
    <w:rsid w:val="006D5F86"/>
    <w:rsid w:val="006E1E25"/>
    <w:rsid w:val="006F5750"/>
    <w:rsid w:val="00700319"/>
    <w:rsid w:val="00700C8A"/>
    <w:rsid w:val="007055BA"/>
    <w:rsid w:val="00731EEC"/>
    <w:rsid w:val="00754DEB"/>
    <w:rsid w:val="00776996"/>
    <w:rsid w:val="007A6D12"/>
    <w:rsid w:val="007A7664"/>
    <w:rsid w:val="007D2C62"/>
    <w:rsid w:val="007D4626"/>
    <w:rsid w:val="00831438"/>
    <w:rsid w:val="00837303"/>
    <w:rsid w:val="0083754E"/>
    <w:rsid w:val="00861E1C"/>
    <w:rsid w:val="00872E70"/>
    <w:rsid w:val="00890849"/>
    <w:rsid w:val="008938D5"/>
    <w:rsid w:val="00897B8D"/>
    <w:rsid w:val="008C19EE"/>
    <w:rsid w:val="008E03BA"/>
    <w:rsid w:val="008F39EA"/>
    <w:rsid w:val="00903F61"/>
    <w:rsid w:val="00930E18"/>
    <w:rsid w:val="009467C9"/>
    <w:rsid w:val="00975CDF"/>
    <w:rsid w:val="009765C2"/>
    <w:rsid w:val="0099018E"/>
    <w:rsid w:val="009949E2"/>
    <w:rsid w:val="009A1988"/>
    <w:rsid w:val="009C1E4A"/>
    <w:rsid w:val="009E51A8"/>
    <w:rsid w:val="009F274E"/>
    <w:rsid w:val="00A13AB9"/>
    <w:rsid w:val="00A1729A"/>
    <w:rsid w:val="00A24D26"/>
    <w:rsid w:val="00A25333"/>
    <w:rsid w:val="00A360E7"/>
    <w:rsid w:val="00A41314"/>
    <w:rsid w:val="00A54D3B"/>
    <w:rsid w:val="00A5526D"/>
    <w:rsid w:val="00A56F25"/>
    <w:rsid w:val="00A71712"/>
    <w:rsid w:val="00A73570"/>
    <w:rsid w:val="00A75647"/>
    <w:rsid w:val="00A943F7"/>
    <w:rsid w:val="00AA2E60"/>
    <w:rsid w:val="00AA309B"/>
    <w:rsid w:val="00AA415F"/>
    <w:rsid w:val="00AD0AFE"/>
    <w:rsid w:val="00AE0E3E"/>
    <w:rsid w:val="00B124BA"/>
    <w:rsid w:val="00B12B52"/>
    <w:rsid w:val="00B57422"/>
    <w:rsid w:val="00B57A69"/>
    <w:rsid w:val="00B83FD1"/>
    <w:rsid w:val="00B91D37"/>
    <w:rsid w:val="00BA16CA"/>
    <w:rsid w:val="00BA3270"/>
    <w:rsid w:val="00BB3A67"/>
    <w:rsid w:val="00BC1EA4"/>
    <w:rsid w:val="00BC4E01"/>
    <w:rsid w:val="00BD604B"/>
    <w:rsid w:val="00C269B9"/>
    <w:rsid w:val="00C366F2"/>
    <w:rsid w:val="00C53116"/>
    <w:rsid w:val="00C67A31"/>
    <w:rsid w:val="00C718BB"/>
    <w:rsid w:val="00C80F82"/>
    <w:rsid w:val="00C925B5"/>
    <w:rsid w:val="00C97C94"/>
    <w:rsid w:val="00CA60A7"/>
    <w:rsid w:val="00CD3ECC"/>
    <w:rsid w:val="00CE6A0E"/>
    <w:rsid w:val="00D035FC"/>
    <w:rsid w:val="00D15678"/>
    <w:rsid w:val="00D169E5"/>
    <w:rsid w:val="00D437A1"/>
    <w:rsid w:val="00DD3127"/>
    <w:rsid w:val="00DD774E"/>
    <w:rsid w:val="00DE2EA1"/>
    <w:rsid w:val="00E00212"/>
    <w:rsid w:val="00E03651"/>
    <w:rsid w:val="00E110AD"/>
    <w:rsid w:val="00E1148E"/>
    <w:rsid w:val="00E36773"/>
    <w:rsid w:val="00E450D1"/>
    <w:rsid w:val="00E543D3"/>
    <w:rsid w:val="00E6682D"/>
    <w:rsid w:val="00EA20A0"/>
    <w:rsid w:val="00EB2FAD"/>
    <w:rsid w:val="00EB4BBD"/>
    <w:rsid w:val="00EC11BC"/>
    <w:rsid w:val="00ED27D9"/>
    <w:rsid w:val="00ED617A"/>
    <w:rsid w:val="00EE107F"/>
    <w:rsid w:val="00EE2F96"/>
    <w:rsid w:val="00EE7588"/>
    <w:rsid w:val="00F27BC0"/>
    <w:rsid w:val="00F62956"/>
    <w:rsid w:val="00F833BB"/>
    <w:rsid w:val="00F85A4F"/>
    <w:rsid w:val="00F87269"/>
    <w:rsid w:val="00F9177A"/>
    <w:rsid w:val="00F9306A"/>
    <w:rsid w:val="18E84665"/>
    <w:rsid w:val="206A1334"/>
    <w:rsid w:val="29913081"/>
    <w:rsid w:val="44DC2F00"/>
    <w:rsid w:val="593143C8"/>
    <w:rsid w:val="6331425C"/>
    <w:rsid w:val="6E182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20"/>
    <w:semiHidden/>
    <w:unhideWhenUsed/>
    <w:qFormat/>
    <w:uiPriority w:val="0"/>
    <w:pPr>
      <w:keepNext/>
      <w:keepLines/>
      <w:spacing w:before="260" w:after="260" w:line="416" w:lineRule="auto"/>
      <w:outlineLvl w:val="2"/>
    </w:pPr>
    <w:rPr>
      <w:b/>
      <w:bCs/>
      <w:sz w:val="32"/>
      <w:szCs w:val="32"/>
    </w:rPr>
  </w:style>
  <w:style w:type="paragraph" w:styleId="4">
    <w:name w:val="heading 4"/>
    <w:basedOn w:val="1"/>
    <w:next w:val="1"/>
    <w:link w:val="2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5"/>
    <w:qFormat/>
    <w:uiPriority w:val="0"/>
    <w:pPr>
      <w:tabs>
        <w:tab w:val="center" w:pos="4153"/>
        <w:tab w:val="right" w:pos="8306"/>
      </w:tabs>
      <w:snapToGrid w:val="0"/>
      <w:spacing w:line="240" w:lineRule="auto"/>
      <w:jc w:val="left"/>
    </w:pPr>
    <w:rPr>
      <w:sz w:val="18"/>
      <w:szCs w:val="18"/>
    </w:rPr>
  </w:style>
  <w:style w:type="paragraph" w:styleId="6">
    <w:name w:val="header"/>
    <w:basedOn w:val="1"/>
    <w:link w:val="14"/>
    <w:qFormat/>
    <w:uiPriority w:val="0"/>
    <w:pPr>
      <w:tabs>
        <w:tab w:val="center" w:pos="4153"/>
        <w:tab w:val="right" w:pos="8306"/>
      </w:tabs>
      <w:snapToGrid w:val="0"/>
      <w:spacing w:line="240" w:lineRule="auto"/>
      <w:jc w:val="center"/>
    </w:pPr>
    <w:rPr>
      <w:sz w:val="18"/>
      <w:szCs w:val="18"/>
    </w:rPr>
  </w:style>
  <w:style w:type="paragraph" w:styleId="7">
    <w:name w:val="toc 1"/>
    <w:basedOn w:val="1"/>
    <w:next w:val="1"/>
    <w:uiPriority w:val="0"/>
  </w:style>
  <w:style w:type="paragraph" w:styleId="8">
    <w:name w:val="footnote text"/>
    <w:basedOn w:val="1"/>
    <w:link w:val="16"/>
    <w:qFormat/>
    <w:uiPriority w:val="0"/>
    <w:pPr>
      <w:snapToGrid w:val="0"/>
      <w:jc w:val="left"/>
    </w:pPr>
    <w:rPr>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563C1" w:themeColor="hyperlink"/>
      <w:u w:val="single"/>
      <w14:textFill>
        <w14:solidFill>
          <w14:schemeClr w14:val="hlink"/>
        </w14:solidFill>
      </w14:textFill>
    </w:rPr>
  </w:style>
  <w:style w:type="character" w:styleId="13">
    <w:name w:val="footnote reference"/>
    <w:basedOn w:val="11"/>
    <w:qFormat/>
    <w:uiPriority w:val="0"/>
    <w:rPr>
      <w:vertAlign w:val="superscript"/>
    </w:rPr>
  </w:style>
  <w:style w:type="character" w:customStyle="1" w:styleId="14">
    <w:name w:val="页眉 字符"/>
    <w:basedOn w:val="11"/>
    <w:link w:val="6"/>
    <w:qFormat/>
    <w:uiPriority w:val="0"/>
    <w:rPr>
      <w:kern w:val="2"/>
      <w:sz w:val="18"/>
      <w:szCs w:val="18"/>
    </w:rPr>
  </w:style>
  <w:style w:type="character" w:customStyle="1" w:styleId="15">
    <w:name w:val="页脚 字符"/>
    <w:basedOn w:val="11"/>
    <w:link w:val="5"/>
    <w:uiPriority w:val="0"/>
    <w:rPr>
      <w:kern w:val="2"/>
      <w:sz w:val="18"/>
      <w:szCs w:val="18"/>
    </w:rPr>
  </w:style>
  <w:style w:type="character" w:customStyle="1" w:styleId="16">
    <w:name w:val="脚注文本 字符"/>
    <w:basedOn w:val="11"/>
    <w:link w:val="8"/>
    <w:qFormat/>
    <w:uiPriority w:val="0"/>
    <w:rPr>
      <w:kern w:val="2"/>
      <w:sz w:val="18"/>
      <w:szCs w:val="18"/>
    </w:rPr>
  </w:style>
  <w:style w:type="paragraph" w:styleId="17">
    <w:name w:val="List Paragraph"/>
    <w:basedOn w:val="1"/>
    <w:unhideWhenUsed/>
    <w:qFormat/>
    <w:uiPriority w:val="99"/>
    <w:pPr>
      <w:ind w:firstLine="420" w:firstLineChars="200"/>
    </w:pPr>
  </w:style>
  <w:style w:type="character" w:customStyle="1" w:styleId="18">
    <w:name w:val="未处理的提及1"/>
    <w:basedOn w:val="11"/>
    <w:semiHidden/>
    <w:unhideWhenUsed/>
    <w:qFormat/>
    <w:uiPriority w:val="99"/>
    <w:rPr>
      <w:color w:val="605E5C"/>
      <w:shd w:val="clear" w:color="auto" w:fill="E1DFDD"/>
    </w:rPr>
  </w:style>
  <w:style w:type="character" w:customStyle="1" w:styleId="19">
    <w:name w:val="标题 1 字符"/>
    <w:basedOn w:val="11"/>
    <w:link w:val="2"/>
    <w:qFormat/>
    <w:uiPriority w:val="0"/>
    <w:rPr>
      <w:b/>
      <w:bCs/>
      <w:kern w:val="44"/>
      <w:sz w:val="44"/>
      <w:szCs w:val="44"/>
    </w:rPr>
  </w:style>
  <w:style w:type="character" w:customStyle="1" w:styleId="20">
    <w:name w:val="标题 3 字符"/>
    <w:basedOn w:val="11"/>
    <w:link w:val="3"/>
    <w:semiHidden/>
    <w:qFormat/>
    <w:uiPriority w:val="0"/>
    <w:rPr>
      <w:b/>
      <w:bCs/>
      <w:kern w:val="2"/>
      <w:sz w:val="32"/>
      <w:szCs w:val="32"/>
    </w:rPr>
  </w:style>
  <w:style w:type="character" w:customStyle="1" w:styleId="21">
    <w:name w:val="标题 4 字符"/>
    <w:basedOn w:val="11"/>
    <w:link w:val="4"/>
    <w:semiHidden/>
    <w:qFormat/>
    <w:uiPriority w:val="0"/>
    <w:rPr>
      <w:rFonts w:asciiTheme="majorHAnsi" w:hAnsiTheme="majorHAnsi" w:eastAsiaTheme="majorEastAsia" w:cstheme="majorBidi"/>
      <w:b/>
      <w:bCs/>
      <w:kern w:val="2"/>
      <w:sz w:val="28"/>
      <w:szCs w:val="28"/>
    </w:rPr>
  </w:style>
  <w:style w:type="paragraph" w:customStyle="1" w:styleId="22">
    <w:name w:val="WPSOffice手动目录 1"/>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41E54D-5C35-4341-AD40-5C57AC6ADF2D}">
  <ds:schemaRefs/>
</ds:datastoreItem>
</file>

<file path=docProps/app.xml><?xml version="1.0" encoding="utf-8"?>
<Properties xmlns="http://schemas.openxmlformats.org/officeDocument/2006/extended-properties" xmlns:vt="http://schemas.openxmlformats.org/officeDocument/2006/docPropsVTypes">
  <Template>Normal</Template>
  <Pages>3</Pages>
  <Words>384</Words>
  <Characters>2289</Characters>
  <Lines>190</Lines>
  <Paragraphs>157</Paragraphs>
  <TotalTime>3</TotalTime>
  <ScaleCrop>false</ScaleCrop>
  <LinksUpToDate>false</LinksUpToDate>
  <CharactersWithSpaces>2516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2025-04-14T08:30:00Z</dcterms:created>
  <dc:creator>Y.X.</dc:creator>
  <cp:lastModifiedBy>Administrator</cp:lastModifiedBy>
  <dcterms:modified xsi:type="dcterms:W3CDTF">2026-07-22T04:34:54Z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