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CF704">
      <w:pPr>
        <w:keepNext w:val="0"/>
        <w:keepLines w:val="0"/>
        <w:widowControl/>
        <w:suppressLineNumbers w:val="0"/>
        <w:spacing w:line="360" w:lineRule="auto"/>
        <w:jc w:val="left"/>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Supplementary Table S1. Missing observations and imputation of daily city-level environmental exposure variables during the study period, 2022–2024</w:t>
      </w:r>
    </w:p>
    <w:tbl>
      <w:tblPr>
        <w:tblStyle w:val="2"/>
        <w:tblW w:w="1345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58"/>
        <w:gridCol w:w="2234"/>
        <w:gridCol w:w="3191"/>
        <w:gridCol w:w="3159"/>
        <w:gridCol w:w="2316"/>
      </w:tblGrid>
      <w:tr w14:paraId="3167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trPr>
        <w:tc>
          <w:tcPr>
            <w:tcW w:w="2558" w:type="dxa"/>
            <w:tcBorders>
              <w:top w:val="single" w:color="000000" w:sz="12" w:space="0"/>
              <w:left w:val="nil"/>
              <w:bottom w:val="single" w:color="000000" w:sz="4" w:space="0"/>
              <w:right w:val="nil"/>
              <w:tl2br w:val="nil"/>
            </w:tcBorders>
            <w:shd w:val="clear" w:color="auto" w:fill="FFFFFF"/>
            <w:vAlign w:val="center"/>
          </w:tcPr>
          <w:p w14:paraId="477FC65C">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Environmental variable</w:t>
            </w:r>
          </w:p>
        </w:tc>
        <w:tc>
          <w:tcPr>
            <w:tcW w:w="2234" w:type="dxa"/>
            <w:tcBorders>
              <w:top w:val="single" w:color="000000" w:sz="12" w:space="0"/>
              <w:left w:val="nil"/>
              <w:bottom w:val="single" w:color="000000" w:sz="4" w:space="0"/>
              <w:right w:val="nil"/>
            </w:tcBorders>
            <w:shd w:val="clear" w:color="auto" w:fill="FFFFFF"/>
            <w:vAlign w:val="center"/>
          </w:tcPr>
          <w:p w14:paraId="43011E68">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Total study days</w:t>
            </w:r>
          </w:p>
        </w:tc>
        <w:tc>
          <w:tcPr>
            <w:tcW w:w="3191" w:type="dxa"/>
            <w:tcBorders>
              <w:top w:val="single" w:color="000000" w:sz="12" w:space="0"/>
              <w:left w:val="nil"/>
              <w:bottom w:val="single" w:color="000000" w:sz="4" w:space="0"/>
              <w:right w:val="nil"/>
            </w:tcBorders>
            <w:shd w:val="clear" w:color="auto" w:fill="FFFFFF"/>
            <w:vAlign w:val="center"/>
          </w:tcPr>
          <w:p w14:paraId="5B8CE007">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Missing days before imputation</w:t>
            </w:r>
          </w:p>
        </w:tc>
        <w:tc>
          <w:tcPr>
            <w:tcW w:w="3159" w:type="dxa"/>
            <w:tcBorders>
              <w:top w:val="single" w:color="000000" w:sz="12" w:space="0"/>
              <w:left w:val="nil"/>
              <w:bottom w:val="single" w:color="000000" w:sz="4" w:space="0"/>
              <w:right w:val="nil"/>
            </w:tcBorders>
            <w:shd w:val="clear" w:color="auto" w:fill="FFFFFF"/>
            <w:vAlign w:val="center"/>
          </w:tcPr>
          <w:p w14:paraId="700B0289">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sz w:val="24"/>
                <w:szCs w:val="24"/>
                <w:u w:val="none"/>
              </w:rPr>
              <w:t>Missing proportion (%)</w:t>
            </w:r>
          </w:p>
        </w:tc>
        <w:tc>
          <w:tcPr>
            <w:tcW w:w="2316" w:type="dxa"/>
            <w:tcBorders>
              <w:top w:val="single" w:color="000000" w:sz="12" w:space="0"/>
              <w:left w:val="nil"/>
              <w:bottom w:val="single" w:color="000000" w:sz="4" w:space="0"/>
              <w:right w:val="nil"/>
            </w:tcBorders>
            <w:shd w:val="clear" w:color="auto" w:fill="FFFFFF"/>
            <w:vAlign w:val="center"/>
          </w:tcPr>
          <w:p w14:paraId="2AE0008C">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sz w:val="24"/>
                <w:szCs w:val="24"/>
                <w:u w:val="none"/>
              </w:rPr>
              <w:t>Imputed days, n</w:t>
            </w:r>
          </w:p>
        </w:tc>
      </w:tr>
      <w:tr w14:paraId="4029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2558" w:type="dxa"/>
            <w:tcBorders>
              <w:top w:val="single" w:color="000000" w:sz="4" w:space="0"/>
              <w:left w:val="nil"/>
              <w:bottom w:val="nil"/>
              <w:right w:val="nil"/>
            </w:tcBorders>
            <w:shd w:val="clear" w:color="auto" w:fill="FFFFFF"/>
            <w:vAlign w:val="center"/>
          </w:tcPr>
          <w:p w14:paraId="739E6AC4">
            <w:pPr>
              <w:keepNext w:val="0"/>
              <w:keepLines w:val="0"/>
              <w:widowControl/>
              <w:suppressLineNumbers w:val="0"/>
              <w:jc w:val="both"/>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Wind speed</w:t>
            </w:r>
          </w:p>
        </w:tc>
        <w:tc>
          <w:tcPr>
            <w:tcW w:w="2234" w:type="dxa"/>
            <w:tcBorders>
              <w:top w:val="single" w:color="000000" w:sz="4" w:space="0"/>
              <w:left w:val="nil"/>
              <w:bottom w:val="nil"/>
              <w:right w:val="nil"/>
            </w:tcBorders>
            <w:shd w:val="clear" w:color="auto" w:fill="FFFFFF"/>
            <w:vAlign w:val="center"/>
          </w:tcPr>
          <w:p w14:paraId="26F4547F">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1,096</w:t>
            </w:r>
          </w:p>
        </w:tc>
        <w:tc>
          <w:tcPr>
            <w:tcW w:w="3191" w:type="dxa"/>
            <w:tcBorders>
              <w:top w:val="single" w:color="000000" w:sz="4" w:space="0"/>
              <w:left w:val="nil"/>
              <w:bottom w:val="nil"/>
              <w:right w:val="nil"/>
            </w:tcBorders>
            <w:shd w:val="clear" w:color="auto" w:fill="FFFFFF"/>
            <w:vAlign w:val="center"/>
          </w:tcPr>
          <w:p w14:paraId="628490A9">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4</w:t>
            </w:r>
          </w:p>
        </w:tc>
        <w:tc>
          <w:tcPr>
            <w:tcW w:w="3159" w:type="dxa"/>
            <w:tcBorders>
              <w:top w:val="single" w:color="000000" w:sz="4" w:space="0"/>
              <w:left w:val="nil"/>
              <w:bottom w:val="nil"/>
              <w:right w:val="nil"/>
            </w:tcBorders>
            <w:shd w:val="clear" w:color="auto" w:fill="FFFFFF"/>
            <w:vAlign w:val="center"/>
          </w:tcPr>
          <w:p w14:paraId="25EDCA24">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0.36</w:t>
            </w:r>
          </w:p>
        </w:tc>
        <w:tc>
          <w:tcPr>
            <w:tcW w:w="2316" w:type="dxa"/>
            <w:tcBorders>
              <w:top w:val="single" w:color="000000" w:sz="4" w:space="0"/>
              <w:left w:val="nil"/>
              <w:bottom w:val="nil"/>
              <w:right w:val="nil"/>
            </w:tcBorders>
            <w:shd w:val="clear" w:color="auto" w:fill="FFFFFF"/>
            <w:vAlign w:val="center"/>
          </w:tcPr>
          <w:p w14:paraId="4E52A3B5">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4</w:t>
            </w:r>
          </w:p>
        </w:tc>
      </w:tr>
      <w:tr w14:paraId="5AB79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558" w:type="dxa"/>
            <w:tcBorders>
              <w:top w:val="nil"/>
              <w:left w:val="nil"/>
              <w:bottom w:val="nil"/>
              <w:right w:val="nil"/>
            </w:tcBorders>
            <w:shd w:val="clear" w:color="auto" w:fill="FFFFFF"/>
            <w:vAlign w:val="center"/>
          </w:tcPr>
          <w:p w14:paraId="72E98954">
            <w:pPr>
              <w:keepNext w:val="0"/>
              <w:keepLines w:val="0"/>
              <w:widowControl/>
              <w:suppressLineNumbers w:val="0"/>
              <w:jc w:val="both"/>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PM</w:t>
            </w:r>
            <w:r>
              <w:rPr>
                <w:rFonts w:hint="default" w:ascii="Times New Roman" w:hAnsi="Times New Roman" w:eastAsia="宋体" w:cs="Times New Roman"/>
                <w:b w:val="0"/>
                <w:i w:val="0"/>
                <w:iCs w:val="0"/>
                <w:color w:val="000000"/>
                <w:kern w:val="0"/>
                <w:sz w:val="24"/>
                <w:szCs w:val="24"/>
                <w:u w:val="none"/>
                <w:vertAlign w:val="subscript"/>
                <w:lang w:val="en-US" w:eastAsia="zh-CN" w:bidi="ar"/>
              </w:rPr>
              <w:t>2.5</w:t>
            </w:r>
          </w:p>
        </w:tc>
        <w:tc>
          <w:tcPr>
            <w:tcW w:w="2234" w:type="dxa"/>
            <w:tcBorders>
              <w:top w:val="nil"/>
              <w:left w:val="nil"/>
              <w:bottom w:val="nil"/>
              <w:right w:val="nil"/>
            </w:tcBorders>
            <w:shd w:val="clear" w:color="auto" w:fill="FFFFFF"/>
            <w:vAlign w:val="center"/>
          </w:tcPr>
          <w:p w14:paraId="0E4029A1">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1,096</w:t>
            </w:r>
          </w:p>
        </w:tc>
        <w:tc>
          <w:tcPr>
            <w:tcW w:w="3191" w:type="dxa"/>
            <w:tcBorders>
              <w:top w:val="nil"/>
              <w:left w:val="nil"/>
              <w:bottom w:val="nil"/>
              <w:right w:val="nil"/>
            </w:tcBorders>
            <w:shd w:val="clear" w:color="auto" w:fill="FFFFFF"/>
            <w:vAlign w:val="center"/>
          </w:tcPr>
          <w:p w14:paraId="355502CD">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14</w:t>
            </w:r>
          </w:p>
        </w:tc>
        <w:tc>
          <w:tcPr>
            <w:tcW w:w="3159" w:type="dxa"/>
            <w:tcBorders>
              <w:top w:val="nil"/>
              <w:left w:val="nil"/>
              <w:bottom w:val="nil"/>
              <w:right w:val="nil"/>
            </w:tcBorders>
            <w:shd w:val="clear" w:color="auto" w:fill="FFFFFF"/>
            <w:vAlign w:val="center"/>
          </w:tcPr>
          <w:p w14:paraId="160CDD20">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1.2</w:t>
            </w:r>
            <w:r>
              <w:rPr>
                <w:rFonts w:hint="eastAsia" w:ascii="Times New Roman" w:hAnsi="Times New Roman" w:eastAsia="宋体" w:cs="Times New Roman"/>
                <w:b w:val="0"/>
                <w:i w:val="0"/>
                <w:iCs w:val="0"/>
                <w:color w:val="000000"/>
                <w:kern w:val="0"/>
                <w:sz w:val="24"/>
                <w:szCs w:val="24"/>
                <w:u w:val="none"/>
                <w:lang w:val="en-US" w:eastAsia="zh-CN" w:bidi="ar"/>
              </w:rPr>
              <w:t>8</w:t>
            </w:r>
          </w:p>
        </w:tc>
        <w:tc>
          <w:tcPr>
            <w:tcW w:w="2316" w:type="dxa"/>
            <w:tcBorders>
              <w:top w:val="nil"/>
              <w:left w:val="nil"/>
              <w:bottom w:val="nil"/>
              <w:right w:val="nil"/>
            </w:tcBorders>
            <w:shd w:val="clear" w:color="auto" w:fill="FFFFFF"/>
            <w:vAlign w:val="center"/>
          </w:tcPr>
          <w:p w14:paraId="1F04D790">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14</w:t>
            </w:r>
          </w:p>
        </w:tc>
      </w:tr>
      <w:tr w14:paraId="0B179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558" w:type="dxa"/>
            <w:tcBorders>
              <w:top w:val="nil"/>
              <w:left w:val="nil"/>
              <w:bottom w:val="nil"/>
              <w:right w:val="nil"/>
            </w:tcBorders>
            <w:shd w:val="clear" w:color="auto" w:fill="FFFFFF"/>
            <w:vAlign w:val="center"/>
          </w:tcPr>
          <w:p w14:paraId="7ABC8647">
            <w:pPr>
              <w:keepNext w:val="0"/>
              <w:keepLines w:val="0"/>
              <w:widowControl/>
              <w:suppressLineNumbers w:val="0"/>
              <w:jc w:val="both"/>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PM</w:t>
            </w:r>
            <w:r>
              <w:rPr>
                <w:rFonts w:hint="default" w:ascii="Times New Roman" w:hAnsi="Times New Roman" w:eastAsia="宋体" w:cs="Times New Roman"/>
                <w:b w:val="0"/>
                <w:i w:val="0"/>
                <w:iCs w:val="0"/>
                <w:color w:val="000000"/>
                <w:kern w:val="0"/>
                <w:sz w:val="24"/>
                <w:szCs w:val="24"/>
                <w:u w:val="none"/>
                <w:vertAlign w:val="subscript"/>
                <w:lang w:val="en-US" w:eastAsia="zh-CN" w:bidi="ar"/>
              </w:rPr>
              <w:t>10</w:t>
            </w:r>
          </w:p>
        </w:tc>
        <w:tc>
          <w:tcPr>
            <w:tcW w:w="2234" w:type="dxa"/>
            <w:tcBorders>
              <w:top w:val="nil"/>
              <w:left w:val="nil"/>
              <w:bottom w:val="nil"/>
              <w:right w:val="nil"/>
            </w:tcBorders>
            <w:shd w:val="clear" w:color="auto" w:fill="FFFFFF"/>
            <w:vAlign w:val="center"/>
          </w:tcPr>
          <w:p w14:paraId="19D72916">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1,096</w:t>
            </w:r>
          </w:p>
        </w:tc>
        <w:tc>
          <w:tcPr>
            <w:tcW w:w="3191" w:type="dxa"/>
            <w:tcBorders>
              <w:top w:val="nil"/>
              <w:left w:val="nil"/>
              <w:bottom w:val="nil"/>
              <w:right w:val="nil"/>
            </w:tcBorders>
            <w:shd w:val="clear" w:color="auto" w:fill="FFFFFF"/>
            <w:vAlign w:val="center"/>
          </w:tcPr>
          <w:p w14:paraId="73263370">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5</w:t>
            </w:r>
          </w:p>
        </w:tc>
        <w:tc>
          <w:tcPr>
            <w:tcW w:w="3159" w:type="dxa"/>
            <w:tcBorders>
              <w:top w:val="nil"/>
              <w:left w:val="nil"/>
              <w:bottom w:val="nil"/>
              <w:right w:val="nil"/>
            </w:tcBorders>
            <w:shd w:val="clear" w:color="auto" w:fill="FFFFFF"/>
            <w:vAlign w:val="center"/>
          </w:tcPr>
          <w:p w14:paraId="035EDBFA">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0.4</w:t>
            </w:r>
            <w:r>
              <w:rPr>
                <w:rFonts w:hint="eastAsia" w:ascii="Times New Roman" w:hAnsi="Times New Roman" w:eastAsia="宋体" w:cs="Times New Roman"/>
                <w:b w:val="0"/>
                <w:i w:val="0"/>
                <w:iCs w:val="0"/>
                <w:color w:val="000000"/>
                <w:kern w:val="0"/>
                <w:sz w:val="24"/>
                <w:szCs w:val="24"/>
                <w:u w:val="none"/>
                <w:lang w:val="en-US" w:eastAsia="zh-CN" w:bidi="ar"/>
              </w:rPr>
              <w:t>6</w:t>
            </w:r>
          </w:p>
        </w:tc>
        <w:tc>
          <w:tcPr>
            <w:tcW w:w="2316" w:type="dxa"/>
            <w:tcBorders>
              <w:top w:val="nil"/>
              <w:left w:val="nil"/>
              <w:bottom w:val="nil"/>
              <w:right w:val="nil"/>
            </w:tcBorders>
            <w:shd w:val="clear" w:color="auto" w:fill="FFFFFF"/>
            <w:vAlign w:val="center"/>
          </w:tcPr>
          <w:p w14:paraId="2D7D87B0">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5</w:t>
            </w:r>
          </w:p>
        </w:tc>
      </w:tr>
      <w:tr w14:paraId="74D70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558" w:type="dxa"/>
            <w:tcBorders>
              <w:top w:val="nil"/>
              <w:left w:val="nil"/>
              <w:bottom w:val="nil"/>
              <w:right w:val="nil"/>
            </w:tcBorders>
            <w:shd w:val="clear" w:color="auto" w:fill="FFFFFF"/>
            <w:vAlign w:val="center"/>
          </w:tcPr>
          <w:p w14:paraId="6EA430F5">
            <w:pPr>
              <w:keepNext w:val="0"/>
              <w:keepLines w:val="0"/>
              <w:widowControl/>
              <w:suppressLineNumbers w:val="0"/>
              <w:jc w:val="both"/>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S0</w:t>
            </w:r>
            <w:r>
              <w:rPr>
                <w:rFonts w:hint="default" w:ascii="Times New Roman" w:hAnsi="Times New Roman" w:eastAsia="宋体" w:cs="Times New Roman"/>
                <w:b w:val="0"/>
                <w:i w:val="0"/>
                <w:iCs w:val="0"/>
                <w:color w:val="000000"/>
                <w:kern w:val="0"/>
                <w:sz w:val="24"/>
                <w:szCs w:val="24"/>
                <w:u w:val="none"/>
                <w:vertAlign w:val="subscript"/>
                <w:lang w:val="en-US" w:eastAsia="zh-CN" w:bidi="ar"/>
              </w:rPr>
              <w:t>2</w:t>
            </w:r>
          </w:p>
        </w:tc>
        <w:tc>
          <w:tcPr>
            <w:tcW w:w="2234" w:type="dxa"/>
            <w:tcBorders>
              <w:top w:val="nil"/>
              <w:left w:val="nil"/>
              <w:bottom w:val="nil"/>
              <w:right w:val="nil"/>
            </w:tcBorders>
            <w:shd w:val="clear" w:color="auto" w:fill="FFFFFF"/>
            <w:vAlign w:val="center"/>
          </w:tcPr>
          <w:p w14:paraId="592C51DD">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1,096</w:t>
            </w:r>
          </w:p>
        </w:tc>
        <w:tc>
          <w:tcPr>
            <w:tcW w:w="3191" w:type="dxa"/>
            <w:tcBorders>
              <w:top w:val="nil"/>
              <w:left w:val="nil"/>
              <w:bottom w:val="nil"/>
              <w:right w:val="nil"/>
            </w:tcBorders>
            <w:shd w:val="clear" w:color="auto" w:fill="FFFFFF"/>
            <w:vAlign w:val="center"/>
          </w:tcPr>
          <w:p w14:paraId="274E0226">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21</w:t>
            </w:r>
          </w:p>
        </w:tc>
        <w:tc>
          <w:tcPr>
            <w:tcW w:w="3159" w:type="dxa"/>
            <w:tcBorders>
              <w:top w:val="nil"/>
              <w:left w:val="nil"/>
              <w:bottom w:val="nil"/>
              <w:right w:val="nil"/>
            </w:tcBorders>
            <w:shd w:val="clear" w:color="auto" w:fill="FFFFFF"/>
            <w:vAlign w:val="center"/>
          </w:tcPr>
          <w:p w14:paraId="5A7C6870">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1.9</w:t>
            </w:r>
            <w:r>
              <w:rPr>
                <w:rFonts w:hint="eastAsia" w:ascii="Times New Roman" w:hAnsi="Times New Roman" w:eastAsia="宋体" w:cs="Times New Roman"/>
                <w:b w:val="0"/>
                <w:i w:val="0"/>
                <w:iCs w:val="0"/>
                <w:color w:val="000000"/>
                <w:kern w:val="0"/>
                <w:sz w:val="24"/>
                <w:szCs w:val="24"/>
                <w:u w:val="none"/>
                <w:lang w:val="en-US" w:eastAsia="zh-CN" w:bidi="ar"/>
              </w:rPr>
              <w:t>2</w:t>
            </w:r>
          </w:p>
        </w:tc>
        <w:tc>
          <w:tcPr>
            <w:tcW w:w="2316" w:type="dxa"/>
            <w:tcBorders>
              <w:top w:val="nil"/>
              <w:left w:val="nil"/>
              <w:bottom w:val="nil"/>
              <w:right w:val="nil"/>
            </w:tcBorders>
            <w:shd w:val="clear" w:color="auto" w:fill="FFFFFF"/>
            <w:vAlign w:val="center"/>
          </w:tcPr>
          <w:p w14:paraId="339078FE">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21</w:t>
            </w:r>
          </w:p>
        </w:tc>
      </w:tr>
      <w:tr w14:paraId="24E89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558" w:type="dxa"/>
            <w:tcBorders>
              <w:top w:val="nil"/>
              <w:left w:val="nil"/>
              <w:bottom w:val="nil"/>
              <w:right w:val="nil"/>
            </w:tcBorders>
            <w:shd w:val="clear" w:color="auto" w:fill="FFFFFF"/>
            <w:vAlign w:val="center"/>
          </w:tcPr>
          <w:p w14:paraId="146B7F42">
            <w:pPr>
              <w:keepNext w:val="0"/>
              <w:keepLines w:val="0"/>
              <w:widowControl/>
              <w:suppressLineNumbers w:val="0"/>
              <w:jc w:val="both"/>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CO</w:t>
            </w:r>
          </w:p>
        </w:tc>
        <w:tc>
          <w:tcPr>
            <w:tcW w:w="2234" w:type="dxa"/>
            <w:tcBorders>
              <w:top w:val="nil"/>
              <w:left w:val="nil"/>
              <w:bottom w:val="nil"/>
              <w:right w:val="nil"/>
            </w:tcBorders>
            <w:shd w:val="clear" w:color="auto" w:fill="FFFFFF"/>
            <w:vAlign w:val="center"/>
          </w:tcPr>
          <w:p w14:paraId="6F5140BF">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1,096</w:t>
            </w:r>
          </w:p>
        </w:tc>
        <w:tc>
          <w:tcPr>
            <w:tcW w:w="3191" w:type="dxa"/>
            <w:tcBorders>
              <w:top w:val="nil"/>
              <w:left w:val="nil"/>
              <w:bottom w:val="nil"/>
              <w:right w:val="nil"/>
            </w:tcBorders>
            <w:shd w:val="clear" w:color="auto" w:fill="FFFFFF"/>
            <w:vAlign w:val="center"/>
          </w:tcPr>
          <w:p w14:paraId="056016A0">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3</w:t>
            </w:r>
          </w:p>
        </w:tc>
        <w:tc>
          <w:tcPr>
            <w:tcW w:w="3159" w:type="dxa"/>
            <w:tcBorders>
              <w:top w:val="nil"/>
              <w:left w:val="nil"/>
              <w:bottom w:val="nil"/>
              <w:right w:val="nil"/>
            </w:tcBorders>
            <w:shd w:val="clear" w:color="auto" w:fill="FFFFFF"/>
            <w:vAlign w:val="center"/>
          </w:tcPr>
          <w:p w14:paraId="20395C5E">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0.27</w:t>
            </w:r>
          </w:p>
        </w:tc>
        <w:tc>
          <w:tcPr>
            <w:tcW w:w="2316" w:type="dxa"/>
            <w:tcBorders>
              <w:top w:val="nil"/>
              <w:left w:val="nil"/>
              <w:bottom w:val="nil"/>
              <w:right w:val="nil"/>
            </w:tcBorders>
            <w:shd w:val="clear" w:color="auto" w:fill="FFFFFF"/>
            <w:vAlign w:val="center"/>
          </w:tcPr>
          <w:p w14:paraId="1FDE9BB9">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3</w:t>
            </w:r>
          </w:p>
        </w:tc>
      </w:tr>
      <w:tr w14:paraId="60B89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558" w:type="dxa"/>
            <w:tcBorders>
              <w:top w:val="nil"/>
              <w:left w:val="nil"/>
              <w:bottom w:val="nil"/>
              <w:right w:val="nil"/>
            </w:tcBorders>
            <w:shd w:val="clear" w:color="auto" w:fill="FFFFFF"/>
            <w:vAlign w:val="center"/>
          </w:tcPr>
          <w:p w14:paraId="37C76E5A">
            <w:pPr>
              <w:keepNext w:val="0"/>
              <w:keepLines w:val="0"/>
              <w:widowControl/>
              <w:suppressLineNumbers w:val="0"/>
              <w:jc w:val="both"/>
              <w:textAlignment w:val="center"/>
              <w:rPr>
                <w:rFonts w:hint="default" w:ascii="Times New Roman" w:hAnsi="Times New Roman" w:eastAsia="宋体" w:cs="Times New Roman"/>
                <w:b w:val="0"/>
                <w:i w:val="0"/>
                <w:iCs w:val="0"/>
                <w:color w:val="000000"/>
                <w:kern w:val="0"/>
                <w:sz w:val="24"/>
                <w:szCs w:val="24"/>
                <w:u w:val="none"/>
                <w:lang w:val="en-US" w:eastAsia="zh-CN" w:bidi="ar"/>
              </w:rPr>
            </w:pPr>
            <w:r>
              <w:rPr>
                <w:rFonts w:hint="eastAsia" w:ascii="Times New Roman" w:hAnsi="Times New Roman" w:eastAsia="宋体" w:cs="Times New Roman"/>
                <w:b w:val="0"/>
                <w:i w:val="0"/>
                <w:iCs w:val="0"/>
                <w:color w:val="000000"/>
                <w:kern w:val="0"/>
                <w:sz w:val="24"/>
                <w:szCs w:val="24"/>
                <w:u w:val="none"/>
                <w:lang w:val="en-US" w:eastAsia="zh-CN" w:bidi="ar"/>
              </w:rPr>
              <w:t>NO</w:t>
            </w:r>
            <w:r>
              <w:rPr>
                <w:rFonts w:hint="eastAsia" w:ascii="Times New Roman" w:hAnsi="Times New Roman" w:eastAsia="宋体" w:cs="Times New Roman"/>
                <w:b w:val="0"/>
                <w:i w:val="0"/>
                <w:iCs w:val="0"/>
                <w:color w:val="000000"/>
                <w:kern w:val="0"/>
                <w:sz w:val="24"/>
                <w:szCs w:val="24"/>
                <w:u w:val="none"/>
                <w:vertAlign w:val="subscript"/>
                <w:lang w:val="en-US" w:eastAsia="zh-CN" w:bidi="ar"/>
              </w:rPr>
              <w:t>2</w:t>
            </w:r>
          </w:p>
        </w:tc>
        <w:tc>
          <w:tcPr>
            <w:tcW w:w="2234" w:type="dxa"/>
            <w:tcBorders>
              <w:top w:val="nil"/>
              <w:left w:val="nil"/>
              <w:bottom w:val="nil"/>
              <w:right w:val="nil"/>
            </w:tcBorders>
            <w:shd w:val="clear" w:color="auto" w:fill="FFFFFF"/>
            <w:vAlign w:val="center"/>
          </w:tcPr>
          <w:p w14:paraId="15FA0BB7">
            <w:pPr>
              <w:keepNext w:val="0"/>
              <w:keepLines w:val="0"/>
              <w:widowControl/>
              <w:suppressLineNumbers w:val="0"/>
              <w:jc w:val="right"/>
              <w:textAlignment w:val="center"/>
              <w:rPr>
                <w:rFonts w:hint="default" w:ascii="Times New Roman" w:hAnsi="Times New Roman" w:eastAsia="宋体" w:cs="Times New Roman"/>
                <w:b w:val="0"/>
                <w:i w:val="0"/>
                <w:iCs w:val="0"/>
                <w:color w:val="000000"/>
                <w:kern w:val="0"/>
                <w:sz w:val="24"/>
                <w:szCs w:val="24"/>
                <w:u w:val="none"/>
                <w:lang w:val="en-US" w:eastAsia="zh-CN" w:bidi="ar"/>
              </w:rPr>
            </w:pPr>
            <w:r>
              <w:rPr>
                <w:rFonts w:hint="eastAsia" w:ascii="Times New Roman" w:hAnsi="Times New Roman" w:eastAsia="宋体" w:cs="Times New Roman"/>
                <w:b w:val="0"/>
                <w:i w:val="0"/>
                <w:iCs w:val="0"/>
                <w:color w:val="000000"/>
                <w:kern w:val="0"/>
                <w:sz w:val="24"/>
                <w:szCs w:val="24"/>
                <w:u w:val="none"/>
                <w:lang w:val="en-US" w:eastAsia="zh-CN" w:bidi="ar"/>
              </w:rPr>
              <w:t>1,096</w:t>
            </w:r>
          </w:p>
        </w:tc>
        <w:tc>
          <w:tcPr>
            <w:tcW w:w="3191" w:type="dxa"/>
            <w:tcBorders>
              <w:top w:val="nil"/>
              <w:left w:val="nil"/>
              <w:bottom w:val="nil"/>
              <w:right w:val="nil"/>
            </w:tcBorders>
            <w:shd w:val="clear" w:color="auto" w:fill="FFFFFF"/>
            <w:vAlign w:val="center"/>
          </w:tcPr>
          <w:p w14:paraId="4D85E3A9">
            <w:pPr>
              <w:keepNext w:val="0"/>
              <w:keepLines w:val="0"/>
              <w:widowControl/>
              <w:suppressLineNumbers w:val="0"/>
              <w:jc w:val="right"/>
              <w:textAlignment w:val="center"/>
              <w:rPr>
                <w:rFonts w:hint="default" w:ascii="Times New Roman" w:hAnsi="Times New Roman" w:eastAsia="宋体" w:cs="Times New Roman"/>
                <w:b w:val="0"/>
                <w:i w:val="0"/>
                <w:iCs w:val="0"/>
                <w:color w:val="000000"/>
                <w:kern w:val="0"/>
                <w:sz w:val="24"/>
                <w:szCs w:val="24"/>
                <w:u w:val="none"/>
                <w:lang w:val="en-US" w:eastAsia="zh-CN" w:bidi="ar"/>
              </w:rPr>
            </w:pPr>
            <w:r>
              <w:rPr>
                <w:rFonts w:hint="eastAsia" w:ascii="Times New Roman" w:hAnsi="Times New Roman" w:eastAsia="宋体" w:cs="Times New Roman"/>
                <w:b w:val="0"/>
                <w:i w:val="0"/>
                <w:iCs w:val="0"/>
                <w:color w:val="000000"/>
                <w:kern w:val="0"/>
                <w:sz w:val="24"/>
                <w:szCs w:val="24"/>
                <w:u w:val="none"/>
                <w:lang w:val="en-US" w:eastAsia="zh-CN" w:bidi="ar"/>
              </w:rPr>
              <w:t>2</w:t>
            </w:r>
          </w:p>
        </w:tc>
        <w:tc>
          <w:tcPr>
            <w:tcW w:w="3159" w:type="dxa"/>
            <w:tcBorders>
              <w:top w:val="nil"/>
              <w:left w:val="nil"/>
              <w:bottom w:val="nil"/>
              <w:right w:val="nil"/>
            </w:tcBorders>
            <w:shd w:val="clear" w:color="auto" w:fill="FFFFFF"/>
            <w:vAlign w:val="center"/>
          </w:tcPr>
          <w:p w14:paraId="70187753">
            <w:pPr>
              <w:keepNext w:val="0"/>
              <w:keepLines w:val="0"/>
              <w:widowControl/>
              <w:suppressLineNumbers w:val="0"/>
              <w:jc w:val="right"/>
              <w:textAlignment w:val="center"/>
              <w:rPr>
                <w:rFonts w:hint="default" w:ascii="Times New Roman" w:hAnsi="Times New Roman" w:eastAsia="宋体" w:cs="Times New Roman"/>
                <w:b w:val="0"/>
                <w:i w:val="0"/>
                <w:iCs w:val="0"/>
                <w:color w:val="000000"/>
                <w:kern w:val="0"/>
                <w:sz w:val="24"/>
                <w:szCs w:val="24"/>
                <w:u w:val="none"/>
                <w:lang w:val="en-US" w:eastAsia="zh-CN" w:bidi="ar"/>
              </w:rPr>
            </w:pPr>
            <w:r>
              <w:rPr>
                <w:rFonts w:hint="eastAsia" w:ascii="Times New Roman" w:hAnsi="Times New Roman" w:eastAsia="宋体" w:cs="Times New Roman"/>
                <w:b w:val="0"/>
                <w:i w:val="0"/>
                <w:iCs w:val="0"/>
                <w:color w:val="000000"/>
                <w:kern w:val="0"/>
                <w:sz w:val="24"/>
                <w:szCs w:val="24"/>
                <w:u w:val="none"/>
                <w:lang w:val="en-US" w:eastAsia="zh-CN" w:bidi="ar"/>
              </w:rPr>
              <w:t>0.18</w:t>
            </w:r>
          </w:p>
        </w:tc>
        <w:tc>
          <w:tcPr>
            <w:tcW w:w="2316" w:type="dxa"/>
            <w:tcBorders>
              <w:top w:val="nil"/>
              <w:left w:val="nil"/>
              <w:bottom w:val="nil"/>
              <w:right w:val="nil"/>
            </w:tcBorders>
            <w:shd w:val="clear" w:color="auto" w:fill="FFFFFF"/>
            <w:vAlign w:val="center"/>
          </w:tcPr>
          <w:p w14:paraId="04CCD525">
            <w:pPr>
              <w:keepNext w:val="0"/>
              <w:keepLines w:val="0"/>
              <w:widowControl/>
              <w:suppressLineNumbers w:val="0"/>
              <w:jc w:val="right"/>
              <w:textAlignment w:val="center"/>
              <w:rPr>
                <w:rFonts w:hint="default" w:ascii="Times New Roman" w:hAnsi="Times New Roman" w:eastAsia="宋体" w:cs="Times New Roman"/>
                <w:b w:val="0"/>
                <w:i w:val="0"/>
                <w:iCs w:val="0"/>
                <w:color w:val="000000"/>
                <w:kern w:val="0"/>
                <w:sz w:val="24"/>
                <w:szCs w:val="24"/>
                <w:u w:val="none"/>
                <w:lang w:val="en-US" w:eastAsia="zh-CN" w:bidi="ar"/>
              </w:rPr>
            </w:pPr>
            <w:r>
              <w:rPr>
                <w:rFonts w:hint="eastAsia" w:ascii="Times New Roman" w:hAnsi="Times New Roman" w:eastAsia="宋体" w:cs="Times New Roman"/>
                <w:b w:val="0"/>
                <w:i w:val="0"/>
                <w:iCs w:val="0"/>
                <w:color w:val="000000"/>
                <w:kern w:val="0"/>
                <w:sz w:val="24"/>
                <w:szCs w:val="24"/>
                <w:u w:val="none"/>
                <w:lang w:val="en-US" w:eastAsia="zh-CN" w:bidi="ar"/>
              </w:rPr>
              <w:t>2</w:t>
            </w:r>
          </w:p>
        </w:tc>
      </w:tr>
      <w:tr w14:paraId="7941B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2558" w:type="dxa"/>
            <w:tcBorders>
              <w:top w:val="nil"/>
              <w:left w:val="nil"/>
              <w:bottom w:val="single" w:color="000000" w:sz="12" w:space="0"/>
              <w:right w:val="nil"/>
            </w:tcBorders>
            <w:shd w:val="clear" w:color="auto" w:fill="FFFFFF"/>
            <w:vAlign w:val="center"/>
          </w:tcPr>
          <w:p w14:paraId="03837728">
            <w:pPr>
              <w:keepNext w:val="0"/>
              <w:keepLines w:val="0"/>
              <w:widowControl/>
              <w:suppressLineNumbers w:val="0"/>
              <w:jc w:val="both"/>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O</w:t>
            </w:r>
            <w:r>
              <w:rPr>
                <w:rFonts w:hint="default" w:ascii="Times New Roman" w:hAnsi="Times New Roman" w:eastAsia="宋体" w:cs="Times New Roman"/>
                <w:b w:val="0"/>
                <w:i w:val="0"/>
                <w:iCs w:val="0"/>
                <w:color w:val="000000"/>
                <w:kern w:val="0"/>
                <w:sz w:val="24"/>
                <w:szCs w:val="24"/>
                <w:u w:val="none"/>
                <w:vertAlign w:val="subscript"/>
                <w:lang w:val="en-US" w:eastAsia="zh-CN" w:bidi="ar"/>
              </w:rPr>
              <w:t>3</w:t>
            </w:r>
          </w:p>
        </w:tc>
        <w:tc>
          <w:tcPr>
            <w:tcW w:w="2234" w:type="dxa"/>
            <w:tcBorders>
              <w:top w:val="nil"/>
              <w:left w:val="nil"/>
              <w:bottom w:val="single" w:color="000000" w:sz="12" w:space="0"/>
              <w:right w:val="nil"/>
            </w:tcBorders>
            <w:shd w:val="clear" w:color="auto" w:fill="FFFFFF"/>
            <w:vAlign w:val="center"/>
          </w:tcPr>
          <w:p w14:paraId="55E67E44">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1,096</w:t>
            </w:r>
          </w:p>
        </w:tc>
        <w:tc>
          <w:tcPr>
            <w:tcW w:w="3191" w:type="dxa"/>
            <w:tcBorders>
              <w:top w:val="nil"/>
              <w:left w:val="nil"/>
              <w:bottom w:val="single" w:color="000000" w:sz="12" w:space="0"/>
              <w:right w:val="nil"/>
            </w:tcBorders>
            <w:shd w:val="clear" w:color="auto" w:fill="FFFFFF"/>
            <w:vAlign w:val="center"/>
          </w:tcPr>
          <w:p w14:paraId="1C559450">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3</w:t>
            </w:r>
          </w:p>
        </w:tc>
        <w:tc>
          <w:tcPr>
            <w:tcW w:w="3159" w:type="dxa"/>
            <w:tcBorders>
              <w:top w:val="nil"/>
              <w:left w:val="nil"/>
              <w:bottom w:val="single" w:color="000000" w:sz="12" w:space="0"/>
              <w:right w:val="nil"/>
            </w:tcBorders>
            <w:shd w:val="clear" w:color="auto" w:fill="FFFFFF"/>
            <w:vAlign w:val="center"/>
          </w:tcPr>
          <w:p w14:paraId="5F1A90E2">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0.27</w:t>
            </w:r>
          </w:p>
        </w:tc>
        <w:tc>
          <w:tcPr>
            <w:tcW w:w="2316" w:type="dxa"/>
            <w:tcBorders>
              <w:top w:val="nil"/>
              <w:left w:val="nil"/>
              <w:bottom w:val="single" w:color="000000" w:sz="12" w:space="0"/>
              <w:right w:val="nil"/>
            </w:tcBorders>
            <w:shd w:val="clear" w:color="auto" w:fill="FFFFFF"/>
            <w:vAlign w:val="center"/>
          </w:tcPr>
          <w:p w14:paraId="6C709BBC">
            <w:pPr>
              <w:keepNext w:val="0"/>
              <w:keepLines w:val="0"/>
              <w:widowControl/>
              <w:suppressLineNumbers w:val="0"/>
              <w:jc w:val="righ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color w:val="000000"/>
                <w:kern w:val="0"/>
                <w:sz w:val="24"/>
                <w:szCs w:val="24"/>
                <w:u w:val="none"/>
                <w:lang w:val="en-US" w:eastAsia="zh-CN" w:bidi="ar"/>
              </w:rPr>
              <w:t>3</w:t>
            </w:r>
          </w:p>
        </w:tc>
      </w:tr>
    </w:tbl>
    <w:p w14:paraId="0A8DA6A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Note: The study period comprised 1,096 days. Missingness was assessed in the city-level daily exposure series after spatial averaging of valid station-specific observations. The missing proportion was calculated as the number of missing days before imputation divided by 1,096 and multiplied by 100. Missing city-level observations were imputed using the mean of available observations during the five days before and five days after the corresponding date. Only variables with at least one missing observation are presented; all other measured environmental variables had complete daily records.</w:t>
      </w:r>
      <w:r>
        <w:rPr>
          <w:rFonts w:hint="eastAsia" w:ascii="Times New Roman" w:hAnsi="Times New Roman" w:cs="Times New Roman"/>
          <w:sz w:val="24"/>
          <w:szCs w:val="24"/>
          <w:lang w:val="en-US" w:eastAsia="zh-CN"/>
        </w:rPr>
        <w:t xml:space="preserve"> </w:t>
      </w:r>
      <w:bookmarkStart w:id="0" w:name="_GoBack"/>
      <w:bookmarkEnd w:id="0"/>
      <w:r>
        <w:rPr>
          <w:rFonts w:hint="default" w:ascii="Times New Roman" w:hAnsi="Times New Roman" w:cs="Times New Roman"/>
          <w:sz w:val="24"/>
          <w:szCs w:val="24"/>
        </w:rPr>
        <w:t>Overall, 52 variable-day observations were imputed across 47 unique calendar days.</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3D236C"/>
    <w:rsid w:val="19041E9F"/>
    <w:rsid w:val="2AE337D3"/>
    <w:rsid w:val="2FA834CC"/>
    <w:rsid w:val="323B0398"/>
    <w:rsid w:val="50442790"/>
    <w:rsid w:val="5063740F"/>
    <w:rsid w:val="6C3D2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149</Words>
  <Characters>873</Characters>
  <Lines>0</Lines>
  <Paragraphs>0</Paragraphs>
  <TotalTime>10</TotalTime>
  <ScaleCrop>false</ScaleCrop>
  <LinksUpToDate>false</LinksUpToDate>
  <CharactersWithSpaces>985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2026-07-18T09:42:00Z</dcterms:created>
  <dc:creator>一只小刺猬</dc:creator>
  <cp:lastModifiedBy>一只小刺猬</cp:lastModifiedBy>
  <dcterms:modified xsi:type="dcterms:W3CDTF">2026-07-19T07:46:34Z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BE474FBCF7F1415195A47B7982673C8D_13</vt:lpwstr>
  </property>
  <property fmtid="{D5CDD505-2E9C-101B-9397-08002B2CF9AE}" pid="4" name="KSOTemplateDocerSaveRecord">
    <vt:lpwstr>eyJoZGlkIjoiMzEwNTM5NzYwMDRjMzkwZTVkZjY2ODkwMGIxNGU0OTUiLCJ1c2VySWQiOiIyNjcyODIxMDMifQ==</vt:lpwstr>
  </property>
</Properties>
</file>