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F02D" w14:textId="7EEC17D8" w:rsidR="00692587" w:rsidRPr="00F078D5" w:rsidRDefault="00692587" w:rsidP="007C1267">
      <w:pPr>
        <w:widowControl/>
        <w:wordWrap/>
        <w:autoSpaceDE/>
        <w:autoSpaceDN/>
        <w:spacing w:after="0"/>
        <w:jc w:val="center"/>
        <w:rPr>
          <w:rFonts w:ascii="Times New Roman" w:eastAsia="Times New Roman Uni" w:hAnsi="Times New Roman" w:cs="Times New Roman"/>
          <w:b/>
          <w:color w:val="000000"/>
          <w:szCs w:val="20"/>
        </w:rPr>
      </w:pPr>
      <w:r w:rsidRPr="00F078D5">
        <w:rPr>
          <w:rFonts w:ascii="Times New Roman" w:eastAsia="Times New Roman Uni" w:hAnsi="Times New Roman" w:cs="Times New Roman"/>
          <w:b/>
          <w:color w:val="000000"/>
          <w:szCs w:val="20"/>
        </w:rPr>
        <w:t>Supplementary Material</w:t>
      </w:r>
    </w:p>
    <w:p w14:paraId="65D4486F" w14:textId="77777777" w:rsidR="00D76B84" w:rsidRPr="00F078D5" w:rsidRDefault="00D76B84" w:rsidP="007C1267">
      <w:pPr>
        <w:widowControl/>
        <w:wordWrap/>
        <w:autoSpaceDE/>
        <w:autoSpaceDN/>
        <w:spacing w:after="0"/>
        <w:rPr>
          <w:rFonts w:ascii="Times New Roman" w:eastAsia="Times New Roman Uni" w:hAnsi="Times New Roman" w:cs="Times New Roman"/>
          <w:b/>
          <w:color w:val="000000"/>
          <w:szCs w:val="20"/>
        </w:rPr>
      </w:pPr>
    </w:p>
    <w:p w14:paraId="3D83A8B6" w14:textId="77777777" w:rsidR="00D76B84" w:rsidRPr="00F078D5" w:rsidRDefault="00D76B84" w:rsidP="007C1267">
      <w:pPr>
        <w:widowControl/>
        <w:wordWrap/>
        <w:autoSpaceDE/>
        <w:autoSpaceDN/>
        <w:spacing w:after="0"/>
        <w:rPr>
          <w:rFonts w:ascii="Times New Roman" w:eastAsia="Times New Roman Uni" w:hAnsi="Times New Roman" w:cs="Times New Roman"/>
          <w:b/>
          <w:color w:val="000000"/>
          <w:szCs w:val="20"/>
        </w:rPr>
      </w:pPr>
    </w:p>
    <w:p w14:paraId="340FC963" w14:textId="1522CEF9" w:rsidR="00692587" w:rsidRPr="00F078D5" w:rsidRDefault="00692587" w:rsidP="007C1267">
      <w:pPr>
        <w:widowControl/>
        <w:wordWrap/>
        <w:autoSpaceDE/>
        <w:autoSpaceDN/>
        <w:spacing w:after="0" w:line="480" w:lineRule="auto"/>
        <w:jc w:val="center"/>
        <w:rPr>
          <w:rFonts w:ascii="Times New Roman" w:eastAsia="Times New Roman Uni" w:hAnsi="Times New Roman" w:cs="Times New Roman"/>
          <w:b/>
          <w:bCs/>
          <w:color w:val="000000"/>
          <w:szCs w:val="20"/>
        </w:rPr>
      </w:pPr>
      <w:r w:rsidRPr="00F078D5">
        <w:rPr>
          <w:rFonts w:ascii="Times New Roman" w:eastAsia="Times New Roman Uni" w:hAnsi="Times New Roman" w:cs="Times New Roman"/>
          <w:b/>
          <w:color w:val="000000"/>
          <w:szCs w:val="20"/>
        </w:rPr>
        <w:t>“</w:t>
      </w:r>
      <w:r w:rsidR="00D2759F" w:rsidRPr="00D2759F">
        <w:rPr>
          <w:rFonts w:ascii="Times New Roman" w:eastAsia="Times New Roman Uni" w:hAnsi="Times New Roman" w:cs="Times New Roman"/>
          <w:b/>
          <w:color w:val="000000"/>
          <w:szCs w:val="20"/>
        </w:rPr>
        <w:t xml:space="preserve">Association of Two-Timepoint Clinical Obesity Transitions </w:t>
      </w:r>
      <w:proofErr w:type="gramStart"/>
      <w:r w:rsidR="00D2759F" w:rsidRPr="00D2759F">
        <w:rPr>
          <w:rFonts w:ascii="Times New Roman" w:eastAsia="Times New Roman Uni" w:hAnsi="Times New Roman" w:cs="Times New Roman"/>
          <w:b/>
          <w:color w:val="000000"/>
          <w:szCs w:val="20"/>
        </w:rPr>
        <w:t>With</w:t>
      </w:r>
      <w:proofErr w:type="gramEnd"/>
      <w:r w:rsidR="00D2759F" w:rsidRPr="00D2759F">
        <w:rPr>
          <w:rFonts w:ascii="Times New Roman" w:eastAsia="Times New Roman Uni" w:hAnsi="Times New Roman" w:cs="Times New Roman"/>
          <w:b/>
          <w:color w:val="000000"/>
          <w:szCs w:val="20"/>
        </w:rPr>
        <w:t xml:space="preserve"> Incident Anxiety Disorder: A UK Biobank Cohort Study</w:t>
      </w:r>
      <w:r w:rsidRPr="00F078D5">
        <w:rPr>
          <w:rFonts w:ascii="Times New Roman" w:eastAsia="Times New Roman Uni" w:hAnsi="Times New Roman" w:cs="Times New Roman"/>
          <w:b/>
          <w:color w:val="000000"/>
          <w:szCs w:val="20"/>
        </w:rPr>
        <w:t>”</w:t>
      </w:r>
    </w:p>
    <w:p w14:paraId="5CADA90A" w14:textId="77777777" w:rsidR="00692587" w:rsidRPr="00F078D5" w:rsidRDefault="00692587" w:rsidP="007C1267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</w:pPr>
    </w:p>
    <w:p w14:paraId="0D3AC8D1" w14:textId="77777777" w:rsidR="00692587" w:rsidRPr="00F078D5" w:rsidRDefault="00692587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</w:pPr>
    </w:p>
    <w:p w14:paraId="06409769" w14:textId="77777777" w:rsidR="00692587" w:rsidRPr="00F078D5" w:rsidRDefault="00692587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Cs/>
          <w:color w:val="000000"/>
          <w:szCs w:val="20"/>
        </w:rPr>
      </w:pPr>
    </w:p>
    <w:p w14:paraId="3C584204" w14:textId="32936741" w:rsidR="00692587" w:rsidRPr="00191EC5" w:rsidRDefault="008053B8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</w:pPr>
      <w:r w:rsidRPr="00191EC5">
        <w:rPr>
          <w:rFonts w:ascii="Times New Roman" w:eastAsia="Times New Roman Uni" w:hAnsi="Times New Roman" w:cs="Times New Roman"/>
          <w:b/>
          <w:color w:val="000000"/>
          <w:szCs w:val="20"/>
        </w:rPr>
        <w:t>Table S1.</w:t>
      </w:r>
      <w:r w:rsidR="00CD57E2" w:rsidRPr="00191EC5">
        <w:rPr>
          <w:rFonts w:ascii="Times New Roman" w:eastAsia="Times New Roman Uni" w:hAnsi="Times New Roman" w:cs="Times New Roman"/>
          <w:b/>
          <w:color w:val="000000"/>
          <w:szCs w:val="20"/>
        </w:rPr>
        <w:t xml:space="preserve"> List of organ dysfunctions due to obesity or limitations of daily activities by ICD-10 codes</w:t>
      </w:r>
    </w:p>
    <w:p w14:paraId="20E97995" w14:textId="5A95BF3B" w:rsidR="00692587" w:rsidRPr="00191EC5" w:rsidRDefault="000115EF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</w:pPr>
      <w:r w:rsidRPr="00191EC5">
        <w:rPr>
          <w:rFonts w:ascii="Times New Roman" w:eastAsia="Times New Roman Uni" w:hAnsi="Times New Roman" w:cs="Times New Roman"/>
          <w:b/>
          <w:color w:val="000000"/>
          <w:szCs w:val="20"/>
        </w:rPr>
        <w:t>Table S2. Incidence rates and hazard ratios for incident anxiety disorder according to transitions in clinical obesity status</w:t>
      </w:r>
    </w:p>
    <w:p w14:paraId="09823F42" w14:textId="64F4DCAE" w:rsidR="00191EC5" w:rsidRDefault="00191EC5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</w:pPr>
      <w:r w:rsidRPr="00191EC5">
        <w:rPr>
          <w:rFonts w:ascii="Times New Roman" w:eastAsia="Times New Roman Uni" w:hAnsi="Times New Roman" w:cs="Times New Roman"/>
          <w:b/>
          <w:color w:val="000000"/>
          <w:szCs w:val="20"/>
        </w:rPr>
        <w:t>Table S3. Agreement between measured/medication-defined cardiometabolic conditions and hospital ICD-10 diagnoses</w:t>
      </w:r>
    </w:p>
    <w:p w14:paraId="2869AEF6" w14:textId="201703B4" w:rsidR="007D7A00" w:rsidRPr="00191EC5" w:rsidRDefault="007D7A00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</w:pPr>
      <w:r w:rsidRPr="007D7A00">
        <w:rPr>
          <w:rFonts w:ascii="Times New Roman" w:eastAsia="Times New Roman Uni" w:hAnsi="Times New Roman" w:cs="Times New Roman"/>
          <w:b/>
          <w:color w:val="000000"/>
          <w:szCs w:val="20"/>
        </w:rPr>
        <w:t>Table S4. Inverse-probability-weighted associations between two-timepoint clinical-obesity transitions and incident anxiety disorder</w:t>
      </w:r>
    </w:p>
    <w:p w14:paraId="19315AF2" w14:textId="48210735" w:rsidR="00191EC5" w:rsidRPr="00191EC5" w:rsidRDefault="00191EC5" w:rsidP="00191EC5">
      <w:pPr>
        <w:wordWrap/>
        <w:spacing w:after="0" w:line="480" w:lineRule="auto"/>
        <w:rPr>
          <w:rFonts w:ascii="Times New Roman" w:hAnsi="Times New Roman" w:cs="Times New Roman"/>
          <w:b/>
          <w:szCs w:val="20"/>
        </w:rPr>
      </w:pPr>
      <w:r w:rsidRPr="00191EC5">
        <w:rPr>
          <w:rFonts w:ascii="Times New Roman" w:hAnsi="Times New Roman" w:cs="Times New Roman"/>
          <w:b/>
          <w:szCs w:val="20"/>
        </w:rPr>
        <w:t>Table S</w:t>
      </w:r>
      <w:r w:rsidR="007D7A00">
        <w:rPr>
          <w:rFonts w:ascii="Times New Roman" w:hAnsi="Times New Roman" w:cs="Times New Roman" w:hint="eastAsia"/>
          <w:b/>
          <w:szCs w:val="20"/>
        </w:rPr>
        <w:t>5</w:t>
      </w:r>
      <w:r w:rsidRPr="00191EC5">
        <w:rPr>
          <w:rFonts w:ascii="Times New Roman" w:hAnsi="Times New Roman" w:cs="Times New Roman"/>
          <w:b/>
          <w:szCs w:val="20"/>
        </w:rPr>
        <w:t>. Secondary overall-transition analyses and competing-risk sensitivity analyses</w:t>
      </w:r>
    </w:p>
    <w:p w14:paraId="1B0096FC" w14:textId="47BC6727" w:rsidR="00191EC5" w:rsidRPr="00191EC5" w:rsidRDefault="00191EC5" w:rsidP="00191EC5">
      <w:pPr>
        <w:wordWrap/>
        <w:spacing w:after="0" w:line="480" w:lineRule="auto"/>
        <w:rPr>
          <w:rFonts w:ascii="Times New Roman" w:hAnsi="Times New Roman" w:cs="Times New Roman"/>
          <w:b/>
          <w:szCs w:val="20"/>
        </w:rPr>
      </w:pPr>
      <w:r w:rsidRPr="00191EC5">
        <w:rPr>
          <w:rFonts w:ascii="Times New Roman" w:hAnsi="Times New Roman" w:cs="Times New Roman"/>
          <w:b/>
          <w:szCs w:val="20"/>
        </w:rPr>
        <w:t>Table S</w:t>
      </w:r>
      <w:r w:rsidR="007D7A00">
        <w:rPr>
          <w:rFonts w:ascii="Times New Roman" w:hAnsi="Times New Roman" w:cs="Times New Roman" w:hint="eastAsia"/>
          <w:b/>
          <w:szCs w:val="20"/>
        </w:rPr>
        <w:t>6</w:t>
      </w:r>
      <w:r w:rsidRPr="00191EC5">
        <w:rPr>
          <w:rFonts w:ascii="Times New Roman" w:hAnsi="Times New Roman" w:cs="Times New Roman"/>
          <w:b/>
          <w:szCs w:val="20"/>
        </w:rPr>
        <w:t>. Comparison of alternative exposure models in the same complete-case sample</w:t>
      </w:r>
    </w:p>
    <w:p w14:paraId="7E90DBD4" w14:textId="7D6C2E2D" w:rsidR="00191EC5" w:rsidRPr="00191EC5" w:rsidRDefault="00191EC5" w:rsidP="00191EC5">
      <w:pPr>
        <w:wordWrap/>
        <w:spacing w:after="0" w:line="480" w:lineRule="auto"/>
        <w:rPr>
          <w:rFonts w:ascii="Times New Roman" w:hAnsi="Times New Roman" w:cs="Times New Roman"/>
          <w:b/>
          <w:szCs w:val="20"/>
        </w:rPr>
      </w:pPr>
      <w:r w:rsidRPr="00191EC5">
        <w:rPr>
          <w:rFonts w:ascii="Times New Roman" w:hAnsi="Times New Roman" w:cs="Times New Roman"/>
          <w:b/>
          <w:szCs w:val="20"/>
        </w:rPr>
        <w:t>Table S</w:t>
      </w:r>
      <w:r w:rsidR="007D7A00">
        <w:rPr>
          <w:rFonts w:ascii="Times New Roman" w:hAnsi="Times New Roman" w:cs="Times New Roman" w:hint="eastAsia"/>
          <w:b/>
          <w:szCs w:val="20"/>
        </w:rPr>
        <w:t>7</w:t>
      </w:r>
      <w:r w:rsidRPr="00191EC5">
        <w:rPr>
          <w:rFonts w:ascii="Times New Roman" w:hAnsi="Times New Roman" w:cs="Times New Roman"/>
          <w:b/>
          <w:szCs w:val="20"/>
        </w:rPr>
        <w:t>. Proportional-hazards assessment based on standardized score processes</w:t>
      </w:r>
    </w:p>
    <w:p w14:paraId="2323383E" w14:textId="77777777" w:rsidR="00191EC5" w:rsidRPr="00191EC5" w:rsidRDefault="00191EC5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</w:pPr>
    </w:p>
    <w:p w14:paraId="37EA12B6" w14:textId="77777777" w:rsidR="00692587" w:rsidRPr="00F078D5" w:rsidRDefault="00692587" w:rsidP="00191EC5">
      <w:pPr>
        <w:widowControl/>
        <w:wordWrap/>
        <w:autoSpaceDE/>
        <w:autoSpaceDN/>
        <w:spacing w:after="0" w:line="480" w:lineRule="auto"/>
        <w:rPr>
          <w:rFonts w:ascii="Times New Roman" w:eastAsia="Times New Roman Uni" w:hAnsi="Times New Roman" w:cs="Times New Roman"/>
          <w:b/>
          <w:color w:val="000000"/>
          <w:szCs w:val="20"/>
        </w:rPr>
        <w:sectPr w:rsidR="00692587" w:rsidRPr="00F078D5" w:rsidSect="00692587">
          <w:pgSz w:w="16838" w:h="11906" w:orient="landscape"/>
          <w:pgMar w:top="720" w:right="720" w:bottom="720" w:left="720" w:header="851" w:footer="992" w:gutter="0"/>
          <w:cols w:space="425"/>
          <w:docGrid w:linePitch="360"/>
        </w:sectPr>
      </w:pPr>
      <w:r w:rsidRPr="00F078D5">
        <w:rPr>
          <w:rFonts w:ascii="Times New Roman" w:eastAsia="Times New Roman Uni" w:hAnsi="Times New Roman" w:cs="Times New Roman"/>
          <w:b/>
          <w:color w:val="000000"/>
          <w:szCs w:val="20"/>
        </w:rPr>
        <w:br w:type="page"/>
      </w:r>
    </w:p>
    <w:p w14:paraId="1911BC20" w14:textId="77777777" w:rsidR="00EC1F12" w:rsidRPr="00C04EF4" w:rsidRDefault="00EC1F12" w:rsidP="007C1267">
      <w:pPr>
        <w:wordWrap/>
        <w:spacing w:after="0"/>
        <w:rPr>
          <w:rFonts w:ascii="Times New Roman" w:hAnsi="Times New Roman" w:cs="Times New Roman"/>
          <w:b/>
          <w:bCs/>
          <w:szCs w:val="20"/>
        </w:rPr>
      </w:pPr>
      <w:r w:rsidRPr="00C04EF4">
        <w:rPr>
          <w:rFonts w:ascii="Times New Roman" w:hAnsi="Times New Roman" w:cs="Times New Roman"/>
          <w:b/>
          <w:bCs/>
          <w:szCs w:val="20"/>
        </w:rPr>
        <w:lastRenderedPageBreak/>
        <w:t>Table S1. Hospital ICD-10 code groups used as epidemiologic proxies for organ dysfunction or limitations in daily activities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6048"/>
        <w:gridCol w:w="3528"/>
      </w:tblGrid>
      <w:tr w:rsidR="00EC1F12" w:rsidRPr="00F078D5" w14:paraId="0AD411B6" w14:textId="77777777" w:rsidTr="00F84D58">
        <w:trPr>
          <w:tblHeader/>
          <w:jc w:val="center"/>
        </w:trPr>
        <w:tc>
          <w:tcPr>
            <w:tcW w:w="2088" w:type="dxa"/>
            <w:shd w:val="clear" w:color="auto" w:fill="D9EAF7"/>
            <w:vAlign w:val="center"/>
          </w:tcPr>
          <w:p w14:paraId="586AD07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System/domain</w:t>
            </w:r>
          </w:p>
        </w:tc>
        <w:tc>
          <w:tcPr>
            <w:tcW w:w="6048" w:type="dxa"/>
            <w:shd w:val="clear" w:color="auto" w:fill="D9EAF7"/>
            <w:vAlign w:val="center"/>
          </w:tcPr>
          <w:p w14:paraId="14CD6CC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Epidemiologic proxy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27D3FE6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WHO/UK ICD-10 code or prefix</w:t>
            </w:r>
          </w:p>
        </w:tc>
      </w:tr>
      <w:tr w:rsidR="00EC1F12" w:rsidRPr="00F078D5" w14:paraId="62C87F00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8277F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Central nervous system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FE55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Intracranial pressure, visual, headache, or migraine-related neurologic dysfunction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E08E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G93.2; H54; R51; G43; G44</w:t>
            </w:r>
          </w:p>
        </w:tc>
      </w:tr>
      <w:tr w:rsidR="00EC1F12" w:rsidRPr="00F078D5" w14:paraId="39B05AF4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D1138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Upper airway/sleep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A729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 xml:space="preserve">Obstructive sleep </w:t>
            </w:r>
            <w:proofErr w:type="spellStart"/>
            <w:r w:rsidRPr="00F078D5">
              <w:rPr>
                <w:rFonts w:ascii="Times New Roman" w:hAnsi="Times New Roman" w:cs="Times New Roman"/>
                <w:szCs w:val="20"/>
              </w:rPr>
              <w:t>apnoea</w:t>
            </w:r>
            <w:proofErr w:type="spellEnd"/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B4EF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G47.3</w:t>
            </w:r>
          </w:p>
        </w:tc>
      </w:tr>
      <w:tr w:rsidR="00EC1F12" w:rsidRPr="00F078D5" w14:paraId="169EFF34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E0F98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Respiratory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9029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Chronic respiratory dysfunction; included only for never smokers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5934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J44</w:t>
            </w:r>
          </w:p>
        </w:tc>
      </w:tr>
      <w:tr w:rsidR="00EC1F12" w:rsidRPr="00F078D5" w14:paraId="5A87EF1D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13885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Cardiovascular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2285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Heart failure, atrial fibrillation/flutter, pulmonary vascular disease, pulmonary embolism, venous thrombosis, or hypertension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3322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I50; I48; I27; I26; I82; I10</w:t>
            </w:r>
          </w:p>
        </w:tc>
      </w:tr>
      <w:tr w:rsidR="00EC1F12" w:rsidRPr="00F078D5" w14:paraId="7E3A416C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D096C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Metabolic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F3E9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F078D5">
              <w:rPr>
                <w:rFonts w:ascii="Times New Roman" w:hAnsi="Times New Roman" w:cs="Times New Roman"/>
                <w:szCs w:val="20"/>
              </w:rPr>
              <w:t>Dysglycaemia</w:t>
            </w:r>
            <w:proofErr w:type="spellEnd"/>
            <w:r w:rsidRPr="00F078D5">
              <w:rPr>
                <w:rFonts w:ascii="Times New Roman" w:hAnsi="Times New Roman" w:cs="Times New Roman"/>
                <w:szCs w:val="20"/>
              </w:rPr>
              <w:t xml:space="preserve">, type 2 diabetes, or </w:t>
            </w:r>
            <w:proofErr w:type="spellStart"/>
            <w:r w:rsidRPr="00F078D5">
              <w:rPr>
                <w:rFonts w:ascii="Times New Roman" w:hAnsi="Times New Roman" w:cs="Times New Roman"/>
                <w:szCs w:val="20"/>
              </w:rPr>
              <w:t>dyslipidaemia</w:t>
            </w:r>
            <w:proofErr w:type="spellEnd"/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FFB5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R73; E11; E78</w:t>
            </w:r>
          </w:p>
        </w:tc>
      </w:tr>
      <w:tr w:rsidR="00EC1F12" w:rsidRPr="00F078D5" w14:paraId="7337C26C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CC027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Liver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44BA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Fibrosis/cirrhosis or fatty liver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6CA9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K74; K76.0</w:t>
            </w:r>
          </w:p>
        </w:tc>
      </w:tr>
      <w:tr w:rsidR="00EC1F12" w:rsidRPr="00F078D5" w14:paraId="447D7B5C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A9DD3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Kidney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5736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Chronic kidney disease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928C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N18</w:t>
            </w:r>
          </w:p>
        </w:tc>
      </w:tr>
      <w:tr w:rsidR="00EC1F12" w:rsidRPr="00F078D5" w14:paraId="3E3BF083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24CF2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Urinary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E8F3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Stress or other specified urinary incontinence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83C3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N39.3; N39.4</w:t>
            </w:r>
          </w:p>
        </w:tc>
      </w:tr>
      <w:tr w:rsidR="00EC1F12" w:rsidRPr="00F078D5" w14:paraId="0C5AA484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6B133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Female reproductive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8C2A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Polycystic ovarian syndrome or ovarian/menstrual dysfunction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135D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E28.2; N91; E28</w:t>
            </w:r>
          </w:p>
        </w:tc>
      </w:tr>
      <w:tr w:rsidR="00EC1F12" w:rsidRPr="00F078D5" w14:paraId="35DBE13F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60CA9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Male reproductive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0656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Testicular dysfunction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F924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E29</w:t>
            </w:r>
          </w:p>
        </w:tc>
      </w:tr>
      <w:tr w:rsidR="00EC1F12" w:rsidRPr="00F078D5" w14:paraId="58CE6546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D08D9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Musculoskeletal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95A4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Hip/knee osteoarthritis, joint pain, or joint stiffness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A244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M16; M17; M25.5; M25.65; M25.66</w:t>
            </w:r>
          </w:p>
        </w:tc>
      </w:tr>
      <w:tr w:rsidR="00EC1F12" w:rsidRPr="00F078D5" w14:paraId="1EDF62FA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01217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Lymphatic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29FC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Lymphoedema or other lymphatic disorder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92BB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I89.0</w:t>
            </w:r>
          </w:p>
        </w:tc>
      </w:tr>
      <w:tr w:rsidR="00EC1F12" w:rsidRPr="00F078D5" w14:paraId="717A1A30" w14:textId="77777777" w:rsidTr="00F84D58">
        <w:trPr>
          <w:jc w:val="center"/>
        </w:trPr>
        <w:tc>
          <w:tcPr>
            <w:tcW w:w="2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4D394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Functional limitation</w:t>
            </w:r>
          </w:p>
        </w:tc>
        <w:tc>
          <w:tcPr>
            <w:tcW w:w="604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5CEE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Need for care, reduced mobility, or activity limitation</w:t>
            </w:r>
          </w:p>
        </w:tc>
        <w:tc>
          <w:tcPr>
            <w:tcW w:w="35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F2A6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Z74; Z73.6</w:t>
            </w:r>
          </w:p>
        </w:tc>
      </w:tr>
    </w:tbl>
    <w:p w14:paraId="040040F9" w14:textId="77777777" w:rsidR="005B2319" w:rsidRDefault="005B2319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szCs w:val="20"/>
        </w:rPr>
      </w:pPr>
      <w:r w:rsidRPr="005B2319">
        <w:rPr>
          <w:rFonts w:ascii="Times New Roman" w:hAnsi="Times New Roman" w:cs="Times New Roman"/>
          <w:szCs w:val="20"/>
        </w:rPr>
        <w:t xml:space="preserve">Codes represent WHO/UK ICD-10 codes or prefixes and include subordinate codes where applicable. J44 was included only among </w:t>
      </w:r>
      <w:proofErr w:type="gramStart"/>
      <w:r w:rsidRPr="005B2319">
        <w:rPr>
          <w:rFonts w:ascii="Times New Roman" w:hAnsi="Times New Roman" w:cs="Times New Roman"/>
          <w:szCs w:val="20"/>
        </w:rPr>
        <w:t>never smokers</w:t>
      </w:r>
      <w:proofErr w:type="gramEnd"/>
      <w:r w:rsidRPr="005B2319">
        <w:rPr>
          <w:rFonts w:ascii="Times New Roman" w:hAnsi="Times New Roman" w:cs="Times New Roman"/>
          <w:szCs w:val="20"/>
        </w:rPr>
        <w:t>. These code groups were used as epidemiologic proxies and do not establish that the recorded dysfunction was caused by obesity.</w:t>
      </w:r>
    </w:p>
    <w:p w14:paraId="692B8508" w14:textId="476EE2D1" w:rsidR="00A42841" w:rsidRPr="00F078D5" w:rsidRDefault="00F078D5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Abbreviation: </w:t>
      </w:r>
      <w:r w:rsidRPr="00F078D5">
        <w:rPr>
          <w:rFonts w:ascii="Times New Roman" w:hAnsi="Times New Roman" w:cs="Times New Roman"/>
          <w:szCs w:val="20"/>
        </w:rPr>
        <w:t>ICD-10, International Classification of Diseases, 10th Revision; WHO, World Health Organization.</w:t>
      </w:r>
    </w:p>
    <w:p w14:paraId="13A4CE23" w14:textId="77777777" w:rsidR="00EC1F12" w:rsidRPr="00F078D5" w:rsidRDefault="00EC1F12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szCs w:val="20"/>
        </w:rPr>
      </w:pPr>
      <w:r w:rsidRPr="00F078D5">
        <w:rPr>
          <w:rFonts w:ascii="Times New Roman" w:hAnsi="Times New Roman" w:cs="Times New Roman"/>
          <w:szCs w:val="20"/>
        </w:rPr>
        <w:br w:type="page"/>
      </w:r>
    </w:p>
    <w:p w14:paraId="67CB3176" w14:textId="6B9D7BD7" w:rsidR="00EC1F12" w:rsidRPr="00C04EF4" w:rsidRDefault="00EC1F12" w:rsidP="007C1267">
      <w:pPr>
        <w:wordWrap/>
        <w:spacing w:after="0"/>
        <w:rPr>
          <w:rFonts w:ascii="Times New Roman" w:hAnsi="Times New Roman" w:cs="Times New Roman"/>
          <w:b/>
          <w:bCs/>
          <w:szCs w:val="20"/>
        </w:rPr>
      </w:pPr>
      <w:r w:rsidRPr="00C04EF4">
        <w:rPr>
          <w:rFonts w:ascii="Times New Roman" w:hAnsi="Times New Roman" w:cs="Times New Roman"/>
          <w:b/>
          <w:bCs/>
          <w:szCs w:val="20"/>
        </w:rPr>
        <w:lastRenderedPageBreak/>
        <w:t>Table S2. Baseline comparison of participants with and without a usable repeat assessment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6"/>
        <w:gridCol w:w="3024"/>
        <w:gridCol w:w="3024"/>
      </w:tblGrid>
      <w:tr w:rsidR="00EC1F12" w:rsidRPr="00F078D5" w14:paraId="0D778F70" w14:textId="77777777" w:rsidTr="00F84D58">
        <w:trPr>
          <w:tblHeader/>
          <w:jc w:val="center"/>
        </w:trPr>
        <w:tc>
          <w:tcPr>
            <w:tcW w:w="5616" w:type="dxa"/>
            <w:shd w:val="clear" w:color="auto" w:fill="D9EAF7"/>
            <w:vAlign w:val="center"/>
          </w:tcPr>
          <w:p w14:paraId="793578E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Characteristic</w:t>
            </w:r>
          </w:p>
        </w:tc>
        <w:tc>
          <w:tcPr>
            <w:tcW w:w="3024" w:type="dxa"/>
            <w:shd w:val="clear" w:color="auto" w:fill="D9EAF7"/>
            <w:vAlign w:val="center"/>
          </w:tcPr>
          <w:p w14:paraId="136CD5A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No usable repeat assessment</w:t>
            </w:r>
          </w:p>
        </w:tc>
        <w:tc>
          <w:tcPr>
            <w:tcW w:w="3024" w:type="dxa"/>
            <w:shd w:val="clear" w:color="auto" w:fill="D9EAF7"/>
            <w:vAlign w:val="center"/>
          </w:tcPr>
          <w:p w14:paraId="514CE19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Usable repeat assessment</w:t>
            </w:r>
          </w:p>
        </w:tc>
      </w:tr>
      <w:tr w:rsidR="00EC1F12" w:rsidRPr="00F078D5" w14:paraId="670A8A1C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681E5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Number of participants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20F9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405,419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D3F8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59,142</w:t>
            </w:r>
          </w:p>
        </w:tc>
      </w:tr>
      <w:tr w:rsidR="00EC1F12" w:rsidRPr="00F078D5" w14:paraId="58D420A0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1483D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Age, years, mean (SD)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D0D8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56.65 (8.14)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BA9F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55.12 (7.59)</w:t>
            </w:r>
          </w:p>
        </w:tc>
      </w:tr>
      <w:tr w:rsidR="00EC1F12" w:rsidRPr="00F078D5" w14:paraId="23A2EC25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48772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BMI, kg/m², mean (SD)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CFAC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27.43 (4.77)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D806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26.67 (4.31)</w:t>
            </w:r>
          </w:p>
        </w:tc>
      </w:tr>
      <w:tr w:rsidR="00EC1F12" w:rsidRPr="00F078D5" w14:paraId="303289AD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A184A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Townsend index, mean (SD)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2A85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−1.33 (3.06)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1338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−1.91 (2.73)</w:t>
            </w:r>
          </w:p>
        </w:tc>
      </w:tr>
      <w:tr w:rsidR="00EC1F12" w:rsidRPr="00F078D5" w14:paraId="24D950C5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889BE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Admissions in prior 5 years, mean (SD)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8F3F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1.12 (4.86)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468E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0.75 (1.83)</w:t>
            </w:r>
          </w:p>
        </w:tc>
      </w:tr>
      <w:tr w:rsidR="00EC1F12" w:rsidRPr="00F078D5" w14:paraId="083762D9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C49CB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Female,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7BB6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221,455 (54.62)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C286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30,350 (51.32)</w:t>
            </w:r>
          </w:p>
        </w:tc>
      </w:tr>
      <w:tr w:rsidR="00EC1F12" w:rsidRPr="00F078D5" w14:paraId="2B49518A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7C75E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Male,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84541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183,964 (45.38)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59BD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28,792 (48.68)</w:t>
            </w:r>
          </w:p>
        </w:tc>
      </w:tr>
      <w:tr w:rsidR="00EC1F12" w:rsidRPr="00F078D5" w14:paraId="06B2D099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9F679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Asian ethnicity,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1438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8,774 (2.16)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8FF31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800 (1.35)</w:t>
            </w:r>
          </w:p>
        </w:tc>
      </w:tr>
      <w:tr w:rsidR="00EC1F12" w:rsidRPr="00F078D5" w14:paraId="6C7476A9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9303D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Smoking: never,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C3F8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221,241 (54.57)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E97D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35,522 (60.06)</w:t>
            </w:r>
          </w:p>
        </w:tc>
      </w:tr>
      <w:tr w:rsidR="00EC1F12" w:rsidRPr="00F078D5" w14:paraId="1EEB2094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923F6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Smoking: former,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563D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141,940 (35.01)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50AC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19,808 (33.49)</w:t>
            </w:r>
          </w:p>
        </w:tc>
      </w:tr>
      <w:tr w:rsidR="00EC1F12" w:rsidRPr="00F078D5" w14:paraId="521F461B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D8EA7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Smoking: current,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6820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42,238 (10.42)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7D6F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3,812 (6.45)</w:t>
            </w:r>
          </w:p>
        </w:tc>
      </w:tr>
      <w:tr w:rsidR="00EC1F12" w:rsidRPr="00F078D5" w14:paraId="587022EE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15B71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Alcohol: never,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DCB8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17,525 (4.32)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5CCD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1,530 (2.59)</w:t>
            </w:r>
          </w:p>
        </w:tc>
      </w:tr>
      <w:tr w:rsidR="00EC1F12" w:rsidRPr="00F078D5" w14:paraId="0F4A8407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8E198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Alcohol: former,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37BF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13,852 (3.42)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7238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1,278 (2.16)</w:t>
            </w:r>
          </w:p>
        </w:tc>
      </w:tr>
      <w:tr w:rsidR="00EC1F12" w:rsidRPr="00F078D5" w14:paraId="7D25E569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7CACC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Alcohol: current,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BCE2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374,042 (92.26)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1548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56,334 (95.25)</w:t>
            </w:r>
          </w:p>
        </w:tc>
      </w:tr>
      <w:tr w:rsidR="00EC1F12" w:rsidRPr="00F078D5" w14:paraId="2A4DACCF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EE9D4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MVPA: 0 times/week,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D271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46,204 (11.40)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12BE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6,037 (10.21)</w:t>
            </w:r>
          </w:p>
        </w:tc>
      </w:tr>
      <w:tr w:rsidR="00EC1F12" w:rsidRPr="00F078D5" w14:paraId="621768C8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B5905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MVPA: 1–2 times/week,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2C3C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58,958 (14.54)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E3EA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9,225 (15.60)</w:t>
            </w:r>
          </w:p>
        </w:tc>
      </w:tr>
      <w:tr w:rsidR="00EC1F12" w:rsidRPr="00F078D5" w14:paraId="38D035C2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BD1D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MVPA: 3–4 times/week,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2D00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73,819 (18.21)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4B713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11,411 (19.29)</w:t>
            </w:r>
          </w:p>
        </w:tc>
      </w:tr>
      <w:tr w:rsidR="00EC1F12" w:rsidRPr="00F078D5" w14:paraId="70AB1D4B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B35DC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MVPA: ≥5 times/week,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DFF5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226,438 (55.85)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A1603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32,469 (54.90)</w:t>
            </w:r>
          </w:p>
        </w:tc>
      </w:tr>
      <w:tr w:rsidR="00EC1F12" w:rsidRPr="00F078D5" w14:paraId="55BB2F1F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FCCE4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Baseline no obesity,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4306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124,696 (30.76)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1B6B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22,442 (37.95)</w:t>
            </w:r>
          </w:p>
        </w:tc>
      </w:tr>
      <w:tr w:rsidR="00EC1F12" w:rsidRPr="00F078D5" w14:paraId="082533DD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B8B5C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Baseline preclinical obesity,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E0CC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229,922 (56.71)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C3B21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32,303 (54.62)</w:t>
            </w:r>
          </w:p>
        </w:tc>
      </w:tr>
      <w:tr w:rsidR="00EC1F12" w:rsidRPr="00F078D5" w14:paraId="7D766475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354B8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Baseline clinical obesity,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5C97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50,801 (12.53)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FDEE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4,397 (7.43)</w:t>
            </w:r>
          </w:p>
        </w:tc>
      </w:tr>
      <w:tr w:rsidR="00EC1F12" w:rsidRPr="00F078D5" w14:paraId="2B529273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8CCF9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Hypertension,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C38A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237,795 (58.65)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67AD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29,754 (50.31)</w:t>
            </w:r>
          </w:p>
        </w:tc>
      </w:tr>
      <w:tr w:rsidR="00EC1F12" w:rsidRPr="00F078D5" w14:paraId="097120A6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901AF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Diabetes,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265B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21,685 (5.35)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5C69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1,920 (3.25)</w:t>
            </w:r>
          </w:p>
        </w:tc>
      </w:tr>
      <w:tr w:rsidR="00EC1F12" w:rsidRPr="00F078D5" w14:paraId="3EEAC0E7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E28D7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F078D5">
              <w:rPr>
                <w:rFonts w:ascii="Times New Roman" w:hAnsi="Times New Roman" w:cs="Times New Roman"/>
                <w:szCs w:val="20"/>
              </w:rPr>
              <w:t>Dyslipidaemia</w:t>
            </w:r>
            <w:proofErr w:type="spellEnd"/>
            <w:r w:rsidRPr="00F078D5">
              <w:rPr>
                <w:rFonts w:ascii="Times New Roman" w:hAnsi="Times New Roman" w:cs="Times New Roman"/>
                <w:szCs w:val="20"/>
              </w:rPr>
              <w:t>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1A43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185,198 (45.68)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578D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23,851 (40.33)</w:t>
            </w:r>
          </w:p>
        </w:tc>
      </w:tr>
      <w:tr w:rsidR="00EC1F12" w:rsidRPr="00F078D5" w14:paraId="4CD4861D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7391B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lastRenderedPageBreak/>
              <w:t>CCI 0,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69CD1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349,269 (86.15)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B003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54,024 (91.35)</w:t>
            </w:r>
          </w:p>
        </w:tc>
      </w:tr>
      <w:tr w:rsidR="00EC1F12" w:rsidRPr="00F078D5" w14:paraId="6273EE81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9E6AC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CCI 1,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309A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22,319 (5.51)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7571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2,252 (3.81)</w:t>
            </w:r>
          </w:p>
        </w:tc>
      </w:tr>
      <w:tr w:rsidR="00EC1F12" w:rsidRPr="00F078D5" w14:paraId="4AC1F2D2" w14:textId="77777777" w:rsidTr="00F84D58">
        <w:trPr>
          <w:jc w:val="center"/>
        </w:trPr>
        <w:tc>
          <w:tcPr>
            <w:tcW w:w="5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1C812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CCI ≥2, n (%)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5220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33,831 (8.34)</w:t>
            </w:r>
          </w:p>
        </w:tc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6FE9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2,866 (4.85)</w:t>
            </w:r>
          </w:p>
        </w:tc>
      </w:tr>
    </w:tbl>
    <w:p w14:paraId="3DEE0169" w14:textId="77777777" w:rsidR="008C6910" w:rsidRDefault="008C6910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szCs w:val="20"/>
        </w:rPr>
      </w:pPr>
      <w:r w:rsidRPr="008C6910">
        <w:rPr>
          <w:rFonts w:ascii="Times New Roman" w:hAnsi="Times New Roman" w:cs="Times New Roman"/>
          <w:szCs w:val="20"/>
        </w:rPr>
        <w:t xml:space="preserve">Values are presented as mean (SD) or n (%); percentages are column percentages. </w:t>
      </w:r>
    </w:p>
    <w:p w14:paraId="366D0B5D" w14:textId="162FAC34" w:rsidR="00EC1F12" w:rsidRPr="00F078D5" w:rsidRDefault="000E6AA6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Abbreviation: </w:t>
      </w:r>
      <w:r w:rsidRPr="000E6AA6">
        <w:rPr>
          <w:rFonts w:ascii="Times New Roman" w:hAnsi="Times New Roman" w:cs="Times New Roman"/>
          <w:szCs w:val="20"/>
        </w:rPr>
        <w:t>BMI, body mass index; CCI, Charlson Comorbidity Index; MVPA, moderate-to-vigorous physical activity; SD, standard deviation.</w:t>
      </w:r>
      <w:r w:rsidR="00EC1F12" w:rsidRPr="00F078D5">
        <w:rPr>
          <w:rFonts w:ascii="Times New Roman" w:hAnsi="Times New Roman" w:cs="Times New Roman"/>
          <w:szCs w:val="20"/>
        </w:rPr>
        <w:br w:type="page"/>
      </w:r>
    </w:p>
    <w:p w14:paraId="1059C3AF" w14:textId="77777777" w:rsidR="00EC1F12" w:rsidRPr="00C04EF4" w:rsidRDefault="00EC1F12" w:rsidP="007C1267">
      <w:pPr>
        <w:wordWrap/>
        <w:spacing w:after="0"/>
        <w:rPr>
          <w:rFonts w:ascii="Times New Roman" w:hAnsi="Times New Roman" w:cs="Times New Roman"/>
          <w:b/>
          <w:bCs/>
          <w:szCs w:val="20"/>
        </w:rPr>
      </w:pPr>
      <w:r w:rsidRPr="00C04EF4">
        <w:rPr>
          <w:rFonts w:ascii="Times New Roman" w:hAnsi="Times New Roman" w:cs="Times New Roman"/>
          <w:b/>
          <w:bCs/>
          <w:szCs w:val="20"/>
        </w:rPr>
        <w:lastRenderedPageBreak/>
        <w:t>Table S3. Agreement between measured/medication-defined cardiometabolic conditions and hospital ICD-10 diagnoses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2068"/>
        <w:gridCol w:w="1440"/>
        <w:gridCol w:w="1368"/>
        <w:gridCol w:w="2520"/>
        <w:gridCol w:w="1944"/>
        <w:gridCol w:w="1224"/>
      </w:tblGrid>
      <w:tr w:rsidR="00EC1F12" w:rsidRPr="00F078D5" w14:paraId="4F75B264" w14:textId="77777777" w:rsidTr="007C1267">
        <w:trPr>
          <w:tblHeader/>
          <w:jc w:val="center"/>
        </w:trPr>
        <w:tc>
          <w:tcPr>
            <w:tcW w:w="1800" w:type="dxa"/>
            <w:shd w:val="clear" w:color="auto" w:fill="D9EAF7"/>
            <w:vAlign w:val="center"/>
          </w:tcPr>
          <w:p w14:paraId="5EB4BC5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Condition</w:t>
            </w:r>
          </w:p>
        </w:tc>
        <w:tc>
          <w:tcPr>
            <w:tcW w:w="2068" w:type="dxa"/>
            <w:shd w:val="clear" w:color="auto" w:fill="D9EAF7"/>
            <w:vAlign w:val="center"/>
          </w:tcPr>
          <w:p w14:paraId="56A9E5B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Measured/medication positive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4EDE795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ICD positive</w:t>
            </w:r>
          </w:p>
        </w:tc>
        <w:tc>
          <w:tcPr>
            <w:tcW w:w="1368" w:type="dxa"/>
            <w:shd w:val="clear" w:color="auto" w:fill="D9EAF7"/>
            <w:vAlign w:val="center"/>
          </w:tcPr>
          <w:p w14:paraId="47E1F2F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Both positive</w:t>
            </w:r>
          </w:p>
        </w:tc>
        <w:tc>
          <w:tcPr>
            <w:tcW w:w="2520" w:type="dxa"/>
            <w:shd w:val="clear" w:color="auto" w:fill="D9EAF7"/>
            <w:vAlign w:val="center"/>
          </w:tcPr>
          <w:p w14:paraId="4232F14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ICD </w:t>
            </w:r>
            <w:proofErr w:type="gramStart"/>
            <w:r w:rsidRPr="00F078D5">
              <w:rPr>
                <w:rFonts w:ascii="Times New Roman" w:hAnsi="Times New Roman" w:cs="Times New Roman"/>
                <w:b/>
                <w:szCs w:val="20"/>
              </w:rPr>
              <w:t>capture</w:t>
            </w:r>
            <w:proofErr w:type="gramEnd"/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 among measured/medication positive, %</w:t>
            </w:r>
          </w:p>
        </w:tc>
        <w:tc>
          <w:tcPr>
            <w:tcW w:w="1944" w:type="dxa"/>
            <w:shd w:val="clear" w:color="auto" w:fill="D9EAF7"/>
            <w:vAlign w:val="center"/>
          </w:tcPr>
          <w:p w14:paraId="376015A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Kappa (95% CI)</w:t>
            </w:r>
          </w:p>
        </w:tc>
        <w:tc>
          <w:tcPr>
            <w:tcW w:w="1224" w:type="dxa"/>
            <w:shd w:val="clear" w:color="auto" w:fill="D9EAF7"/>
            <w:vAlign w:val="center"/>
          </w:tcPr>
          <w:p w14:paraId="7C2C6D9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McNemar P</w:t>
            </w:r>
          </w:p>
        </w:tc>
      </w:tr>
      <w:tr w:rsidR="00EC1F12" w:rsidRPr="00F078D5" w14:paraId="6017B172" w14:textId="77777777" w:rsidTr="007C126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9937F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Hypertension</w:t>
            </w:r>
          </w:p>
        </w:tc>
        <w:tc>
          <w:tcPr>
            <w:tcW w:w="20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C61E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26,123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5A56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2,236</w:t>
            </w:r>
          </w:p>
        </w:tc>
        <w:tc>
          <w:tcPr>
            <w:tcW w:w="13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828C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2,151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04C0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8.23</w:t>
            </w: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09EC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0.078 (0.075–0.082)</w:t>
            </w:r>
          </w:p>
        </w:tc>
        <w:tc>
          <w:tcPr>
            <w:tcW w:w="12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7042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</w:tr>
      <w:tr w:rsidR="00EC1F12" w:rsidRPr="00F078D5" w14:paraId="74B5A141" w14:textId="77777777" w:rsidTr="007C126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F5BBA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Diabetes</w:t>
            </w:r>
          </w:p>
        </w:tc>
        <w:tc>
          <w:tcPr>
            <w:tcW w:w="20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EA4F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1,683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B92F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383</w:t>
            </w:r>
          </w:p>
        </w:tc>
        <w:tc>
          <w:tcPr>
            <w:tcW w:w="13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2C60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313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3FDB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18.60</w:t>
            </w: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A3DE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0.295 (0.269–0.320)</w:t>
            </w:r>
          </w:p>
        </w:tc>
        <w:tc>
          <w:tcPr>
            <w:tcW w:w="12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4FB9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</w:tr>
      <w:tr w:rsidR="00EC1F12" w:rsidRPr="00F078D5" w14:paraId="7D3F44AF" w14:textId="77777777" w:rsidTr="007C126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8380A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F078D5">
              <w:rPr>
                <w:rFonts w:ascii="Times New Roman" w:hAnsi="Times New Roman" w:cs="Times New Roman"/>
                <w:szCs w:val="20"/>
              </w:rPr>
              <w:t>Dyslipidaemia</w:t>
            </w:r>
            <w:proofErr w:type="spellEnd"/>
          </w:p>
        </w:tc>
        <w:tc>
          <w:tcPr>
            <w:tcW w:w="20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ADA8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20,953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E79D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1,000</w:t>
            </w:r>
          </w:p>
        </w:tc>
        <w:tc>
          <w:tcPr>
            <w:tcW w:w="13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4C5D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913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653F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4.36</w:t>
            </w:r>
          </w:p>
        </w:tc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037E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0.048 (0.045–0.051)</w:t>
            </w:r>
          </w:p>
        </w:tc>
        <w:tc>
          <w:tcPr>
            <w:tcW w:w="12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D2E1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&lt;0.001</w:t>
            </w:r>
          </w:p>
        </w:tc>
      </w:tr>
    </w:tbl>
    <w:p w14:paraId="15556B32" w14:textId="77777777" w:rsidR="009B354B" w:rsidRDefault="009B354B" w:rsidP="007C1267">
      <w:pPr>
        <w:wordWrap/>
        <w:spacing w:after="0"/>
        <w:rPr>
          <w:rFonts w:ascii="Times New Roman" w:hAnsi="Times New Roman" w:cs="Times New Roman"/>
          <w:szCs w:val="20"/>
        </w:rPr>
      </w:pPr>
      <w:r w:rsidRPr="009B354B">
        <w:rPr>
          <w:rFonts w:ascii="Times New Roman" w:hAnsi="Times New Roman" w:cs="Times New Roman"/>
          <w:szCs w:val="20"/>
        </w:rPr>
        <w:t xml:space="preserve">Measured/medication-defined conditions were identified using study measurements or relevant medication use. Hospital ICD-10 definitions used I10 for hypertension, E11 for diabetes, and E78 for dyslipidemia. ICD capture was calculated as both positive divided by measured/medication positive. </w:t>
      </w:r>
    </w:p>
    <w:p w14:paraId="104579B3" w14:textId="76EE8390" w:rsidR="007B6E5F" w:rsidRDefault="007C1267" w:rsidP="007C1267">
      <w:pPr>
        <w:wordWrap/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Abbreviation: </w:t>
      </w:r>
      <w:r w:rsidRPr="007C1267">
        <w:rPr>
          <w:rFonts w:ascii="Times New Roman" w:hAnsi="Times New Roman" w:cs="Times New Roman"/>
          <w:szCs w:val="20"/>
        </w:rPr>
        <w:t>CI, confidence interval; ICD-10, International Classification of Diseases, 10th Revision.</w:t>
      </w:r>
    </w:p>
    <w:p w14:paraId="373A2AEB" w14:textId="77777777" w:rsidR="007B6E5F" w:rsidRDefault="007B6E5F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14:paraId="2216F39C" w14:textId="77777777" w:rsidR="007B6E5F" w:rsidRPr="007B6E5F" w:rsidRDefault="007B6E5F" w:rsidP="007B6E5F">
      <w:pPr>
        <w:wordWrap/>
        <w:spacing w:after="0"/>
        <w:rPr>
          <w:rFonts w:ascii="Times New Roman" w:hAnsi="Times New Roman" w:cs="Times New Roman"/>
          <w:szCs w:val="20"/>
        </w:rPr>
      </w:pPr>
      <w:r w:rsidRPr="007B6E5F">
        <w:rPr>
          <w:rFonts w:ascii="Times New Roman" w:hAnsi="Times New Roman" w:cs="Times New Roman"/>
          <w:b/>
          <w:szCs w:val="20"/>
        </w:rPr>
        <w:lastRenderedPageBreak/>
        <w:t>Table S4. Inverse-probability-weighted associations between two-timepoint clinical-obesity transitions and incident anxiety disorder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4968"/>
        <w:gridCol w:w="1152"/>
        <w:gridCol w:w="2376"/>
        <w:gridCol w:w="1368"/>
        <w:gridCol w:w="1368"/>
      </w:tblGrid>
      <w:tr w:rsidR="007B6E5F" w:rsidRPr="007B6E5F" w14:paraId="6AAECDB8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58C5A8C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>Baseline clinical-obesity state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47A938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7B6E5F">
              <w:rPr>
                <w:rFonts w:ascii="Times New Roman" w:hAnsi="Times New Roman" w:cs="Times New Roman"/>
                <w:b/>
                <w:szCs w:val="20"/>
              </w:rPr>
              <w:t>Two-</w:t>
            </w:r>
            <w:proofErr w:type="gramEnd"/>
            <w:r w:rsidRPr="007B6E5F">
              <w:rPr>
                <w:rFonts w:ascii="Times New Roman" w:hAnsi="Times New Roman" w:cs="Times New Roman"/>
                <w:b/>
                <w:szCs w:val="20"/>
              </w:rPr>
              <w:t>timepoint transition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D79DC95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>N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71031B8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 xml:space="preserve">Weighted </w:t>
            </w:r>
            <w:proofErr w:type="spellStart"/>
            <w:r w:rsidRPr="007B6E5F">
              <w:rPr>
                <w:rFonts w:ascii="Times New Roman" w:hAnsi="Times New Roman" w:cs="Times New Roman"/>
                <w:b/>
                <w:szCs w:val="20"/>
              </w:rPr>
              <w:t>aHR</w:t>
            </w:r>
            <w:proofErr w:type="spellEnd"/>
            <w:r w:rsidRPr="007B6E5F">
              <w:rPr>
                <w:rFonts w:ascii="Times New Roman" w:hAnsi="Times New Roman" w:cs="Times New Roman"/>
                <w:b/>
                <w:szCs w:val="20"/>
              </w:rPr>
              <w:t xml:space="preserve"> (95% CI)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35047C5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>P value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9DE27EF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>Overall P</w:t>
            </w:r>
          </w:p>
        </w:tc>
      </w:tr>
      <w:tr w:rsidR="007B6E5F" w:rsidRPr="007B6E5F" w14:paraId="08B99095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FA2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>No obesity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F8F1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Persistent no obesity (0→0)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026E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12,778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F75F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1.00 (Ref)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E74D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—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757A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0.0003</w:t>
            </w:r>
          </w:p>
        </w:tc>
      </w:tr>
      <w:tr w:rsidR="007B6E5F" w:rsidRPr="007B6E5F" w14:paraId="48D4B1EA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4DA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582E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No obesity → preclinical obesity (0→1)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C11E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5,382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5EA9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1.02 (0.79–1.33)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4D29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0.8524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20F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B6E5F" w:rsidRPr="007B6E5F" w14:paraId="6FC59363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3B39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ABAF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No obesity → clinical obesity (0→2)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3855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1,392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F3F6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1.91 (1.39–2.63)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1176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&lt;0.0001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C7B1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B6E5F" w:rsidRPr="007B6E5F" w14:paraId="30FA3562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1EC0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>Preclinical obesity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60DF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Preclinical obesity → no obesity (1→0)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42E6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3,162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3D01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1.00 (0.76–1.32)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4C31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0.9887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E551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0.1679</w:t>
            </w:r>
          </w:p>
        </w:tc>
      </w:tr>
      <w:tr w:rsidR="007B6E5F" w:rsidRPr="007B6E5F" w14:paraId="738E20AE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CC18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5FE1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Persistent preclinical obesity (1→1)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0631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19,350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5C46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1.00 (Ref)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8E1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—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1B90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B6E5F" w:rsidRPr="007B6E5F" w14:paraId="02FE3E28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9AFD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56A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Preclinical obesity → clinical obesity (1→2)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B49D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5,813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D476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1.23 (0.99–1.52)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7C26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0.0628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8A0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B6E5F" w:rsidRPr="007B6E5F" w14:paraId="4AB119A4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2652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b/>
                <w:szCs w:val="20"/>
              </w:rPr>
              <w:t>Clinical obesity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14ED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Clinical obesity → no obesity (2→0)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795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290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4BF4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1.46 (0.92–2.31)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B192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0.1122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1763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0.1122</w:t>
            </w:r>
          </w:p>
        </w:tc>
      </w:tr>
      <w:tr w:rsidR="007B6E5F" w:rsidRPr="007B6E5F" w14:paraId="0B00213D" w14:textId="77777777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78FB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E4D7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Persistent clinical obesity (2→2)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D3AA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3,533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E625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1.00 (Ref)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D490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  <w:r w:rsidRPr="007B6E5F">
              <w:rPr>
                <w:rFonts w:ascii="Times New Roman" w:hAnsi="Times New Roman" w:cs="Times New Roman"/>
                <w:szCs w:val="20"/>
              </w:rPr>
              <w:t>—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57DB" w14:textId="77777777" w:rsidR="007B6E5F" w:rsidRPr="007B6E5F" w:rsidRDefault="007B6E5F" w:rsidP="007B6E5F">
            <w:pPr>
              <w:wordWrap/>
              <w:spacing w:line="259" w:lineRule="auto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F07C8E0" w14:textId="77777777" w:rsidR="007B6E5F" w:rsidRPr="007B6E5F" w:rsidRDefault="007B6E5F" w:rsidP="007B6E5F">
      <w:pPr>
        <w:wordWrap/>
        <w:spacing w:after="0"/>
        <w:rPr>
          <w:rFonts w:ascii="Times New Roman" w:hAnsi="Times New Roman" w:cs="Times New Roman"/>
          <w:szCs w:val="20"/>
        </w:rPr>
      </w:pPr>
    </w:p>
    <w:p w14:paraId="08B1F732" w14:textId="77777777" w:rsidR="007B6E5F" w:rsidRPr="007B6E5F" w:rsidRDefault="007B6E5F" w:rsidP="007B6E5F">
      <w:pPr>
        <w:wordWrap/>
        <w:spacing w:after="0"/>
        <w:rPr>
          <w:rFonts w:ascii="Times New Roman" w:hAnsi="Times New Roman" w:cs="Times New Roman"/>
          <w:szCs w:val="20"/>
        </w:rPr>
      </w:pPr>
      <w:r w:rsidRPr="007B6E5F">
        <w:rPr>
          <w:rFonts w:ascii="Times New Roman" w:hAnsi="Times New Roman" w:cs="Times New Roman"/>
          <w:szCs w:val="20"/>
        </w:rPr>
        <w:t xml:space="preserve">Weighted Cox models used stabilized inverse-probability-of-participation weights truncated at the 1st and 99th percentiles and were adjusted for the covariates included in Model 2 of Table 2. Individual P values compare each transition with its reference category; overall P values compare transition categories within each baseline clinical-obesity state. </w:t>
      </w:r>
      <w:proofErr w:type="spellStart"/>
      <w:r w:rsidRPr="007B6E5F">
        <w:rPr>
          <w:rFonts w:ascii="Times New Roman" w:hAnsi="Times New Roman" w:cs="Times New Roman"/>
          <w:szCs w:val="20"/>
        </w:rPr>
        <w:t>aHR</w:t>
      </w:r>
      <w:proofErr w:type="spellEnd"/>
      <w:r w:rsidRPr="007B6E5F">
        <w:rPr>
          <w:rFonts w:ascii="Times New Roman" w:hAnsi="Times New Roman" w:cs="Times New Roman"/>
          <w:szCs w:val="20"/>
        </w:rPr>
        <w:t>, adjusted hazard ratio; CI, confidence interval; Ref, reference.</w:t>
      </w:r>
    </w:p>
    <w:p w14:paraId="75591E5B" w14:textId="77777777" w:rsidR="00EC1F12" w:rsidRPr="007B6E5F" w:rsidRDefault="00EC1F12" w:rsidP="007C1267">
      <w:pPr>
        <w:wordWrap/>
        <w:spacing w:after="0"/>
        <w:rPr>
          <w:rFonts w:ascii="Times New Roman" w:hAnsi="Times New Roman" w:cs="Times New Roman"/>
          <w:szCs w:val="20"/>
        </w:rPr>
      </w:pPr>
    </w:p>
    <w:p w14:paraId="3AFD3330" w14:textId="642F9DBA" w:rsidR="00EC1F12" w:rsidRPr="00F078D5" w:rsidRDefault="00EC1F12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szCs w:val="20"/>
        </w:rPr>
      </w:pPr>
      <w:r w:rsidRPr="00F078D5">
        <w:rPr>
          <w:rFonts w:ascii="Times New Roman" w:hAnsi="Times New Roman" w:cs="Times New Roman"/>
          <w:szCs w:val="20"/>
        </w:rPr>
        <w:br w:type="page"/>
      </w:r>
    </w:p>
    <w:p w14:paraId="791057A6" w14:textId="65BB3E9C" w:rsidR="00EC1F12" w:rsidRPr="00C04EF4" w:rsidRDefault="00EC1F12" w:rsidP="007C1267">
      <w:pPr>
        <w:wordWrap/>
        <w:spacing w:after="0"/>
        <w:rPr>
          <w:rFonts w:ascii="Times New Roman" w:hAnsi="Times New Roman" w:cs="Times New Roman"/>
          <w:b/>
          <w:bCs/>
          <w:szCs w:val="20"/>
        </w:rPr>
      </w:pPr>
      <w:r w:rsidRPr="00C04EF4">
        <w:rPr>
          <w:rFonts w:ascii="Times New Roman" w:hAnsi="Times New Roman" w:cs="Times New Roman"/>
          <w:b/>
          <w:bCs/>
          <w:szCs w:val="20"/>
        </w:rPr>
        <w:lastRenderedPageBreak/>
        <w:t>Table S</w:t>
      </w:r>
      <w:r w:rsidR="007D7A00">
        <w:rPr>
          <w:rFonts w:ascii="Times New Roman" w:hAnsi="Times New Roman" w:cs="Times New Roman" w:hint="eastAsia"/>
          <w:b/>
          <w:bCs/>
          <w:szCs w:val="20"/>
        </w:rPr>
        <w:t>5.</w:t>
      </w:r>
      <w:r w:rsidRPr="00C04EF4">
        <w:rPr>
          <w:rFonts w:ascii="Times New Roman" w:hAnsi="Times New Roman" w:cs="Times New Roman"/>
          <w:b/>
          <w:bCs/>
          <w:szCs w:val="20"/>
        </w:rPr>
        <w:t xml:space="preserve"> Secondary overall-transition analyses and competing-risk sensitivity analyses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2232"/>
        <w:gridCol w:w="2376"/>
        <w:gridCol w:w="2376"/>
        <w:gridCol w:w="2376"/>
      </w:tblGrid>
      <w:tr w:rsidR="00EC1F12" w:rsidRPr="00F078D5" w14:paraId="60C2A194" w14:textId="77777777" w:rsidTr="00F84D58">
        <w:trPr>
          <w:tblHeader/>
          <w:jc w:val="center"/>
        </w:trPr>
        <w:tc>
          <w:tcPr>
            <w:tcW w:w="4320" w:type="dxa"/>
            <w:shd w:val="clear" w:color="auto" w:fill="D9EAF7"/>
            <w:vAlign w:val="center"/>
          </w:tcPr>
          <w:p w14:paraId="02FF6AA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Transition</w:t>
            </w:r>
          </w:p>
        </w:tc>
        <w:tc>
          <w:tcPr>
            <w:tcW w:w="2232" w:type="dxa"/>
            <w:shd w:val="clear" w:color="auto" w:fill="D9EAF7"/>
            <w:vAlign w:val="center"/>
          </w:tcPr>
          <w:p w14:paraId="1BAB392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Overall Cox </w:t>
            </w:r>
            <w:proofErr w:type="spellStart"/>
            <w:r w:rsidRPr="00F078D5">
              <w:rPr>
                <w:rFonts w:ascii="Times New Roman" w:hAnsi="Times New Roman" w:cs="Times New Roman"/>
                <w:b/>
                <w:szCs w:val="20"/>
              </w:rPr>
              <w:t>aHR</w:t>
            </w:r>
            <w:proofErr w:type="spellEnd"/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 (95% CI)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12BC2E4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1-year landmark Cox </w:t>
            </w:r>
            <w:proofErr w:type="spellStart"/>
            <w:r w:rsidRPr="00F078D5">
              <w:rPr>
                <w:rFonts w:ascii="Times New Roman" w:hAnsi="Times New Roman" w:cs="Times New Roman"/>
                <w:b/>
                <w:szCs w:val="20"/>
              </w:rPr>
              <w:t>aHR</w:t>
            </w:r>
            <w:proofErr w:type="spellEnd"/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 (95% CI)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5848A24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5-year Fine–Gray </w:t>
            </w:r>
            <w:proofErr w:type="spellStart"/>
            <w:r w:rsidRPr="00F078D5">
              <w:rPr>
                <w:rFonts w:ascii="Times New Roman" w:hAnsi="Times New Roman" w:cs="Times New Roman"/>
                <w:b/>
                <w:szCs w:val="20"/>
              </w:rPr>
              <w:t>sHR</w:t>
            </w:r>
            <w:proofErr w:type="spellEnd"/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 (95% CI)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7587408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1-year landmark Fine–Gray </w:t>
            </w:r>
            <w:proofErr w:type="spellStart"/>
            <w:r w:rsidRPr="00F078D5">
              <w:rPr>
                <w:rFonts w:ascii="Times New Roman" w:hAnsi="Times New Roman" w:cs="Times New Roman"/>
                <w:b/>
                <w:szCs w:val="20"/>
              </w:rPr>
              <w:t>sHR</w:t>
            </w:r>
            <w:proofErr w:type="spellEnd"/>
            <w:r w:rsidRPr="00F078D5">
              <w:rPr>
                <w:rFonts w:ascii="Times New Roman" w:hAnsi="Times New Roman" w:cs="Times New Roman"/>
                <w:b/>
                <w:szCs w:val="20"/>
              </w:rPr>
              <w:t xml:space="preserve"> (95% CI)</w:t>
            </w:r>
          </w:p>
        </w:tc>
      </w:tr>
      <w:tr w:rsidR="00EC1F12" w:rsidRPr="00F078D5" w14:paraId="7F659045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D8967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Persistent no obesity (0→0)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CF7B3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1.00 (Ref)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79293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1.00 (Ref)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EF7A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1.00 (Ref)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0A5C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1.00 (Ref)</w:t>
            </w:r>
          </w:p>
        </w:tc>
      </w:tr>
      <w:tr w:rsidR="00EC1F12" w:rsidRPr="00F078D5" w14:paraId="46F0DD6D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CAF5C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No obesity → preclinical obesity (0→1)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045D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1.16 (0.91–1.47)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45F3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1.08 (0.83–1.39)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4879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1.08 (0.78–1.48)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336F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1.08 (0.84–1.40)</w:t>
            </w:r>
          </w:p>
        </w:tc>
      </w:tr>
      <w:tr w:rsidR="00EC1F12" w:rsidRPr="00F078D5" w14:paraId="706C0339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B78D0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No obesity → clinical obesity (0→2)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691B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1.89 (1.38–2.59)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0DE4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1.94 (1.39–2.70)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BA6C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1.86 (1.23–2.82)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AE6F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1.95 (1.40–2.73)</w:t>
            </w:r>
          </w:p>
        </w:tc>
      </w:tr>
      <w:tr w:rsidR="00EC1F12" w:rsidRPr="00F078D5" w14:paraId="552E6110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48BF4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Preclinical obesity → no obesity (1→0)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9FF5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1.09 (0.81–1.47)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63FA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1.04 (0.76–1.43)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5556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1.12 (0.77–1.63)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9C81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1.05 (0.76–1.44)</w:t>
            </w:r>
          </w:p>
        </w:tc>
      </w:tr>
      <w:tr w:rsidR="00EC1F12" w:rsidRPr="00F078D5" w14:paraId="2511C1F6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E97EC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Persistent preclinical obesity (1→1)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7354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1.13 (0.95–1.33)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3475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1.11 (0.93–1.32)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4EC6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1.16 (0.93–1.45)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E522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1.11 (0.94–1.33)</w:t>
            </w:r>
          </w:p>
        </w:tc>
      </w:tr>
      <w:tr w:rsidR="00EC1F12" w:rsidRPr="00F078D5" w14:paraId="0A2904ED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ACB84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Preclinical obesity → clinical obesity (1→2)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E55E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1.29 (1.03–1.63)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3502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1.26 (0.98–1.61)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7711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1.31 (0.97–1.77)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B4A2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1.26 (0.98–1.63)</w:t>
            </w:r>
          </w:p>
        </w:tc>
      </w:tr>
      <w:tr w:rsidR="00EC1F12" w:rsidRPr="00F078D5" w14:paraId="2A3C4549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EBF81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Clinical obesity → no obesity (2→0)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595A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1.77 (0.96–3.25)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BD13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1.82 (0.96–3.45)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5C36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2.05 (1.02–4.16)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64ED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1.79 (0.95–3.38)</w:t>
            </w:r>
          </w:p>
        </w:tc>
      </w:tr>
      <w:tr w:rsidR="00EC1F12" w:rsidRPr="00F078D5" w14:paraId="26401726" w14:textId="77777777" w:rsidTr="00F84D58">
        <w:trPr>
          <w:jc w:val="center"/>
        </w:trPr>
        <w:tc>
          <w:tcPr>
            <w:tcW w:w="43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AC28E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Persistent clinical obesity (2→2)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6B4E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1.46 (1.16–1.84)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6CA4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1.43 (1.12–1.83)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BB149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1.63 (1.21–2.19)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CF1A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1.42 (1.11–1.82)</w:t>
            </w:r>
          </w:p>
        </w:tc>
      </w:tr>
    </w:tbl>
    <w:p w14:paraId="3D96A0CB" w14:textId="77777777" w:rsidR="002D00AC" w:rsidRDefault="002D00AC" w:rsidP="007C1267">
      <w:pPr>
        <w:wordWrap/>
        <w:spacing w:after="0"/>
        <w:rPr>
          <w:rFonts w:ascii="Times New Roman" w:hAnsi="Times New Roman" w:cs="Times New Roman"/>
          <w:szCs w:val="20"/>
        </w:rPr>
      </w:pPr>
      <w:r w:rsidRPr="002D00AC">
        <w:rPr>
          <w:rFonts w:ascii="Times New Roman" w:hAnsi="Times New Roman" w:cs="Times New Roman"/>
          <w:szCs w:val="20"/>
        </w:rPr>
        <w:t>All estimates use persistent no obesity as the common reference. Models were adjusted for the covariates included in Model 2 of Table 2. Fine–Gray models treated death as a competing event, and landmark analyses began 1 year after the repeat assessment.</w:t>
      </w:r>
    </w:p>
    <w:p w14:paraId="2E30FA68" w14:textId="50EA0A36" w:rsidR="00EC1F12" w:rsidRPr="00F078D5" w:rsidRDefault="00BC4CE3" w:rsidP="007C1267">
      <w:pPr>
        <w:wordWrap/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>Abbreviation:</w:t>
      </w:r>
      <w:r w:rsidRPr="00BC4CE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BC4CE3">
        <w:rPr>
          <w:rFonts w:ascii="Times New Roman" w:hAnsi="Times New Roman" w:cs="Times New Roman"/>
          <w:szCs w:val="20"/>
        </w:rPr>
        <w:t>aHR</w:t>
      </w:r>
      <w:proofErr w:type="spellEnd"/>
      <w:r w:rsidRPr="00BC4CE3">
        <w:rPr>
          <w:rFonts w:ascii="Times New Roman" w:hAnsi="Times New Roman" w:cs="Times New Roman"/>
          <w:szCs w:val="20"/>
        </w:rPr>
        <w:t xml:space="preserve">, adjusted hazard ratio; CI, confidence interval; MVPA, moderate-to-vigorous physical activity; Ref, reference; </w:t>
      </w:r>
      <w:proofErr w:type="spellStart"/>
      <w:r w:rsidRPr="00BC4CE3">
        <w:rPr>
          <w:rFonts w:ascii="Times New Roman" w:hAnsi="Times New Roman" w:cs="Times New Roman"/>
          <w:szCs w:val="20"/>
        </w:rPr>
        <w:t>sHR</w:t>
      </w:r>
      <w:proofErr w:type="spellEnd"/>
      <w:r w:rsidRPr="00BC4CE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BC4CE3">
        <w:rPr>
          <w:rFonts w:ascii="Times New Roman" w:hAnsi="Times New Roman" w:cs="Times New Roman"/>
          <w:szCs w:val="20"/>
        </w:rPr>
        <w:t>subdistribution</w:t>
      </w:r>
      <w:proofErr w:type="spellEnd"/>
      <w:r w:rsidRPr="00BC4CE3">
        <w:rPr>
          <w:rFonts w:ascii="Times New Roman" w:hAnsi="Times New Roman" w:cs="Times New Roman"/>
          <w:szCs w:val="20"/>
        </w:rPr>
        <w:t xml:space="preserve"> hazard </w:t>
      </w:r>
      <w:proofErr w:type="gramStart"/>
      <w:r w:rsidRPr="00BC4CE3">
        <w:rPr>
          <w:rFonts w:ascii="Times New Roman" w:hAnsi="Times New Roman" w:cs="Times New Roman"/>
          <w:szCs w:val="20"/>
        </w:rPr>
        <w:t>ratio.</w:t>
      </w:r>
      <w:r w:rsidR="00EC1F12" w:rsidRPr="00F078D5">
        <w:rPr>
          <w:rFonts w:ascii="Times New Roman" w:hAnsi="Times New Roman" w:cs="Times New Roman"/>
          <w:szCs w:val="20"/>
        </w:rPr>
        <w:t>.</w:t>
      </w:r>
      <w:proofErr w:type="gramEnd"/>
    </w:p>
    <w:p w14:paraId="11C2CBC7" w14:textId="0CEEAD94" w:rsidR="00EC1F12" w:rsidRPr="00F078D5" w:rsidRDefault="00EC1F12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szCs w:val="20"/>
        </w:rPr>
      </w:pPr>
      <w:r w:rsidRPr="00F078D5">
        <w:rPr>
          <w:rFonts w:ascii="Times New Roman" w:hAnsi="Times New Roman" w:cs="Times New Roman"/>
          <w:szCs w:val="20"/>
        </w:rPr>
        <w:br w:type="page"/>
      </w:r>
    </w:p>
    <w:p w14:paraId="1552022C" w14:textId="3ABCE493" w:rsidR="00EC1F12" w:rsidRPr="00C04EF4" w:rsidRDefault="00EC1F12" w:rsidP="007C1267">
      <w:pPr>
        <w:wordWrap/>
        <w:spacing w:after="0"/>
        <w:rPr>
          <w:rFonts w:ascii="Times New Roman" w:hAnsi="Times New Roman" w:cs="Times New Roman"/>
          <w:b/>
          <w:bCs/>
          <w:szCs w:val="20"/>
        </w:rPr>
      </w:pPr>
      <w:r w:rsidRPr="00C04EF4">
        <w:rPr>
          <w:rFonts w:ascii="Times New Roman" w:hAnsi="Times New Roman" w:cs="Times New Roman"/>
          <w:b/>
          <w:bCs/>
          <w:szCs w:val="20"/>
        </w:rPr>
        <w:lastRenderedPageBreak/>
        <w:t>Table S</w:t>
      </w:r>
      <w:r w:rsidR="007D7A00">
        <w:rPr>
          <w:rFonts w:ascii="Times New Roman" w:hAnsi="Times New Roman" w:cs="Times New Roman" w:hint="eastAsia"/>
          <w:b/>
          <w:bCs/>
          <w:szCs w:val="20"/>
        </w:rPr>
        <w:t>6</w:t>
      </w:r>
      <w:r w:rsidRPr="00C04EF4">
        <w:rPr>
          <w:rFonts w:ascii="Times New Roman" w:hAnsi="Times New Roman" w:cs="Times New Roman"/>
          <w:b/>
          <w:bCs/>
          <w:szCs w:val="20"/>
        </w:rPr>
        <w:t>. Comparison of alternative exposure models in the same complete-case sample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1080"/>
        <w:gridCol w:w="1080"/>
        <w:gridCol w:w="1584"/>
        <w:gridCol w:w="1800"/>
      </w:tblGrid>
      <w:tr w:rsidR="00EC1F12" w:rsidRPr="00F078D5" w14:paraId="52136857" w14:textId="77777777" w:rsidTr="00F84D58">
        <w:trPr>
          <w:tblHeader/>
          <w:jc w:val="center"/>
        </w:trPr>
        <w:tc>
          <w:tcPr>
            <w:tcW w:w="5472" w:type="dxa"/>
            <w:shd w:val="clear" w:color="auto" w:fill="D9EAF7"/>
            <w:vAlign w:val="center"/>
          </w:tcPr>
          <w:p w14:paraId="062A056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Model</w:t>
            </w:r>
          </w:p>
        </w:tc>
        <w:tc>
          <w:tcPr>
            <w:tcW w:w="1080" w:type="dxa"/>
            <w:shd w:val="clear" w:color="auto" w:fill="D9EAF7"/>
            <w:vAlign w:val="center"/>
          </w:tcPr>
          <w:p w14:paraId="151D71A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N</w:t>
            </w:r>
          </w:p>
        </w:tc>
        <w:tc>
          <w:tcPr>
            <w:tcW w:w="1080" w:type="dxa"/>
            <w:shd w:val="clear" w:color="auto" w:fill="D9EAF7"/>
            <w:vAlign w:val="center"/>
          </w:tcPr>
          <w:p w14:paraId="259E8AA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Events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4E3936B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AIC</w:t>
            </w:r>
          </w:p>
        </w:tc>
        <w:tc>
          <w:tcPr>
            <w:tcW w:w="1800" w:type="dxa"/>
            <w:shd w:val="clear" w:color="auto" w:fill="D9EAF7"/>
            <w:vAlign w:val="center"/>
          </w:tcPr>
          <w:p w14:paraId="03F466AB" w14:textId="02D90C6A" w:rsidR="00EC1F12" w:rsidRPr="00F078D5" w:rsidRDefault="00C315A4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>Overall</w:t>
            </w:r>
            <w:r w:rsidR="00EC1F12" w:rsidRPr="00F078D5">
              <w:rPr>
                <w:rFonts w:ascii="Times New Roman" w:hAnsi="Times New Roman" w:cs="Times New Roman"/>
                <w:b/>
                <w:szCs w:val="20"/>
              </w:rPr>
              <w:t xml:space="preserve"> P</w:t>
            </w:r>
          </w:p>
        </w:tc>
      </w:tr>
      <w:tr w:rsidR="00EC1F12" w:rsidRPr="00F078D5" w14:paraId="54CC6E16" w14:textId="77777777" w:rsidTr="00F84D58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6B09D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Dysfunction-only transition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25D2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51,611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CDDD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1,094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742D2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22,034.632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B313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&lt;0.0001</w:t>
            </w:r>
          </w:p>
        </w:tc>
      </w:tr>
      <w:tr w:rsidR="00EC1F12" w:rsidRPr="00F078D5" w14:paraId="23401BB9" w14:textId="77777777" w:rsidTr="00F84D58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83109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Conventional BMI and comorbidity model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E0773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51,611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0B72B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1,094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FD826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22,040.092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3D00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Not applicable</w:t>
            </w:r>
          </w:p>
        </w:tc>
      </w:tr>
      <w:tr w:rsidR="00EC1F12" w:rsidRPr="00F078D5" w14:paraId="59760CDE" w14:textId="77777777" w:rsidTr="00F84D58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43BC1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Clinical-obesity transition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55A1E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51,611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F063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1,094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F4E18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22,042.398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3B2F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0.0016</w:t>
            </w:r>
          </w:p>
        </w:tc>
      </w:tr>
      <w:tr w:rsidR="00EC1F12" w:rsidRPr="00F078D5" w14:paraId="7E81385B" w14:textId="77777777" w:rsidTr="00F84D58">
        <w:trPr>
          <w:jc w:val="center"/>
        </w:trPr>
        <w:tc>
          <w:tcPr>
            <w:tcW w:w="54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877A4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BMI-only transition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2A3FF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51,611</w:t>
            </w:r>
          </w:p>
        </w:tc>
        <w:tc>
          <w:tcPr>
            <w:tcW w:w="10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A4A2C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1,094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C605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22,050.131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8A1BA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0.0915</w:t>
            </w:r>
          </w:p>
        </w:tc>
      </w:tr>
    </w:tbl>
    <w:p w14:paraId="168F58C7" w14:textId="77777777" w:rsidR="006272A5" w:rsidRDefault="006272A5" w:rsidP="007C1267">
      <w:pPr>
        <w:wordWrap/>
        <w:spacing w:after="0"/>
        <w:rPr>
          <w:rFonts w:ascii="Times New Roman" w:hAnsi="Times New Roman" w:cs="Times New Roman"/>
          <w:szCs w:val="20"/>
        </w:rPr>
      </w:pPr>
      <w:r w:rsidRPr="006272A5">
        <w:rPr>
          <w:rFonts w:ascii="Times New Roman" w:hAnsi="Times New Roman" w:cs="Times New Roman"/>
          <w:szCs w:val="20"/>
        </w:rPr>
        <w:t>All models were fitted in the same 51,611 participants with 1,094 anxiety events. Lower AIC indicates better relative model fit. Overall P values test the corresponding categorical exposure terms.</w:t>
      </w:r>
    </w:p>
    <w:p w14:paraId="66F18B78" w14:textId="4278277A" w:rsidR="00EC1F12" w:rsidRPr="00F078D5" w:rsidRDefault="005B41F8" w:rsidP="007C1267">
      <w:pPr>
        <w:wordWrap/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Abbreviation: </w:t>
      </w:r>
      <w:r w:rsidRPr="005B41F8">
        <w:rPr>
          <w:rFonts w:ascii="Times New Roman" w:hAnsi="Times New Roman" w:cs="Times New Roman"/>
          <w:szCs w:val="20"/>
        </w:rPr>
        <w:t>AIC, Akaike information criterion; BMI, body mass index; CCI, Charlson Comorbidity Index</w:t>
      </w:r>
      <w:r w:rsidR="00EC1F12" w:rsidRPr="00F078D5">
        <w:rPr>
          <w:rFonts w:ascii="Times New Roman" w:hAnsi="Times New Roman" w:cs="Times New Roman"/>
          <w:szCs w:val="20"/>
        </w:rPr>
        <w:t>.</w:t>
      </w:r>
    </w:p>
    <w:p w14:paraId="3B85C136" w14:textId="467BA4D0" w:rsidR="00EC1F12" w:rsidRPr="00F078D5" w:rsidRDefault="00EC1F12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szCs w:val="20"/>
        </w:rPr>
      </w:pPr>
      <w:r w:rsidRPr="00F078D5">
        <w:rPr>
          <w:rFonts w:ascii="Times New Roman" w:hAnsi="Times New Roman" w:cs="Times New Roman"/>
          <w:szCs w:val="20"/>
        </w:rPr>
        <w:br w:type="page"/>
      </w:r>
    </w:p>
    <w:p w14:paraId="7EBD8D8D" w14:textId="53FE6F5B" w:rsidR="00EC1F12" w:rsidRPr="00C04EF4" w:rsidRDefault="00EC1F12" w:rsidP="007C1267">
      <w:pPr>
        <w:wordWrap/>
        <w:spacing w:after="0"/>
        <w:rPr>
          <w:rFonts w:ascii="Times New Roman" w:hAnsi="Times New Roman" w:cs="Times New Roman"/>
          <w:b/>
          <w:bCs/>
          <w:szCs w:val="20"/>
        </w:rPr>
      </w:pPr>
      <w:r w:rsidRPr="00C04EF4">
        <w:rPr>
          <w:rFonts w:ascii="Times New Roman" w:hAnsi="Times New Roman" w:cs="Times New Roman"/>
          <w:b/>
          <w:bCs/>
          <w:szCs w:val="20"/>
        </w:rPr>
        <w:lastRenderedPageBreak/>
        <w:t>Table S</w:t>
      </w:r>
      <w:r w:rsidR="007D7A00">
        <w:rPr>
          <w:rFonts w:ascii="Times New Roman" w:hAnsi="Times New Roman" w:cs="Times New Roman" w:hint="eastAsia"/>
          <w:b/>
          <w:bCs/>
          <w:szCs w:val="20"/>
        </w:rPr>
        <w:t>7</w:t>
      </w:r>
      <w:r w:rsidRPr="00C04EF4">
        <w:rPr>
          <w:rFonts w:ascii="Times New Roman" w:hAnsi="Times New Roman" w:cs="Times New Roman"/>
          <w:b/>
          <w:bCs/>
          <w:szCs w:val="20"/>
        </w:rPr>
        <w:t>. Proportional-hazards assessment based on standardized score processes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488"/>
        <w:gridCol w:w="2592"/>
      </w:tblGrid>
      <w:tr w:rsidR="00EC1F12" w:rsidRPr="00F078D5" w14:paraId="48326303" w14:textId="77777777" w:rsidTr="00F84D58">
        <w:trPr>
          <w:tblHeader/>
          <w:jc w:val="center"/>
        </w:trPr>
        <w:tc>
          <w:tcPr>
            <w:tcW w:w="7488" w:type="dxa"/>
            <w:shd w:val="clear" w:color="auto" w:fill="D9EAF7"/>
            <w:vAlign w:val="center"/>
          </w:tcPr>
          <w:p w14:paraId="48EC568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Transition term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2DC06012" w14:textId="15C2D54D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b/>
                <w:szCs w:val="20"/>
              </w:rPr>
              <w:t>P value</w:t>
            </w:r>
          </w:p>
        </w:tc>
      </w:tr>
      <w:tr w:rsidR="00EC1F12" w:rsidRPr="00F078D5" w14:paraId="6784F826" w14:textId="77777777" w:rsidTr="00F84D58">
        <w:trPr>
          <w:jc w:val="center"/>
        </w:trPr>
        <w:tc>
          <w:tcPr>
            <w:tcW w:w="74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D4713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No obesity → preclinical obesity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C8DB4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0.400</w:t>
            </w:r>
          </w:p>
        </w:tc>
      </w:tr>
      <w:tr w:rsidR="00EC1F12" w:rsidRPr="00F078D5" w14:paraId="32119A7D" w14:textId="77777777" w:rsidTr="00F84D58">
        <w:trPr>
          <w:jc w:val="center"/>
        </w:trPr>
        <w:tc>
          <w:tcPr>
            <w:tcW w:w="74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0A7C3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No obesity → clinical obesity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0DB8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0.310</w:t>
            </w:r>
          </w:p>
        </w:tc>
      </w:tr>
      <w:tr w:rsidR="00EC1F12" w:rsidRPr="00F078D5" w14:paraId="69FB50D0" w14:textId="77777777" w:rsidTr="00F84D58">
        <w:trPr>
          <w:jc w:val="center"/>
        </w:trPr>
        <w:tc>
          <w:tcPr>
            <w:tcW w:w="74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070D8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Preclinical obesity → no obesity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5FA97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0.570</w:t>
            </w:r>
          </w:p>
        </w:tc>
      </w:tr>
      <w:tr w:rsidR="00EC1F12" w:rsidRPr="00F078D5" w14:paraId="001C063C" w14:textId="77777777" w:rsidTr="00F84D58">
        <w:trPr>
          <w:jc w:val="center"/>
        </w:trPr>
        <w:tc>
          <w:tcPr>
            <w:tcW w:w="74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83339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Persistent preclinical obesity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1EE9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1.000</w:t>
            </w:r>
          </w:p>
        </w:tc>
      </w:tr>
      <w:tr w:rsidR="00EC1F12" w:rsidRPr="00F078D5" w14:paraId="43E3E667" w14:textId="77777777" w:rsidTr="00F84D58">
        <w:trPr>
          <w:jc w:val="center"/>
        </w:trPr>
        <w:tc>
          <w:tcPr>
            <w:tcW w:w="74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7CF63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Preclinical obesity → clinical obesity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BED85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0.980</w:t>
            </w:r>
          </w:p>
        </w:tc>
      </w:tr>
      <w:tr w:rsidR="00EC1F12" w:rsidRPr="00F078D5" w14:paraId="0C5DCF94" w14:textId="77777777" w:rsidTr="00F84D58">
        <w:trPr>
          <w:jc w:val="center"/>
        </w:trPr>
        <w:tc>
          <w:tcPr>
            <w:tcW w:w="74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AC427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Clinical obesity → no obesity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3D1A0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0.350</w:t>
            </w:r>
          </w:p>
        </w:tc>
      </w:tr>
      <w:tr w:rsidR="00EC1F12" w:rsidRPr="00F078D5" w14:paraId="75790FF6" w14:textId="77777777" w:rsidTr="00F84D58">
        <w:trPr>
          <w:jc w:val="center"/>
        </w:trPr>
        <w:tc>
          <w:tcPr>
            <w:tcW w:w="74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11C30" w14:textId="77777777" w:rsidR="00EC1F12" w:rsidRPr="00F078D5" w:rsidRDefault="00EC1F12" w:rsidP="007C1267">
            <w:pPr>
              <w:wordWrap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Persistent clinical obesity</w:t>
            </w:r>
          </w:p>
        </w:tc>
        <w:tc>
          <w:tcPr>
            <w:tcW w:w="25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3127D" w14:textId="77777777" w:rsidR="00EC1F12" w:rsidRPr="00F078D5" w:rsidRDefault="00EC1F12" w:rsidP="007C1267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078D5">
              <w:rPr>
                <w:rFonts w:ascii="Times New Roman" w:hAnsi="Times New Roman" w:cs="Times New Roman"/>
                <w:szCs w:val="20"/>
              </w:rPr>
              <w:t>0.080</w:t>
            </w:r>
          </w:p>
        </w:tc>
      </w:tr>
    </w:tbl>
    <w:p w14:paraId="26B8D644" w14:textId="77777777" w:rsidR="00B310AD" w:rsidRDefault="00B310AD" w:rsidP="007C1267">
      <w:pPr>
        <w:wordWrap/>
        <w:spacing w:after="0"/>
        <w:rPr>
          <w:rFonts w:ascii="Times New Roman" w:hAnsi="Times New Roman" w:cs="Times New Roman"/>
          <w:szCs w:val="20"/>
        </w:rPr>
      </w:pPr>
      <w:r w:rsidRPr="00B310AD">
        <w:rPr>
          <w:rFonts w:ascii="Times New Roman" w:hAnsi="Times New Roman" w:cs="Times New Roman"/>
          <w:szCs w:val="20"/>
        </w:rPr>
        <w:t>P&lt;0.05 indicates evidence against the proportional-hazards assumption.</w:t>
      </w:r>
    </w:p>
    <w:p w14:paraId="106E9E5A" w14:textId="0EBA937D" w:rsidR="00EC1F12" w:rsidRPr="00F078D5" w:rsidRDefault="005B41F8" w:rsidP="007C1267">
      <w:pPr>
        <w:wordWrap/>
        <w:spacing w:after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Abbreviation: </w:t>
      </w:r>
      <w:r w:rsidRPr="005B41F8">
        <w:rPr>
          <w:rFonts w:ascii="Times New Roman" w:hAnsi="Times New Roman" w:cs="Times New Roman"/>
          <w:szCs w:val="20"/>
        </w:rPr>
        <w:t>PH, proportional hazards.</w:t>
      </w:r>
    </w:p>
    <w:p w14:paraId="34D42095" w14:textId="77777777" w:rsidR="001C68FE" w:rsidRPr="00F078D5" w:rsidRDefault="001C68FE" w:rsidP="007C1267">
      <w:pPr>
        <w:widowControl/>
        <w:wordWrap/>
        <w:autoSpaceDE/>
        <w:autoSpaceDN/>
        <w:spacing w:after="0"/>
        <w:rPr>
          <w:rFonts w:ascii="Times New Roman" w:hAnsi="Times New Roman" w:cs="Times New Roman"/>
          <w:b/>
          <w:szCs w:val="20"/>
        </w:rPr>
      </w:pPr>
    </w:p>
    <w:p w14:paraId="1897744D" w14:textId="2DFFE9AF" w:rsidR="00810837" w:rsidRPr="00F078D5" w:rsidRDefault="00810837" w:rsidP="007C1267">
      <w:pPr>
        <w:widowControl/>
        <w:wordWrap/>
        <w:autoSpaceDE/>
        <w:autoSpaceDN/>
        <w:spacing w:after="0"/>
        <w:rPr>
          <w:rFonts w:ascii="Times New Roman" w:eastAsia="Times New Roman Uni" w:hAnsi="Times New Roman" w:cs="Times New Roman"/>
          <w:color w:val="000000"/>
          <w:szCs w:val="20"/>
        </w:rPr>
      </w:pPr>
    </w:p>
    <w:sectPr w:rsidR="00810837" w:rsidRPr="00F078D5" w:rsidSect="0033056D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B263C" w14:textId="77777777" w:rsidR="00BF337D" w:rsidRDefault="00BF337D" w:rsidP="004879B4">
      <w:pPr>
        <w:spacing w:after="0" w:line="240" w:lineRule="auto"/>
      </w:pPr>
      <w:r>
        <w:separator/>
      </w:r>
    </w:p>
  </w:endnote>
  <w:endnote w:type="continuationSeparator" w:id="0">
    <w:p w14:paraId="7C96DEF5" w14:textId="77777777" w:rsidR="00BF337D" w:rsidRDefault="00BF337D" w:rsidP="00487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 Uni">
    <w:panose1 w:val="02020603050405020304"/>
    <w:charset w:val="81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1F157" w14:textId="77777777" w:rsidR="00BF337D" w:rsidRDefault="00BF337D" w:rsidP="004879B4">
      <w:pPr>
        <w:spacing w:after="0" w:line="240" w:lineRule="auto"/>
      </w:pPr>
      <w:r>
        <w:separator/>
      </w:r>
    </w:p>
  </w:footnote>
  <w:footnote w:type="continuationSeparator" w:id="0">
    <w:p w14:paraId="1420CEF5" w14:textId="77777777" w:rsidR="00BF337D" w:rsidRDefault="00BF337D" w:rsidP="00487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7297"/>
    <w:multiLevelType w:val="multilevel"/>
    <w:tmpl w:val="B52A9EC8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1440"/>
      </w:pPr>
      <w:rPr>
        <w:rFonts w:hint="default"/>
      </w:rPr>
    </w:lvl>
  </w:abstractNum>
  <w:abstractNum w:abstractNumId="1" w15:restartNumberingAfterBreak="0">
    <w:nsid w:val="532C01B2"/>
    <w:multiLevelType w:val="hybridMultilevel"/>
    <w:tmpl w:val="86282960"/>
    <w:lvl w:ilvl="0" w:tplc="52702BAA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5112F33"/>
    <w:multiLevelType w:val="hybridMultilevel"/>
    <w:tmpl w:val="4CD89086"/>
    <w:lvl w:ilvl="0" w:tplc="765AEA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5A2799"/>
    <w:multiLevelType w:val="hybridMultilevel"/>
    <w:tmpl w:val="1E68048C"/>
    <w:lvl w:ilvl="0" w:tplc="FBC0ADF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8426EB3"/>
    <w:multiLevelType w:val="multilevel"/>
    <w:tmpl w:val="4C0E0CBC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1440"/>
      </w:pPr>
      <w:rPr>
        <w:rFonts w:hint="default"/>
      </w:rPr>
    </w:lvl>
  </w:abstractNum>
  <w:abstractNum w:abstractNumId="5" w15:restartNumberingAfterBreak="0">
    <w:nsid w:val="7A3C29C6"/>
    <w:multiLevelType w:val="hybridMultilevel"/>
    <w:tmpl w:val="947E148A"/>
    <w:lvl w:ilvl="0" w:tplc="C99CF23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92511947">
    <w:abstractNumId w:val="2"/>
  </w:num>
  <w:num w:numId="2" w16cid:durableId="578297853">
    <w:abstractNumId w:val="3"/>
  </w:num>
  <w:num w:numId="3" w16cid:durableId="452941944">
    <w:abstractNumId w:val="5"/>
  </w:num>
  <w:num w:numId="4" w16cid:durableId="1780829443">
    <w:abstractNumId w:val="1"/>
  </w:num>
  <w:num w:numId="5" w16cid:durableId="1987081510">
    <w:abstractNumId w:val="0"/>
  </w:num>
  <w:num w:numId="6" w16cid:durableId="19877793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75435C"/>
    <w:rsid w:val="000069E5"/>
    <w:rsid w:val="00007B46"/>
    <w:rsid w:val="0001108D"/>
    <w:rsid w:val="000115EF"/>
    <w:rsid w:val="00011685"/>
    <w:rsid w:val="00011A74"/>
    <w:rsid w:val="00012186"/>
    <w:rsid w:val="00012604"/>
    <w:rsid w:val="00013CBB"/>
    <w:rsid w:val="00013E2C"/>
    <w:rsid w:val="00020ED9"/>
    <w:rsid w:val="00021ED6"/>
    <w:rsid w:val="00023390"/>
    <w:rsid w:val="00023611"/>
    <w:rsid w:val="0002481A"/>
    <w:rsid w:val="000249C0"/>
    <w:rsid w:val="000265CA"/>
    <w:rsid w:val="00026CF0"/>
    <w:rsid w:val="00026DF6"/>
    <w:rsid w:val="0002730C"/>
    <w:rsid w:val="000273B4"/>
    <w:rsid w:val="00027CE6"/>
    <w:rsid w:val="00032C7A"/>
    <w:rsid w:val="00033DF5"/>
    <w:rsid w:val="000347AD"/>
    <w:rsid w:val="00036616"/>
    <w:rsid w:val="00037A1A"/>
    <w:rsid w:val="00040C42"/>
    <w:rsid w:val="00041082"/>
    <w:rsid w:val="00041E2F"/>
    <w:rsid w:val="000427DC"/>
    <w:rsid w:val="000439FF"/>
    <w:rsid w:val="00045427"/>
    <w:rsid w:val="000457D3"/>
    <w:rsid w:val="000502F3"/>
    <w:rsid w:val="00050C8B"/>
    <w:rsid w:val="000514A3"/>
    <w:rsid w:val="00052427"/>
    <w:rsid w:val="00052C3F"/>
    <w:rsid w:val="00052DA3"/>
    <w:rsid w:val="00053230"/>
    <w:rsid w:val="00053E0F"/>
    <w:rsid w:val="00054053"/>
    <w:rsid w:val="000543D3"/>
    <w:rsid w:val="00054582"/>
    <w:rsid w:val="00055F5D"/>
    <w:rsid w:val="000563D7"/>
    <w:rsid w:val="00056FDA"/>
    <w:rsid w:val="00060444"/>
    <w:rsid w:val="000622CC"/>
    <w:rsid w:val="00062360"/>
    <w:rsid w:val="00062961"/>
    <w:rsid w:val="0006364A"/>
    <w:rsid w:val="00063F42"/>
    <w:rsid w:val="000640B7"/>
    <w:rsid w:val="00064798"/>
    <w:rsid w:val="00064DEF"/>
    <w:rsid w:val="00065DD2"/>
    <w:rsid w:val="00066049"/>
    <w:rsid w:val="00066BD7"/>
    <w:rsid w:val="00067755"/>
    <w:rsid w:val="00067B13"/>
    <w:rsid w:val="00067F75"/>
    <w:rsid w:val="0007035A"/>
    <w:rsid w:val="00071937"/>
    <w:rsid w:val="000720CF"/>
    <w:rsid w:val="00073782"/>
    <w:rsid w:val="00073FDA"/>
    <w:rsid w:val="00075E24"/>
    <w:rsid w:val="0007783F"/>
    <w:rsid w:val="000802F6"/>
    <w:rsid w:val="00080B8A"/>
    <w:rsid w:val="00080B99"/>
    <w:rsid w:val="00081999"/>
    <w:rsid w:val="00081D01"/>
    <w:rsid w:val="000833C0"/>
    <w:rsid w:val="000834B9"/>
    <w:rsid w:val="00084415"/>
    <w:rsid w:val="00085997"/>
    <w:rsid w:val="00086530"/>
    <w:rsid w:val="00090DE9"/>
    <w:rsid w:val="00091345"/>
    <w:rsid w:val="00091D49"/>
    <w:rsid w:val="00091ED9"/>
    <w:rsid w:val="00094FA2"/>
    <w:rsid w:val="000960E9"/>
    <w:rsid w:val="00096A62"/>
    <w:rsid w:val="000A2F25"/>
    <w:rsid w:val="000A30B8"/>
    <w:rsid w:val="000A42C9"/>
    <w:rsid w:val="000A5145"/>
    <w:rsid w:val="000A5627"/>
    <w:rsid w:val="000A5A38"/>
    <w:rsid w:val="000B2A9A"/>
    <w:rsid w:val="000B43BB"/>
    <w:rsid w:val="000B4E56"/>
    <w:rsid w:val="000B513C"/>
    <w:rsid w:val="000B5BF4"/>
    <w:rsid w:val="000B6026"/>
    <w:rsid w:val="000B6641"/>
    <w:rsid w:val="000B6B52"/>
    <w:rsid w:val="000B72F7"/>
    <w:rsid w:val="000C07C5"/>
    <w:rsid w:val="000C2B76"/>
    <w:rsid w:val="000C2FF8"/>
    <w:rsid w:val="000C4640"/>
    <w:rsid w:val="000C46DE"/>
    <w:rsid w:val="000C54D9"/>
    <w:rsid w:val="000C66AB"/>
    <w:rsid w:val="000D11E6"/>
    <w:rsid w:val="000D1210"/>
    <w:rsid w:val="000D1759"/>
    <w:rsid w:val="000D1C81"/>
    <w:rsid w:val="000D1F64"/>
    <w:rsid w:val="000D3C19"/>
    <w:rsid w:val="000D3F23"/>
    <w:rsid w:val="000D6199"/>
    <w:rsid w:val="000E0527"/>
    <w:rsid w:val="000E2869"/>
    <w:rsid w:val="000E4DAF"/>
    <w:rsid w:val="000E50F9"/>
    <w:rsid w:val="000E5B2C"/>
    <w:rsid w:val="000E5C51"/>
    <w:rsid w:val="000E6AA6"/>
    <w:rsid w:val="000E7229"/>
    <w:rsid w:val="000F1CAA"/>
    <w:rsid w:val="000F234E"/>
    <w:rsid w:val="000F2C3B"/>
    <w:rsid w:val="000F40D2"/>
    <w:rsid w:val="000F4495"/>
    <w:rsid w:val="000F5836"/>
    <w:rsid w:val="000F5CEA"/>
    <w:rsid w:val="000F6A83"/>
    <w:rsid w:val="000F7B7D"/>
    <w:rsid w:val="00100BAC"/>
    <w:rsid w:val="00101A72"/>
    <w:rsid w:val="0010312F"/>
    <w:rsid w:val="00106C85"/>
    <w:rsid w:val="00107A29"/>
    <w:rsid w:val="00111121"/>
    <w:rsid w:val="0011148A"/>
    <w:rsid w:val="00111DCC"/>
    <w:rsid w:val="001126C0"/>
    <w:rsid w:val="001137A2"/>
    <w:rsid w:val="00115413"/>
    <w:rsid w:val="00115F24"/>
    <w:rsid w:val="0011665D"/>
    <w:rsid w:val="00121E91"/>
    <w:rsid w:val="00122089"/>
    <w:rsid w:val="00122ACF"/>
    <w:rsid w:val="00123864"/>
    <w:rsid w:val="00123D01"/>
    <w:rsid w:val="0012415A"/>
    <w:rsid w:val="00127BF2"/>
    <w:rsid w:val="00130ED5"/>
    <w:rsid w:val="00130F38"/>
    <w:rsid w:val="00134D98"/>
    <w:rsid w:val="001351CE"/>
    <w:rsid w:val="001352BC"/>
    <w:rsid w:val="00135A0F"/>
    <w:rsid w:val="00135BD4"/>
    <w:rsid w:val="001366FC"/>
    <w:rsid w:val="00140137"/>
    <w:rsid w:val="0014179B"/>
    <w:rsid w:val="00141E62"/>
    <w:rsid w:val="001437B9"/>
    <w:rsid w:val="00144036"/>
    <w:rsid w:val="00144D69"/>
    <w:rsid w:val="00145263"/>
    <w:rsid w:val="001458E5"/>
    <w:rsid w:val="001500E4"/>
    <w:rsid w:val="00150193"/>
    <w:rsid w:val="0015080B"/>
    <w:rsid w:val="00150AAE"/>
    <w:rsid w:val="001511FD"/>
    <w:rsid w:val="00151320"/>
    <w:rsid w:val="00154627"/>
    <w:rsid w:val="00160289"/>
    <w:rsid w:val="001615DE"/>
    <w:rsid w:val="00161F4B"/>
    <w:rsid w:val="0016239B"/>
    <w:rsid w:val="00162A2C"/>
    <w:rsid w:val="001641A1"/>
    <w:rsid w:val="001643E7"/>
    <w:rsid w:val="00164427"/>
    <w:rsid w:val="00165416"/>
    <w:rsid w:val="001657D2"/>
    <w:rsid w:val="00165B53"/>
    <w:rsid w:val="0016673B"/>
    <w:rsid w:val="0016685A"/>
    <w:rsid w:val="00167F5C"/>
    <w:rsid w:val="00173F4B"/>
    <w:rsid w:val="0017474A"/>
    <w:rsid w:val="00175965"/>
    <w:rsid w:val="00176A6E"/>
    <w:rsid w:val="00176D00"/>
    <w:rsid w:val="00177B86"/>
    <w:rsid w:val="0018171C"/>
    <w:rsid w:val="001823DF"/>
    <w:rsid w:val="00182956"/>
    <w:rsid w:val="00184444"/>
    <w:rsid w:val="00185B57"/>
    <w:rsid w:val="001877BE"/>
    <w:rsid w:val="0019009E"/>
    <w:rsid w:val="0019140D"/>
    <w:rsid w:val="001918FA"/>
    <w:rsid w:val="00191979"/>
    <w:rsid w:val="00191EC5"/>
    <w:rsid w:val="00195FB9"/>
    <w:rsid w:val="00196276"/>
    <w:rsid w:val="0019721F"/>
    <w:rsid w:val="001A0755"/>
    <w:rsid w:val="001A0A50"/>
    <w:rsid w:val="001A3D22"/>
    <w:rsid w:val="001A3E21"/>
    <w:rsid w:val="001A4E19"/>
    <w:rsid w:val="001A550F"/>
    <w:rsid w:val="001B182D"/>
    <w:rsid w:val="001B1DE6"/>
    <w:rsid w:val="001B4592"/>
    <w:rsid w:val="001B6533"/>
    <w:rsid w:val="001B6553"/>
    <w:rsid w:val="001B72BD"/>
    <w:rsid w:val="001C0B73"/>
    <w:rsid w:val="001C0FA1"/>
    <w:rsid w:val="001C0FA2"/>
    <w:rsid w:val="001C53B1"/>
    <w:rsid w:val="001C68FE"/>
    <w:rsid w:val="001C6BB2"/>
    <w:rsid w:val="001D05E5"/>
    <w:rsid w:val="001D0D7F"/>
    <w:rsid w:val="001D1AF0"/>
    <w:rsid w:val="001D2483"/>
    <w:rsid w:val="001D343D"/>
    <w:rsid w:val="001D52D3"/>
    <w:rsid w:val="001D53BB"/>
    <w:rsid w:val="001D64E7"/>
    <w:rsid w:val="001E0DDE"/>
    <w:rsid w:val="001E2560"/>
    <w:rsid w:val="001E26A5"/>
    <w:rsid w:val="001E34BD"/>
    <w:rsid w:val="001E41B4"/>
    <w:rsid w:val="001E472C"/>
    <w:rsid w:val="001E64BE"/>
    <w:rsid w:val="001E6BAA"/>
    <w:rsid w:val="001E6DC9"/>
    <w:rsid w:val="001E79AD"/>
    <w:rsid w:val="001E79F6"/>
    <w:rsid w:val="001F0030"/>
    <w:rsid w:val="001F2667"/>
    <w:rsid w:val="001F2985"/>
    <w:rsid w:val="001F2DA4"/>
    <w:rsid w:val="001F5B53"/>
    <w:rsid w:val="001F6DA9"/>
    <w:rsid w:val="001F735F"/>
    <w:rsid w:val="001F756D"/>
    <w:rsid w:val="00200148"/>
    <w:rsid w:val="0020090B"/>
    <w:rsid w:val="00203631"/>
    <w:rsid w:val="002037BD"/>
    <w:rsid w:val="00204B0C"/>
    <w:rsid w:val="0020667E"/>
    <w:rsid w:val="00207848"/>
    <w:rsid w:val="00212486"/>
    <w:rsid w:val="00212971"/>
    <w:rsid w:val="00212F55"/>
    <w:rsid w:val="002145DC"/>
    <w:rsid w:val="002147E1"/>
    <w:rsid w:val="0021527F"/>
    <w:rsid w:val="00216011"/>
    <w:rsid w:val="0022069F"/>
    <w:rsid w:val="0022185B"/>
    <w:rsid w:val="00222914"/>
    <w:rsid w:val="00222B54"/>
    <w:rsid w:val="00225766"/>
    <w:rsid w:val="00225E7A"/>
    <w:rsid w:val="00225ED9"/>
    <w:rsid w:val="00226E5E"/>
    <w:rsid w:val="00227E7C"/>
    <w:rsid w:val="002306D2"/>
    <w:rsid w:val="00231528"/>
    <w:rsid w:val="00233EF1"/>
    <w:rsid w:val="00234D25"/>
    <w:rsid w:val="00237092"/>
    <w:rsid w:val="00240D60"/>
    <w:rsid w:val="00242F84"/>
    <w:rsid w:val="00243E55"/>
    <w:rsid w:val="00246624"/>
    <w:rsid w:val="00246DFF"/>
    <w:rsid w:val="0025091E"/>
    <w:rsid w:val="00250B49"/>
    <w:rsid w:val="0025188A"/>
    <w:rsid w:val="00251D71"/>
    <w:rsid w:val="00252ECE"/>
    <w:rsid w:val="00253FA4"/>
    <w:rsid w:val="00254058"/>
    <w:rsid w:val="002542EE"/>
    <w:rsid w:val="00254A58"/>
    <w:rsid w:val="00254D6F"/>
    <w:rsid w:val="00254E9C"/>
    <w:rsid w:val="0025619F"/>
    <w:rsid w:val="00256A84"/>
    <w:rsid w:val="00256EE2"/>
    <w:rsid w:val="002601E7"/>
    <w:rsid w:val="002611C2"/>
    <w:rsid w:val="002614FB"/>
    <w:rsid w:val="0026161D"/>
    <w:rsid w:val="00266217"/>
    <w:rsid w:val="00266E81"/>
    <w:rsid w:val="00267DB1"/>
    <w:rsid w:val="00270FB8"/>
    <w:rsid w:val="00272D6D"/>
    <w:rsid w:val="00272DB6"/>
    <w:rsid w:val="0027323E"/>
    <w:rsid w:val="00275EAA"/>
    <w:rsid w:val="00277679"/>
    <w:rsid w:val="002803CB"/>
    <w:rsid w:val="00280CEC"/>
    <w:rsid w:val="00280E43"/>
    <w:rsid w:val="0028104D"/>
    <w:rsid w:val="00281AF4"/>
    <w:rsid w:val="0028202B"/>
    <w:rsid w:val="002831CE"/>
    <w:rsid w:val="0028375C"/>
    <w:rsid w:val="00286440"/>
    <w:rsid w:val="0028654D"/>
    <w:rsid w:val="00287970"/>
    <w:rsid w:val="00291A62"/>
    <w:rsid w:val="00292588"/>
    <w:rsid w:val="00296A95"/>
    <w:rsid w:val="002A015B"/>
    <w:rsid w:val="002A0BB9"/>
    <w:rsid w:val="002A2439"/>
    <w:rsid w:val="002A2663"/>
    <w:rsid w:val="002A29A8"/>
    <w:rsid w:val="002A7329"/>
    <w:rsid w:val="002B0442"/>
    <w:rsid w:val="002B09B7"/>
    <w:rsid w:val="002B09FC"/>
    <w:rsid w:val="002B151E"/>
    <w:rsid w:val="002B4F41"/>
    <w:rsid w:val="002B51DA"/>
    <w:rsid w:val="002B5B39"/>
    <w:rsid w:val="002B6F2C"/>
    <w:rsid w:val="002B757D"/>
    <w:rsid w:val="002C0ED2"/>
    <w:rsid w:val="002C1629"/>
    <w:rsid w:val="002C30F0"/>
    <w:rsid w:val="002C3768"/>
    <w:rsid w:val="002C4D0D"/>
    <w:rsid w:val="002C5BF8"/>
    <w:rsid w:val="002C6B88"/>
    <w:rsid w:val="002D00AC"/>
    <w:rsid w:val="002D245D"/>
    <w:rsid w:val="002D2D85"/>
    <w:rsid w:val="002D3357"/>
    <w:rsid w:val="002D47D2"/>
    <w:rsid w:val="002D5371"/>
    <w:rsid w:val="002D6359"/>
    <w:rsid w:val="002D6509"/>
    <w:rsid w:val="002D6F6E"/>
    <w:rsid w:val="002D7E47"/>
    <w:rsid w:val="002E538F"/>
    <w:rsid w:val="002E7094"/>
    <w:rsid w:val="002E771D"/>
    <w:rsid w:val="002F02B7"/>
    <w:rsid w:val="002F0A85"/>
    <w:rsid w:val="002F462E"/>
    <w:rsid w:val="002F506B"/>
    <w:rsid w:val="002F5785"/>
    <w:rsid w:val="002F5F81"/>
    <w:rsid w:val="002F7047"/>
    <w:rsid w:val="003003A5"/>
    <w:rsid w:val="003003E6"/>
    <w:rsid w:val="003014F9"/>
    <w:rsid w:val="00301CC4"/>
    <w:rsid w:val="00301DD3"/>
    <w:rsid w:val="00304B05"/>
    <w:rsid w:val="0030673F"/>
    <w:rsid w:val="00306EC4"/>
    <w:rsid w:val="00306FA9"/>
    <w:rsid w:val="00307ABF"/>
    <w:rsid w:val="00307F22"/>
    <w:rsid w:val="003100BD"/>
    <w:rsid w:val="003169A0"/>
    <w:rsid w:val="00320C45"/>
    <w:rsid w:val="003211EF"/>
    <w:rsid w:val="00321B64"/>
    <w:rsid w:val="0032551E"/>
    <w:rsid w:val="0033056D"/>
    <w:rsid w:val="003313DB"/>
    <w:rsid w:val="00331A4D"/>
    <w:rsid w:val="00331B48"/>
    <w:rsid w:val="00333A05"/>
    <w:rsid w:val="00333DEF"/>
    <w:rsid w:val="00333FAB"/>
    <w:rsid w:val="00334697"/>
    <w:rsid w:val="00334FA4"/>
    <w:rsid w:val="003352E5"/>
    <w:rsid w:val="00337A55"/>
    <w:rsid w:val="00337EA6"/>
    <w:rsid w:val="0034056F"/>
    <w:rsid w:val="00340B5C"/>
    <w:rsid w:val="00342379"/>
    <w:rsid w:val="00343199"/>
    <w:rsid w:val="0034426D"/>
    <w:rsid w:val="00344D72"/>
    <w:rsid w:val="003474B2"/>
    <w:rsid w:val="003503F6"/>
    <w:rsid w:val="00350A1C"/>
    <w:rsid w:val="00351151"/>
    <w:rsid w:val="003513C8"/>
    <w:rsid w:val="00351DEC"/>
    <w:rsid w:val="00353473"/>
    <w:rsid w:val="003550BB"/>
    <w:rsid w:val="003560E1"/>
    <w:rsid w:val="00362150"/>
    <w:rsid w:val="00364160"/>
    <w:rsid w:val="00364A25"/>
    <w:rsid w:val="00366A33"/>
    <w:rsid w:val="00372ED4"/>
    <w:rsid w:val="00374804"/>
    <w:rsid w:val="00374A1D"/>
    <w:rsid w:val="00374BA5"/>
    <w:rsid w:val="0037571A"/>
    <w:rsid w:val="00375D90"/>
    <w:rsid w:val="00375F26"/>
    <w:rsid w:val="00377AA4"/>
    <w:rsid w:val="00380436"/>
    <w:rsid w:val="00382092"/>
    <w:rsid w:val="0038341B"/>
    <w:rsid w:val="00383EB3"/>
    <w:rsid w:val="003844A5"/>
    <w:rsid w:val="003858D8"/>
    <w:rsid w:val="003861F3"/>
    <w:rsid w:val="00386D51"/>
    <w:rsid w:val="00387995"/>
    <w:rsid w:val="00391B24"/>
    <w:rsid w:val="00391DCE"/>
    <w:rsid w:val="00396204"/>
    <w:rsid w:val="003969B3"/>
    <w:rsid w:val="003A04C0"/>
    <w:rsid w:val="003A2E19"/>
    <w:rsid w:val="003A4BA1"/>
    <w:rsid w:val="003A5095"/>
    <w:rsid w:val="003A6ABF"/>
    <w:rsid w:val="003A6E25"/>
    <w:rsid w:val="003A718D"/>
    <w:rsid w:val="003B23A7"/>
    <w:rsid w:val="003B2B73"/>
    <w:rsid w:val="003B58F1"/>
    <w:rsid w:val="003B5D31"/>
    <w:rsid w:val="003B73F1"/>
    <w:rsid w:val="003B7FE1"/>
    <w:rsid w:val="003C54C0"/>
    <w:rsid w:val="003C634B"/>
    <w:rsid w:val="003D37FA"/>
    <w:rsid w:val="003D4EC0"/>
    <w:rsid w:val="003D562C"/>
    <w:rsid w:val="003D78EB"/>
    <w:rsid w:val="003E16FF"/>
    <w:rsid w:val="003E17F1"/>
    <w:rsid w:val="003E2432"/>
    <w:rsid w:val="003E3D3F"/>
    <w:rsid w:val="003E5A19"/>
    <w:rsid w:val="003E5DB8"/>
    <w:rsid w:val="003E6B36"/>
    <w:rsid w:val="003E6EB4"/>
    <w:rsid w:val="003E75A1"/>
    <w:rsid w:val="003F06AC"/>
    <w:rsid w:val="003F104E"/>
    <w:rsid w:val="00400880"/>
    <w:rsid w:val="004012F2"/>
    <w:rsid w:val="00402A06"/>
    <w:rsid w:val="00404DFE"/>
    <w:rsid w:val="00410424"/>
    <w:rsid w:val="00410AF6"/>
    <w:rsid w:val="00411608"/>
    <w:rsid w:val="0041210F"/>
    <w:rsid w:val="00412240"/>
    <w:rsid w:val="0041249A"/>
    <w:rsid w:val="004130F1"/>
    <w:rsid w:val="004150A3"/>
    <w:rsid w:val="00416F7B"/>
    <w:rsid w:val="00417082"/>
    <w:rsid w:val="00417952"/>
    <w:rsid w:val="00417DC3"/>
    <w:rsid w:val="00417FCA"/>
    <w:rsid w:val="00420666"/>
    <w:rsid w:val="0042369A"/>
    <w:rsid w:val="00425C31"/>
    <w:rsid w:val="00426735"/>
    <w:rsid w:val="00427459"/>
    <w:rsid w:val="00430391"/>
    <w:rsid w:val="0043069B"/>
    <w:rsid w:val="0043158E"/>
    <w:rsid w:val="00431AE8"/>
    <w:rsid w:val="00431B8B"/>
    <w:rsid w:val="00431D7B"/>
    <w:rsid w:val="00431E3B"/>
    <w:rsid w:val="00433B92"/>
    <w:rsid w:val="00434038"/>
    <w:rsid w:val="00436624"/>
    <w:rsid w:val="004368F2"/>
    <w:rsid w:val="00443A3B"/>
    <w:rsid w:val="00446B92"/>
    <w:rsid w:val="004517FF"/>
    <w:rsid w:val="00453747"/>
    <w:rsid w:val="00453FBF"/>
    <w:rsid w:val="00456A50"/>
    <w:rsid w:val="00457156"/>
    <w:rsid w:val="00460373"/>
    <w:rsid w:val="00460A3E"/>
    <w:rsid w:val="00460D84"/>
    <w:rsid w:val="00460DCD"/>
    <w:rsid w:val="004626C7"/>
    <w:rsid w:val="00462DB2"/>
    <w:rsid w:val="00464219"/>
    <w:rsid w:val="00465984"/>
    <w:rsid w:val="00465F28"/>
    <w:rsid w:val="00467F1B"/>
    <w:rsid w:val="004704CB"/>
    <w:rsid w:val="00470B55"/>
    <w:rsid w:val="00471165"/>
    <w:rsid w:val="0047354A"/>
    <w:rsid w:val="00473769"/>
    <w:rsid w:val="00474F15"/>
    <w:rsid w:val="004757C8"/>
    <w:rsid w:val="00476029"/>
    <w:rsid w:val="0047618B"/>
    <w:rsid w:val="00477EE0"/>
    <w:rsid w:val="00484B62"/>
    <w:rsid w:val="004879B4"/>
    <w:rsid w:val="00492014"/>
    <w:rsid w:val="0049456B"/>
    <w:rsid w:val="00495B2C"/>
    <w:rsid w:val="004A1F04"/>
    <w:rsid w:val="004A2ECD"/>
    <w:rsid w:val="004A453F"/>
    <w:rsid w:val="004A7FDE"/>
    <w:rsid w:val="004B158F"/>
    <w:rsid w:val="004B4283"/>
    <w:rsid w:val="004B43C3"/>
    <w:rsid w:val="004B4F70"/>
    <w:rsid w:val="004B55AC"/>
    <w:rsid w:val="004B593D"/>
    <w:rsid w:val="004B6272"/>
    <w:rsid w:val="004B6562"/>
    <w:rsid w:val="004B6A5A"/>
    <w:rsid w:val="004B7A22"/>
    <w:rsid w:val="004B7C8C"/>
    <w:rsid w:val="004C0292"/>
    <w:rsid w:val="004C09B4"/>
    <w:rsid w:val="004C1494"/>
    <w:rsid w:val="004C1D08"/>
    <w:rsid w:val="004C35BE"/>
    <w:rsid w:val="004C48C3"/>
    <w:rsid w:val="004C7679"/>
    <w:rsid w:val="004D0392"/>
    <w:rsid w:val="004D2CB9"/>
    <w:rsid w:val="004D3B95"/>
    <w:rsid w:val="004D49D2"/>
    <w:rsid w:val="004D558E"/>
    <w:rsid w:val="004E3911"/>
    <w:rsid w:val="004E3A07"/>
    <w:rsid w:val="004E63A6"/>
    <w:rsid w:val="004F0B6D"/>
    <w:rsid w:val="004F1BDB"/>
    <w:rsid w:val="004F26E4"/>
    <w:rsid w:val="004F2F98"/>
    <w:rsid w:val="004F3A35"/>
    <w:rsid w:val="004F452D"/>
    <w:rsid w:val="004F5A25"/>
    <w:rsid w:val="004F7BED"/>
    <w:rsid w:val="005001A0"/>
    <w:rsid w:val="00500DDC"/>
    <w:rsid w:val="00503BB7"/>
    <w:rsid w:val="0050572E"/>
    <w:rsid w:val="00507903"/>
    <w:rsid w:val="005110AD"/>
    <w:rsid w:val="00512A27"/>
    <w:rsid w:val="0051438F"/>
    <w:rsid w:val="00514B73"/>
    <w:rsid w:val="00516F6A"/>
    <w:rsid w:val="00517FA8"/>
    <w:rsid w:val="00520BB4"/>
    <w:rsid w:val="00520E7D"/>
    <w:rsid w:val="00521456"/>
    <w:rsid w:val="005215EE"/>
    <w:rsid w:val="0052183E"/>
    <w:rsid w:val="00521EC5"/>
    <w:rsid w:val="00521FFC"/>
    <w:rsid w:val="00524CFF"/>
    <w:rsid w:val="00527073"/>
    <w:rsid w:val="005305CA"/>
    <w:rsid w:val="005317A6"/>
    <w:rsid w:val="00532387"/>
    <w:rsid w:val="00532DD4"/>
    <w:rsid w:val="00533C4A"/>
    <w:rsid w:val="00533F30"/>
    <w:rsid w:val="00533FD1"/>
    <w:rsid w:val="00534A13"/>
    <w:rsid w:val="00535A38"/>
    <w:rsid w:val="005372A6"/>
    <w:rsid w:val="00542262"/>
    <w:rsid w:val="00542A04"/>
    <w:rsid w:val="00543F14"/>
    <w:rsid w:val="00553976"/>
    <w:rsid w:val="00553AD3"/>
    <w:rsid w:val="00553C1B"/>
    <w:rsid w:val="00554C5E"/>
    <w:rsid w:val="00554C94"/>
    <w:rsid w:val="00555A55"/>
    <w:rsid w:val="00556CD9"/>
    <w:rsid w:val="00556E06"/>
    <w:rsid w:val="00560FD7"/>
    <w:rsid w:val="0056185B"/>
    <w:rsid w:val="00561ED8"/>
    <w:rsid w:val="00562CEA"/>
    <w:rsid w:val="00563208"/>
    <w:rsid w:val="00563CEA"/>
    <w:rsid w:val="0056691B"/>
    <w:rsid w:val="00571410"/>
    <w:rsid w:val="005725F4"/>
    <w:rsid w:val="00573B7C"/>
    <w:rsid w:val="00574125"/>
    <w:rsid w:val="0058026C"/>
    <w:rsid w:val="005803FB"/>
    <w:rsid w:val="005814DE"/>
    <w:rsid w:val="00581E73"/>
    <w:rsid w:val="005822D5"/>
    <w:rsid w:val="0058250A"/>
    <w:rsid w:val="00583381"/>
    <w:rsid w:val="0058340B"/>
    <w:rsid w:val="00584F37"/>
    <w:rsid w:val="00585364"/>
    <w:rsid w:val="00586CE3"/>
    <w:rsid w:val="00587994"/>
    <w:rsid w:val="00591103"/>
    <w:rsid w:val="00591491"/>
    <w:rsid w:val="00592E17"/>
    <w:rsid w:val="0059311E"/>
    <w:rsid w:val="0059465C"/>
    <w:rsid w:val="005953A2"/>
    <w:rsid w:val="005961AE"/>
    <w:rsid w:val="00596767"/>
    <w:rsid w:val="00596899"/>
    <w:rsid w:val="00597092"/>
    <w:rsid w:val="005A171E"/>
    <w:rsid w:val="005A68F4"/>
    <w:rsid w:val="005A6B76"/>
    <w:rsid w:val="005A6F00"/>
    <w:rsid w:val="005A70A6"/>
    <w:rsid w:val="005B0F21"/>
    <w:rsid w:val="005B2319"/>
    <w:rsid w:val="005B2D2F"/>
    <w:rsid w:val="005B41F8"/>
    <w:rsid w:val="005B4567"/>
    <w:rsid w:val="005B4637"/>
    <w:rsid w:val="005B4D01"/>
    <w:rsid w:val="005B4D7D"/>
    <w:rsid w:val="005C0085"/>
    <w:rsid w:val="005C10EF"/>
    <w:rsid w:val="005C1939"/>
    <w:rsid w:val="005C35AE"/>
    <w:rsid w:val="005C3827"/>
    <w:rsid w:val="005C3BBE"/>
    <w:rsid w:val="005C4F4B"/>
    <w:rsid w:val="005C53E5"/>
    <w:rsid w:val="005C5BFE"/>
    <w:rsid w:val="005C744A"/>
    <w:rsid w:val="005D1AAC"/>
    <w:rsid w:val="005D27C9"/>
    <w:rsid w:val="005D27EC"/>
    <w:rsid w:val="005D4B5C"/>
    <w:rsid w:val="005D5412"/>
    <w:rsid w:val="005D5C16"/>
    <w:rsid w:val="005D6482"/>
    <w:rsid w:val="005D704A"/>
    <w:rsid w:val="005E0ED1"/>
    <w:rsid w:val="005E24F0"/>
    <w:rsid w:val="005E2E72"/>
    <w:rsid w:val="005E2EAB"/>
    <w:rsid w:val="005E2F3D"/>
    <w:rsid w:val="005E3B3F"/>
    <w:rsid w:val="005E3BC4"/>
    <w:rsid w:val="005E3E33"/>
    <w:rsid w:val="005E4171"/>
    <w:rsid w:val="005E4D14"/>
    <w:rsid w:val="005E53EE"/>
    <w:rsid w:val="005E6A91"/>
    <w:rsid w:val="005E75CF"/>
    <w:rsid w:val="005E7F52"/>
    <w:rsid w:val="005F0367"/>
    <w:rsid w:val="005F1B37"/>
    <w:rsid w:val="005F241B"/>
    <w:rsid w:val="005F305F"/>
    <w:rsid w:val="005F3E64"/>
    <w:rsid w:val="00603676"/>
    <w:rsid w:val="00605731"/>
    <w:rsid w:val="0060610A"/>
    <w:rsid w:val="006077A0"/>
    <w:rsid w:val="006110D5"/>
    <w:rsid w:val="00612575"/>
    <w:rsid w:val="00613148"/>
    <w:rsid w:val="00614E40"/>
    <w:rsid w:val="00622565"/>
    <w:rsid w:val="006250F1"/>
    <w:rsid w:val="0062533F"/>
    <w:rsid w:val="006254A7"/>
    <w:rsid w:val="006254F1"/>
    <w:rsid w:val="006257F4"/>
    <w:rsid w:val="00626696"/>
    <w:rsid w:val="00626F72"/>
    <w:rsid w:val="006272A5"/>
    <w:rsid w:val="00627523"/>
    <w:rsid w:val="006303B4"/>
    <w:rsid w:val="00630C40"/>
    <w:rsid w:val="006331E8"/>
    <w:rsid w:val="00633EB4"/>
    <w:rsid w:val="00635415"/>
    <w:rsid w:val="00635AA1"/>
    <w:rsid w:val="00635CDB"/>
    <w:rsid w:val="00640F66"/>
    <w:rsid w:val="00641572"/>
    <w:rsid w:val="0064181A"/>
    <w:rsid w:val="00643334"/>
    <w:rsid w:val="00643E02"/>
    <w:rsid w:val="006459AB"/>
    <w:rsid w:val="00645D73"/>
    <w:rsid w:val="006474A0"/>
    <w:rsid w:val="00650AC9"/>
    <w:rsid w:val="006514B2"/>
    <w:rsid w:val="0065290E"/>
    <w:rsid w:val="00652B63"/>
    <w:rsid w:val="00653AAC"/>
    <w:rsid w:val="00653DAE"/>
    <w:rsid w:val="0065442A"/>
    <w:rsid w:val="00657E05"/>
    <w:rsid w:val="006604A5"/>
    <w:rsid w:val="0066103E"/>
    <w:rsid w:val="0066354B"/>
    <w:rsid w:val="00665712"/>
    <w:rsid w:val="00667DCB"/>
    <w:rsid w:val="006716F2"/>
    <w:rsid w:val="00673B9C"/>
    <w:rsid w:val="00674968"/>
    <w:rsid w:val="00675C4D"/>
    <w:rsid w:val="00676062"/>
    <w:rsid w:val="00676135"/>
    <w:rsid w:val="006824BA"/>
    <w:rsid w:val="00683136"/>
    <w:rsid w:val="006837A2"/>
    <w:rsid w:val="00684CF8"/>
    <w:rsid w:val="00686C39"/>
    <w:rsid w:val="006874CB"/>
    <w:rsid w:val="0068768C"/>
    <w:rsid w:val="00687EF8"/>
    <w:rsid w:val="00692559"/>
    <w:rsid w:val="00692587"/>
    <w:rsid w:val="00693DAB"/>
    <w:rsid w:val="00695F90"/>
    <w:rsid w:val="006A00D4"/>
    <w:rsid w:val="006A03B8"/>
    <w:rsid w:val="006A0BF6"/>
    <w:rsid w:val="006A126E"/>
    <w:rsid w:val="006A202E"/>
    <w:rsid w:val="006A219E"/>
    <w:rsid w:val="006A4834"/>
    <w:rsid w:val="006A4EAF"/>
    <w:rsid w:val="006A5C05"/>
    <w:rsid w:val="006A648E"/>
    <w:rsid w:val="006B016D"/>
    <w:rsid w:val="006B1B29"/>
    <w:rsid w:val="006B4622"/>
    <w:rsid w:val="006B479B"/>
    <w:rsid w:val="006B6227"/>
    <w:rsid w:val="006C0BFB"/>
    <w:rsid w:val="006C3565"/>
    <w:rsid w:val="006C37C2"/>
    <w:rsid w:val="006C4261"/>
    <w:rsid w:val="006C5873"/>
    <w:rsid w:val="006C59A2"/>
    <w:rsid w:val="006C5D8D"/>
    <w:rsid w:val="006C5F0A"/>
    <w:rsid w:val="006C6116"/>
    <w:rsid w:val="006C6FCC"/>
    <w:rsid w:val="006C7AFA"/>
    <w:rsid w:val="006D107C"/>
    <w:rsid w:val="006D2229"/>
    <w:rsid w:val="006D2A31"/>
    <w:rsid w:val="006D2CFA"/>
    <w:rsid w:val="006D2E3E"/>
    <w:rsid w:val="006D30E4"/>
    <w:rsid w:val="006D43FB"/>
    <w:rsid w:val="006D460F"/>
    <w:rsid w:val="006D51C9"/>
    <w:rsid w:val="006D54AD"/>
    <w:rsid w:val="006D552B"/>
    <w:rsid w:val="006E0595"/>
    <w:rsid w:val="006E3AE5"/>
    <w:rsid w:val="006E6E69"/>
    <w:rsid w:val="006E7147"/>
    <w:rsid w:val="006F1BD2"/>
    <w:rsid w:val="006F1C08"/>
    <w:rsid w:val="006F3474"/>
    <w:rsid w:val="006F3F15"/>
    <w:rsid w:val="006F58CC"/>
    <w:rsid w:val="006F6D9C"/>
    <w:rsid w:val="00702C74"/>
    <w:rsid w:val="007031A8"/>
    <w:rsid w:val="00703797"/>
    <w:rsid w:val="0070431F"/>
    <w:rsid w:val="00704A38"/>
    <w:rsid w:val="007050F1"/>
    <w:rsid w:val="007069B9"/>
    <w:rsid w:val="0070708A"/>
    <w:rsid w:val="00707357"/>
    <w:rsid w:val="00711C72"/>
    <w:rsid w:val="007121F3"/>
    <w:rsid w:val="0071293B"/>
    <w:rsid w:val="0071412E"/>
    <w:rsid w:val="0071471E"/>
    <w:rsid w:val="007149B8"/>
    <w:rsid w:val="00714F82"/>
    <w:rsid w:val="007158A6"/>
    <w:rsid w:val="007163BC"/>
    <w:rsid w:val="0071681C"/>
    <w:rsid w:val="00720067"/>
    <w:rsid w:val="00721F2F"/>
    <w:rsid w:val="00722F64"/>
    <w:rsid w:val="00723D88"/>
    <w:rsid w:val="00724458"/>
    <w:rsid w:val="0072538B"/>
    <w:rsid w:val="0072574C"/>
    <w:rsid w:val="00727173"/>
    <w:rsid w:val="0072795F"/>
    <w:rsid w:val="007327F7"/>
    <w:rsid w:val="00732E14"/>
    <w:rsid w:val="007419E7"/>
    <w:rsid w:val="0074257F"/>
    <w:rsid w:val="00743570"/>
    <w:rsid w:val="00743841"/>
    <w:rsid w:val="00744D7A"/>
    <w:rsid w:val="00747776"/>
    <w:rsid w:val="007502A9"/>
    <w:rsid w:val="00751035"/>
    <w:rsid w:val="007514DA"/>
    <w:rsid w:val="0075435C"/>
    <w:rsid w:val="0075544D"/>
    <w:rsid w:val="00755A03"/>
    <w:rsid w:val="00761FFE"/>
    <w:rsid w:val="00764EF8"/>
    <w:rsid w:val="007656B5"/>
    <w:rsid w:val="007663AE"/>
    <w:rsid w:val="0076681B"/>
    <w:rsid w:val="00766A74"/>
    <w:rsid w:val="007673D8"/>
    <w:rsid w:val="00767635"/>
    <w:rsid w:val="00770C45"/>
    <w:rsid w:val="0077107A"/>
    <w:rsid w:val="0077144C"/>
    <w:rsid w:val="007714C2"/>
    <w:rsid w:val="00771583"/>
    <w:rsid w:val="00771EA9"/>
    <w:rsid w:val="00772088"/>
    <w:rsid w:val="007734C5"/>
    <w:rsid w:val="0077538A"/>
    <w:rsid w:val="00775E33"/>
    <w:rsid w:val="00776F6F"/>
    <w:rsid w:val="0077745D"/>
    <w:rsid w:val="00777700"/>
    <w:rsid w:val="00777D25"/>
    <w:rsid w:val="00780E8E"/>
    <w:rsid w:val="007831B9"/>
    <w:rsid w:val="007863BA"/>
    <w:rsid w:val="007919E7"/>
    <w:rsid w:val="00793D8B"/>
    <w:rsid w:val="00793F87"/>
    <w:rsid w:val="00794371"/>
    <w:rsid w:val="00794374"/>
    <w:rsid w:val="00795E68"/>
    <w:rsid w:val="007A234F"/>
    <w:rsid w:val="007A29CA"/>
    <w:rsid w:val="007A306B"/>
    <w:rsid w:val="007A4F98"/>
    <w:rsid w:val="007A5583"/>
    <w:rsid w:val="007B00C7"/>
    <w:rsid w:val="007B0D1A"/>
    <w:rsid w:val="007B2496"/>
    <w:rsid w:val="007B2AB4"/>
    <w:rsid w:val="007B40D7"/>
    <w:rsid w:val="007B4A1E"/>
    <w:rsid w:val="007B4E32"/>
    <w:rsid w:val="007B64C9"/>
    <w:rsid w:val="007B6AC6"/>
    <w:rsid w:val="007B6E5F"/>
    <w:rsid w:val="007B7B1E"/>
    <w:rsid w:val="007C090F"/>
    <w:rsid w:val="007C1267"/>
    <w:rsid w:val="007C1D30"/>
    <w:rsid w:val="007C2E7C"/>
    <w:rsid w:val="007C4477"/>
    <w:rsid w:val="007C4CF6"/>
    <w:rsid w:val="007C591F"/>
    <w:rsid w:val="007C5D89"/>
    <w:rsid w:val="007C6C8B"/>
    <w:rsid w:val="007C7997"/>
    <w:rsid w:val="007C7C4F"/>
    <w:rsid w:val="007D1CCF"/>
    <w:rsid w:val="007D29DC"/>
    <w:rsid w:val="007D479A"/>
    <w:rsid w:val="007D4C4B"/>
    <w:rsid w:val="007D4C7D"/>
    <w:rsid w:val="007D5A72"/>
    <w:rsid w:val="007D5DA3"/>
    <w:rsid w:val="007D69FF"/>
    <w:rsid w:val="007D75E4"/>
    <w:rsid w:val="007D7A00"/>
    <w:rsid w:val="007E2582"/>
    <w:rsid w:val="007E258C"/>
    <w:rsid w:val="007E40C3"/>
    <w:rsid w:val="007E5633"/>
    <w:rsid w:val="007E5B69"/>
    <w:rsid w:val="007E6BC0"/>
    <w:rsid w:val="007E7B72"/>
    <w:rsid w:val="007E7CAB"/>
    <w:rsid w:val="007F04D3"/>
    <w:rsid w:val="007F2581"/>
    <w:rsid w:val="007F32A3"/>
    <w:rsid w:val="007F4840"/>
    <w:rsid w:val="007F4867"/>
    <w:rsid w:val="00800079"/>
    <w:rsid w:val="00802A7D"/>
    <w:rsid w:val="00804557"/>
    <w:rsid w:val="008053B8"/>
    <w:rsid w:val="00805CEF"/>
    <w:rsid w:val="00810837"/>
    <w:rsid w:val="00812BDE"/>
    <w:rsid w:val="00812F47"/>
    <w:rsid w:val="0081315B"/>
    <w:rsid w:val="00814A29"/>
    <w:rsid w:val="008156B8"/>
    <w:rsid w:val="00815BE8"/>
    <w:rsid w:val="00816072"/>
    <w:rsid w:val="00817AD1"/>
    <w:rsid w:val="00820458"/>
    <w:rsid w:val="00821960"/>
    <w:rsid w:val="00822F1D"/>
    <w:rsid w:val="0082383A"/>
    <w:rsid w:val="008245AD"/>
    <w:rsid w:val="008245CE"/>
    <w:rsid w:val="00824ACE"/>
    <w:rsid w:val="00825109"/>
    <w:rsid w:val="00830AD8"/>
    <w:rsid w:val="00831160"/>
    <w:rsid w:val="008311DB"/>
    <w:rsid w:val="00832505"/>
    <w:rsid w:val="0083489D"/>
    <w:rsid w:val="00834C24"/>
    <w:rsid w:val="008357A8"/>
    <w:rsid w:val="00840DDA"/>
    <w:rsid w:val="00840F9A"/>
    <w:rsid w:val="0084281F"/>
    <w:rsid w:val="00844431"/>
    <w:rsid w:val="0084567D"/>
    <w:rsid w:val="008464AE"/>
    <w:rsid w:val="00846B80"/>
    <w:rsid w:val="00846FC6"/>
    <w:rsid w:val="00852F7A"/>
    <w:rsid w:val="00855084"/>
    <w:rsid w:val="008553CE"/>
    <w:rsid w:val="00856265"/>
    <w:rsid w:val="008565A1"/>
    <w:rsid w:val="008579EA"/>
    <w:rsid w:val="0086094F"/>
    <w:rsid w:val="00861EEC"/>
    <w:rsid w:val="00863116"/>
    <w:rsid w:val="008634FA"/>
    <w:rsid w:val="00863B1A"/>
    <w:rsid w:val="00864897"/>
    <w:rsid w:val="008660AC"/>
    <w:rsid w:val="00866711"/>
    <w:rsid w:val="00866980"/>
    <w:rsid w:val="00866BCB"/>
    <w:rsid w:val="00867112"/>
    <w:rsid w:val="00870E07"/>
    <w:rsid w:val="00874409"/>
    <w:rsid w:val="00875CF3"/>
    <w:rsid w:val="008766DB"/>
    <w:rsid w:val="00876731"/>
    <w:rsid w:val="008802E2"/>
    <w:rsid w:val="008806A3"/>
    <w:rsid w:val="00882ECF"/>
    <w:rsid w:val="008834DD"/>
    <w:rsid w:val="00884B05"/>
    <w:rsid w:val="00884F56"/>
    <w:rsid w:val="00885D6B"/>
    <w:rsid w:val="00886A7A"/>
    <w:rsid w:val="00886DD7"/>
    <w:rsid w:val="00890B9A"/>
    <w:rsid w:val="008916FF"/>
    <w:rsid w:val="008936E1"/>
    <w:rsid w:val="00894933"/>
    <w:rsid w:val="00894BD1"/>
    <w:rsid w:val="008A0455"/>
    <w:rsid w:val="008A3198"/>
    <w:rsid w:val="008A3AF6"/>
    <w:rsid w:val="008A4174"/>
    <w:rsid w:val="008A53F8"/>
    <w:rsid w:val="008A60D0"/>
    <w:rsid w:val="008B076B"/>
    <w:rsid w:val="008B17C2"/>
    <w:rsid w:val="008B2996"/>
    <w:rsid w:val="008B31E3"/>
    <w:rsid w:val="008B3790"/>
    <w:rsid w:val="008B391A"/>
    <w:rsid w:val="008B5CA0"/>
    <w:rsid w:val="008B6AA0"/>
    <w:rsid w:val="008B7B38"/>
    <w:rsid w:val="008B7B8E"/>
    <w:rsid w:val="008C03F0"/>
    <w:rsid w:val="008C0C9E"/>
    <w:rsid w:val="008C2064"/>
    <w:rsid w:val="008C24AB"/>
    <w:rsid w:val="008C2D76"/>
    <w:rsid w:val="008C3262"/>
    <w:rsid w:val="008C4D23"/>
    <w:rsid w:val="008C6910"/>
    <w:rsid w:val="008C74A6"/>
    <w:rsid w:val="008D01A4"/>
    <w:rsid w:val="008D1591"/>
    <w:rsid w:val="008D1864"/>
    <w:rsid w:val="008D1877"/>
    <w:rsid w:val="008D5FA4"/>
    <w:rsid w:val="008D6805"/>
    <w:rsid w:val="008E092D"/>
    <w:rsid w:val="008E39D6"/>
    <w:rsid w:val="008E4812"/>
    <w:rsid w:val="008E4C18"/>
    <w:rsid w:val="008E5CAC"/>
    <w:rsid w:val="008E5CFB"/>
    <w:rsid w:val="008E62A3"/>
    <w:rsid w:val="008F1EA5"/>
    <w:rsid w:val="008F1EAE"/>
    <w:rsid w:val="008F4463"/>
    <w:rsid w:val="008F4689"/>
    <w:rsid w:val="008F5902"/>
    <w:rsid w:val="008F6A83"/>
    <w:rsid w:val="0090142D"/>
    <w:rsid w:val="009026FF"/>
    <w:rsid w:val="00902CD1"/>
    <w:rsid w:val="00903367"/>
    <w:rsid w:val="00904031"/>
    <w:rsid w:val="00904419"/>
    <w:rsid w:val="009048EA"/>
    <w:rsid w:val="00906789"/>
    <w:rsid w:val="00907054"/>
    <w:rsid w:val="009130FE"/>
    <w:rsid w:val="00913185"/>
    <w:rsid w:val="0091341A"/>
    <w:rsid w:val="0091456E"/>
    <w:rsid w:val="00915984"/>
    <w:rsid w:val="009162E7"/>
    <w:rsid w:val="00916A23"/>
    <w:rsid w:val="00917B40"/>
    <w:rsid w:val="009208AE"/>
    <w:rsid w:val="0092122C"/>
    <w:rsid w:val="0092206C"/>
    <w:rsid w:val="00922ABC"/>
    <w:rsid w:val="00924345"/>
    <w:rsid w:val="0092465D"/>
    <w:rsid w:val="00925F72"/>
    <w:rsid w:val="009269DB"/>
    <w:rsid w:val="00931089"/>
    <w:rsid w:val="009318B6"/>
    <w:rsid w:val="00931FFA"/>
    <w:rsid w:val="00932297"/>
    <w:rsid w:val="00934D8D"/>
    <w:rsid w:val="00935D24"/>
    <w:rsid w:val="009361AF"/>
    <w:rsid w:val="00936218"/>
    <w:rsid w:val="00936A9A"/>
    <w:rsid w:val="00936F1E"/>
    <w:rsid w:val="00937A52"/>
    <w:rsid w:val="00941022"/>
    <w:rsid w:val="00941AD1"/>
    <w:rsid w:val="00941CA6"/>
    <w:rsid w:val="00944348"/>
    <w:rsid w:val="00945561"/>
    <w:rsid w:val="00945C42"/>
    <w:rsid w:val="0094666B"/>
    <w:rsid w:val="00946A09"/>
    <w:rsid w:val="00946A4B"/>
    <w:rsid w:val="00946BC6"/>
    <w:rsid w:val="00947874"/>
    <w:rsid w:val="009502F3"/>
    <w:rsid w:val="0095051E"/>
    <w:rsid w:val="00952002"/>
    <w:rsid w:val="0095273C"/>
    <w:rsid w:val="00955036"/>
    <w:rsid w:val="00955389"/>
    <w:rsid w:val="0095644C"/>
    <w:rsid w:val="00957CBE"/>
    <w:rsid w:val="00960E24"/>
    <w:rsid w:val="0096112C"/>
    <w:rsid w:val="00961C8E"/>
    <w:rsid w:val="00962DE1"/>
    <w:rsid w:val="00962ED2"/>
    <w:rsid w:val="00962ED6"/>
    <w:rsid w:val="00963C71"/>
    <w:rsid w:val="00963CAE"/>
    <w:rsid w:val="00964627"/>
    <w:rsid w:val="00964F59"/>
    <w:rsid w:val="00967A32"/>
    <w:rsid w:val="00970490"/>
    <w:rsid w:val="0097170E"/>
    <w:rsid w:val="00972A49"/>
    <w:rsid w:val="00973137"/>
    <w:rsid w:val="00973A21"/>
    <w:rsid w:val="00973D9F"/>
    <w:rsid w:val="00975A20"/>
    <w:rsid w:val="009761F1"/>
    <w:rsid w:val="009769C0"/>
    <w:rsid w:val="00976E20"/>
    <w:rsid w:val="009805C9"/>
    <w:rsid w:val="00982715"/>
    <w:rsid w:val="009843F1"/>
    <w:rsid w:val="00984A15"/>
    <w:rsid w:val="00984C3A"/>
    <w:rsid w:val="00985B83"/>
    <w:rsid w:val="00986690"/>
    <w:rsid w:val="00986DBB"/>
    <w:rsid w:val="0099074F"/>
    <w:rsid w:val="00990F8E"/>
    <w:rsid w:val="00992AEF"/>
    <w:rsid w:val="00995518"/>
    <w:rsid w:val="009961B7"/>
    <w:rsid w:val="0099645A"/>
    <w:rsid w:val="009967AB"/>
    <w:rsid w:val="00997E92"/>
    <w:rsid w:val="009A009B"/>
    <w:rsid w:val="009A147D"/>
    <w:rsid w:val="009A2083"/>
    <w:rsid w:val="009A2578"/>
    <w:rsid w:val="009A2D39"/>
    <w:rsid w:val="009A42BB"/>
    <w:rsid w:val="009A5071"/>
    <w:rsid w:val="009A65A1"/>
    <w:rsid w:val="009A755C"/>
    <w:rsid w:val="009B1C20"/>
    <w:rsid w:val="009B354B"/>
    <w:rsid w:val="009B5758"/>
    <w:rsid w:val="009B58C3"/>
    <w:rsid w:val="009B6592"/>
    <w:rsid w:val="009B744B"/>
    <w:rsid w:val="009C03B0"/>
    <w:rsid w:val="009C12D3"/>
    <w:rsid w:val="009C136D"/>
    <w:rsid w:val="009C2591"/>
    <w:rsid w:val="009C2C82"/>
    <w:rsid w:val="009C3460"/>
    <w:rsid w:val="009C401C"/>
    <w:rsid w:val="009C49E2"/>
    <w:rsid w:val="009C5B47"/>
    <w:rsid w:val="009C6AE8"/>
    <w:rsid w:val="009C6F7D"/>
    <w:rsid w:val="009C7331"/>
    <w:rsid w:val="009C7CC5"/>
    <w:rsid w:val="009C7D74"/>
    <w:rsid w:val="009C7E93"/>
    <w:rsid w:val="009D03F9"/>
    <w:rsid w:val="009D139F"/>
    <w:rsid w:val="009D175B"/>
    <w:rsid w:val="009D2E44"/>
    <w:rsid w:val="009D36C8"/>
    <w:rsid w:val="009D4B6A"/>
    <w:rsid w:val="009D5C54"/>
    <w:rsid w:val="009D6881"/>
    <w:rsid w:val="009D6CD2"/>
    <w:rsid w:val="009D73FB"/>
    <w:rsid w:val="009D7F33"/>
    <w:rsid w:val="009E0ED1"/>
    <w:rsid w:val="009E1AF9"/>
    <w:rsid w:val="009E231C"/>
    <w:rsid w:val="009E45F9"/>
    <w:rsid w:val="009E5C62"/>
    <w:rsid w:val="009E5E33"/>
    <w:rsid w:val="009E611A"/>
    <w:rsid w:val="009E686B"/>
    <w:rsid w:val="009F157D"/>
    <w:rsid w:val="009F18E0"/>
    <w:rsid w:val="009F2B8B"/>
    <w:rsid w:val="009F3895"/>
    <w:rsid w:val="009F510F"/>
    <w:rsid w:val="009F52ED"/>
    <w:rsid w:val="009F6F54"/>
    <w:rsid w:val="009F7169"/>
    <w:rsid w:val="009F7F8A"/>
    <w:rsid w:val="00A01F0A"/>
    <w:rsid w:val="00A03256"/>
    <w:rsid w:val="00A065D8"/>
    <w:rsid w:val="00A0738F"/>
    <w:rsid w:val="00A07D27"/>
    <w:rsid w:val="00A136EB"/>
    <w:rsid w:val="00A15113"/>
    <w:rsid w:val="00A15DE8"/>
    <w:rsid w:val="00A16422"/>
    <w:rsid w:val="00A17256"/>
    <w:rsid w:val="00A202CC"/>
    <w:rsid w:val="00A20EEE"/>
    <w:rsid w:val="00A22561"/>
    <w:rsid w:val="00A239F8"/>
    <w:rsid w:val="00A2414C"/>
    <w:rsid w:val="00A246B8"/>
    <w:rsid w:val="00A264EC"/>
    <w:rsid w:val="00A27AE4"/>
    <w:rsid w:val="00A304DD"/>
    <w:rsid w:val="00A308C0"/>
    <w:rsid w:val="00A34AC9"/>
    <w:rsid w:val="00A358C0"/>
    <w:rsid w:val="00A4009A"/>
    <w:rsid w:val="00A41070"/>
    <w:rsid w:val="00A420B0"/>
    <w:rsid w:val="00A42182"/>
    <w:rsid w:val="00A422B1"/>
    <w:rsid w:val="00A42841"/>
    <w:rsid w:val="00A4387F"/>
    <w:rsid w:val="00A43FEC"/>
    <w:rsid w:val="00A446CC"/>
    <w:rsid w:val="00A45B00"/>
    <w:rsid w:val="00A47C6D"/>
    <w:rsid w:val="00A5011D"/>
    <w:rsid w:val="00A50A3A"/>
    <w:rsid w:val="00A520CC"/>
    <w:rsid w:val="00A533C1"/>
    <w:rsid w:val="00A55078"/>
    <w:rsid w:val="00A55B7B"/>
    <w:rsid w:val="00A5709C"/>
    <w:rsid w:val="00A60BC2"/>
    <w:rsid w:val="00A61336"/>
    <w:rsid w:val="00A61976"/>
    <w:rsid w:val="00A6338A"/>
    <w:rsid w:val="00A63FB1"/>
    <w:rsid w:val="00A67277"/>
    <w:rsid w:val="00A70E01"/>
    <w:rsid w:val="00A710C8"/>
    <w:rsid w:val="00A71882"/>
    <w:rsid w:val="00A72A7B"/>
    <w:rsid w:val="00A73B05"/>
    <w:rsid w:val="00A740FF"/>
    <w:rsid w:val="00A743BF"/>
    <w:rsid w:val="00A752A8"/>
    <w:rsid w:val="00A75A0B"/>
    <w:rsid w:val="00A80870"/>
    <w:rsid w:val="00A815C2"/>
    <w:rsid w:val="00A82197"/>
    <w:rsid w:val="00A84EFA"/>
    <w:rsid w:val="00A859E2"/>
    <w:rsid w:val="00A864DA"/>
    <w:rsid w:val="00A903F0"/>
    <w:rsid w:val="00A91573"/>
    <w:rsid w:val="00A92F50"/>
    <w:rsid w:val="00A954EE"/>
    <w:rsid w:val="00A95824"/>
    <w:rsid w:val="00A96160"/>
    <w:rsid w:val="00A9678D"/>
    <w:rsid w:val="00A9752E"/>
    <w:rsid w:val="00A9793D"/>
    <w:rsid w:val="00AA104F"/>
    <w:rsid w:val="00AA25E9"/>
    <w:rsid w:val="00AA2AB9"/>
    <w:rsid w:val="00AA3092"/>
    <w:rsid w:val="00AA332A"/>
    <w:rsid w:val="00AA493E"/>
    <w:rsid w:val="00AA7B25"/>
    <w:rsid w:val="00AB0F29"/>
    <w:rsid w:val="00AB243C"/>
    <w:rsid w:val="00AB2B7E"/>
    <w:rsid w:val="00AB3595"/>
    <w:rsid w:val="00AB4952"/>
    <w:rsid w:val="00AB6F5E"/>
    <w:rsid w:val="00AB7D3C"/>
    <w:rsid w:val="00AC17B0"/>
    <w:rsid w:val="00AC1EE7"/>
    <w:rsid w:val="00AC447D"/>
    <w:rsid w:val="00AC4791"/>
    <w:rsid w:val="00AC545F"/>
    <w:rsid w:val="00AC675A"/>
    <w:rsid w:val="00AD15B8"/>
    <w:rsid w:val="00AD1BFB"/>
    <w:rsid w:val="00AD457B"/>
    <w:rsid w:val="00AD4663"/>
    <w:rsid w:val="00AD47CD"/>
    <w:rsid w:val="00AD4E24"/>
    <w:rsid w:val="00AD56ED"/>
    <w:rsid w:val="00AD5E4D"/>
    <w:rsid w:val="00AD6C13"/>
    <w:rsid w:val="00AD7A9C"/>
    <w:rsid w:val="00AE2FAC"/>
    <w:rsid w:val="00AE4454"/>
    <w:rsid w:val="00AE678D"/>
    <w:rsid w:val="00AE6B63"/>
    <w:rsid w:val="00AE6CB5"/>
    <w:rsid w:val="00AF16B4"/>
    <w:rsid w:val="00AF283B"/>
    <w:rsid w:val="00AF2850"/>
    <w:rsid w:val="00AF2F06"/>
    <w:rsid w:val="00AF7DB4"/>
    <w:rsid w:val="00B0220C"/>
    <w:rsid w:val="00B039D0"/>
    <w:rsid w:val="00B04E0F"/>
    <w:rsid w:val="00B04EED"/>
    <w:rsid w:val="00B05646"/>
    <w:rsid w:val="00B059D2"/>
    <w:rsid w:val="00B07D1A"/>
    <w:rsid w:val="00B1140A"/>
    <w:rsid w:val="00B12C27"/>
    <w:rsid w:val="00B13016"/>
    <w:rsid w:val="00B156DA"/>
    <w:rsid w:val="00B17088"/>
    <w:rsid w:val="00B174ED"/>
    <w:rsid w:val="00B17521"/>
    <w:rsid w:val="00B20728"/>
    <w:rsid w:val="00B21599"/>
    <w:rsid w:val="00B23159"/>
    <w:rsid w:val="00B25638"/>
    <w:rsid w:val="00B2681F"/>
    <w:rsid w:val="00B2716B"/>
    <w:rsid w:val="00B303D9"/>
    <w:rsid w:val="00B310AD"/>
    <w:rsid w:val="00B33717"/>
    <w:rsid w:val="00B33AC6"/>
    <w:rsid w:val="00B35A73"/>
    <w:rsid w:val="00B36248"/>
    <w:rsid w:val="00B3642B"/>
    <w:rsid w:val="00B37307"/>
    <w:rsid w:val="00B3790F"/>
    <w:rsid w:val="00B3796E"/>
    <w:rsid w:val="00B40975"/>
    <w:rsid w:val="00B414F1"/>
    <w:rsid w:val="00B42002"/>
    <w:rsid w:val="00B4380D"/>
    <w:rsid w:val="00B44614"/>
    <w:rsid w:val="00B4583F"/>
    <w:rsid w:val="00B459D3"/>
    <w:rsid w:val="00B45E47"/>
    <w:rsid w:val="00B46B3C"/>
    <w:rsid w:val="00B506CF"/>
    <w:rsid w:val="00B516EC"/>
    <w:rsid w:val="00B52AC6"/>
    <w:rsid w:val="00B52E71"/>
    <w:rsid w:val="00B53ED3"/>
    <w:rsid w:val="00B5420B"/>
    <w:rsid w:val="00B547F4"/>
    <w:rsid w:val="00B54A9F"/>
    <w:rsid w:val="00B551A7"/>
    <w:rsid w:val="00B5565B"/>
    <w:rsid w:val="00B56960"/>
    <w:rsid w:val="00B57A76"/>
    <w:rsid w:val="00B57EC0"/>
    <w:rsid w:val="00B60562"/>
    <w:rsid w:val="00B6281F"/>
    <w:rsid w:val="00B65190"/>
    <w:rsid w:val="00B65373"/>
    <w:rsid w:val="00B659CD"/>
    <w:rsid w:val="00B664A2"/>
    <w:rsid w:val="00B66AE1"/>
    <w:rsid w:val="00B7123F"/>
    <w:rsid w:val="00B719AE"/>
    <w:rsid w:val="00B74ABA"/>
    <w:rsid w:val="00B763E1"/>
    <w:rsid w:val="00B76645"/>
    <w:rsid w:val="00B76B60"/>
    <w:rsid w:val="00B76C1C"/>
    <w:rsid w:val="00B771CF"/>
    <w:rsid w:val="00B806F2"/>
    <w:rsid w:val="00B8146D"/>
    <w:rsid w:val="00B81E80"/>
    <w:rsid w:val="00B830A9"/>
    <w:rsid w:val="00B83632"/>
    <w:rsid w:val="00B851AD"/>
    <w:rsid w:val="00B86680"/>
    <w:rsid w:val="00B875F8"/>
    <w:rsid w:val="00B91048"/>
    <w:rsid w:val="00B924CA"/>
    <w:rsid w:val="00B93566"/>
    <w:rsid w:val="00B95164"/>
    <w:rsid w:val="00B97E48"/>
    <w:rsid w:val="00BA124C"/>
    <w:rsid w:val="00BA19E0"/>
    <w:rsid w:val="00BA1E9E"/>
    <w:rsid w:val="00BA38A4"/>
    <w:rsid w:val="00BA44EF"/>
    <w:rsid w:val="00BA7479"/>
    <w:rsid w:val="00BB13D3"/>
    <w:rsid w:val="00BB17F9"/>
    <w:rsid w:val="00BB190F"/>
    <w:rsid w:val="00BB1F2C"/>
    <w:rsid w:val="00BB33C8"/>
    <w:rsid w:val="00BB3408"/>
    <w:rsid w:val="00BB3584"/>
    <w:rsid w:val="00BB53E4"/>
    <w:rsid w:val="00BB5F71"/>
    <w:rsid w:val="00BB601B"/>
    <w:rsid w:val="00BB707B"/>
    <w:rsid w:val="00BC0174"/>
    <w:rsid w:val="00BC2787"/>
    <w:rsid w:val="00BC4702"/>
    <w:rsid w:val="00BC4CE3"/>
    <w:rsid w:val="00BC56B1"/>
    <w:rsid w:val="00BC66AF"/>
    <w:rsid w:val="00BC6F71"/>
    <w:rsid w:val="00BD1475"/>
    <w:rsid w:val="00BD1ADF"/>
    <w:rsid w:val="00BD2E27"/>
    <w:rsid w:val="00BD3392"/>
    <w:rsid w:val="00BD50FC"/>
    <w:rsid w:val="00BD689C"/>
    <w:rsid w:val="00BD6AE2"/>
    <w:rsid w:val="00BD7F89"/>
    <w:rsid w:val="00BE0765"/>
    <w:rsid w:val="00BE1041"/>
    <w:rsid w:val="00BE1087"/>
    <w:rsid w:val="00BE2637"/>
    <w:rsid w:val="00BE50E8"/>
    <w:rsid w:val="00BE7C8C"/>
    <w:rsid w:val="00BF337D"/>
    <w:rsid w:val="00BF4D3A"/>
    <w:rsid w:val="00BF6BAB"/>
    <w:rsid w:val="00C01129"/>
    <w:rsid w:val="00C0128B"/>
    <w:rsid w:val="00C017FA"/>
    <w:rsid w:val="00C01982"/>
    <w:rsid w:val="00C02C2A"/>
    <w:rsid w:val="00C02CF7"/>
    <w:rsid w:val="00C03B98"/>
    <w:rsid w:val="00C04E92"/>
    <w:rsid w:val="00C04EF4"/>
    <w:rsid w:val="00C05908"/>
    <w:rsid w:val="00C0606E"/>
    <w:rsid w:val="00C0762C"/>
    <w:rsid w:val="00C10818"/>
    <w:rsid w:val="00C10941"/>
    <w:rsid w:val="00C10FD4"/>
    <w:rsid w:val="00C12FF3"/>
    <w:rsid w:val="00C22813"/>
    <w:rsid w:val="00C242D4"/>
    <w:rsid w:val="00C24BE3"/>
    <w:rsid w:val="00C25416"/>
    <w:rsid w:val="00C2597C"/>
    <w:rsid w:val="00C25A6E"/>
    <w:rsid w:val="00C26E1B"/>
    <w:rsid w:val="00C26E41"/>
    <w:rsid w:val="00C26FC9"/>
    <w:rsid w:val="00C27605"/>
    <w:rsid w:val="00C27B89"/>
    <w:rsid w:val="00C3068F"/>
    <w:rsid w:val="00C30E9B"/>
    <w:rsid w:val="00C3155E"/>
    <w:rsid w:val="00C315A4"/>
    <w:rsid w:val="00C32560"/>
    <w:rsid w:val="00C372D1"/>
    <w:rsid w:val="00C3771C"/>
    <w:rsid w:val="00C426D2"/>
    <w:rsid w:val="00C4332C"/>
    <w:rsid w:val="00C44273"/>
    <w:rsid w:val="00C44483"/>
    <w:rsid w:val="00C44FF4"/>
    <w:rsid w:val="00C453E3"/>
    <w:rsid w:val="00C46BAB"/>
    <w:rsid w:val="00C46EA0"/>
    <w:rsid w:val="00C46EFA"/>
    <w:rsid w:val="00C47D7C"/>
    <w:rsid w:val="00C502DF"/>
    <w:rsid w:val="00C50BA6"/>
    <w:rsid w:val="00C52413"/>
    <w:rsid w:val="00C52D59"/>
    <w:rsid w:val="00C5336E"/>
    <w:rsid w:val="00C55970"/>
    <w:rsid w:val="00C6083B"/>
    <w:rsid w:val="00C60A7C"/>
    <w:rsid w:val="00C610BA"/>
    <w:rsid w:val="00C646EC"/>
    <w:rsid w:val="00C66048"/>
    <w:rsid w:val="00C668B4"/>
    <w:rsid w:val="00C66A39"/>
    <w:rsid w:val="00C66B86"/>
    <w:rsid w:val="00C706B9"/>
    <w:rsid w:val="00C70E53"/>
    <w:rsid w:val="00C717F1"/>
    <w:rsid w:val="00C72068"/>
    <w:rsid w:val="00C724C8"/>
    <w:rsid w:val="00C7278C"/>
    <w:rsid w:val="00C728DE"/>
    <w:rsid w:val="00C73DA4"/>
    <w:rsid w:val="00C74DE2"/>
    <w:rsid w:val="00C7519B"/>
    <w:rsid w:val="00C75DED"/>
    <w:rsid w:val="00C764EF"/>
    <w:rsid w:val="00C8045F"/>
    <w:rsid w:val="00C8071C"/>
    <w:rsid w:val="00C80C97"/>
    <w:rsid w:val="00C82CD3"/>
    <w:rsid w:val="00C8300A"/>
    <w:rsid w:val="00C83E01"/>
    <w:rsid w:val="00C83EBE"/>
    <w:rsid w:val="00C84C45"/>
    <w:rsid w:val="00C85514"/>
    <w:rsid w:val="00C8646B"/>
    <w:rsid w:val="00C903D3"/>
    <w:rsid w:val="00C90592"/>
    <w:rsid w:val="00C92FDD"/>
    <w:rsid w:val="00C94B2F"/>
    <w:rsid w:val="00C9540C"/>
    <w:rsid w:val="00C95D18"/>
    <w:rsid w:val="00C96D97"/>
    <w:rsid w:val="00CA018D"/>
    <w:rsid w:val="00CA2514"/>
    <w:rsid w:val="00CA3A11"/>
    <w:rsid w:val="00CA3F1A"/>
    <w:rsid w:val="00CA40C4"/>
    <w:rsid w:val="00CA65D0"/>
    <w:rsid w:val="00CA70C6"/>
    <w:rsid w:val="00CA7CF9"/>
    <w:rsid w:val="00CB29A4"/>
    <w:rsid w:val="00CB3527"/>
    <w:rsid w:val="00CB44FF"/>
    <w:rsid w:val="00CB7EC7"/>
    <w:rsid w:val="00CC064D"/>
    <w:rsid w:val="00CC1E6E"/>
    <w:rsid w:val="00CC2A73"/>
    <w:rsid w:val="00CC355E"/>
    <w:rsid w:val="00CC5495"/>
    <w:rsid w:val="00CC61C4"/>
    <w:rsid w:val="00CC7CF3"/>
    <w:rsid w:val="00CD0E21"/>
    <w:rsid w:val="00CD1A0F"/>
    <w:rsid w:val="00CD2890"/>
    <w:rsid w:val="00CD2B9D"/>
    <w:rsid w:val="00CD4C14"/>
    <w:rsid w:val="00CD4C61"/>
    <w:rsid w:val="00CD57E2"/>
    <w:rsid w:val="00CE05D2"/>
    <w:rsid w:val="00CE0608"/>
    <w:rsid w:val="00CE38B9"/>
    <w:rsid w:val="00CE4438"/>
    <w:rsid w:val="00CE5180"/>
    <w:rsid w:val="00CE7313"/>
    <w:rsid w:val="00CF0099"/>
    <w:rsid w:val="00CF06C2"/>
    <w:rsid w:val="00CF1048"/>
    <w:rsid w:val="00CF244B"/>
    <w:rsid w:val="00CF33FE"/>
    <w:rsid w:val="00CF40B5"/>
    <w:rsid w:val="00CF4E03"/>
    <w:rsid w:val="00CF7247"/>
    <w:rsid w:val="00D0041F"/>
    <w:rsid w:val="00D00A31"/>
    <w:rsid w:val="00D0219A"/>
    <w:rsid w:val="00D075C3"/>
    <w:rsid w:val="00D07A44"/>
    <w:rsid w:val="00D12126"/>
    <w:rsid w:val="00D161F7"/>
    <w:rsid w:val="00D207F7"/>
    <w:rsid w:val="00D21041"/>
    <w:rsid w:val="00D219E4"/>
    <w:rsid w:val="00D24E51"/>
    <w:rsid w:val="00D26239"/>
    <w:rsid w:val="00D26D5D"/>
    <w:rsid w:val="00D2759F"/>
    <w:rsid w:val="00D305D4"/>
    <w:rsid w:val="00D30B6E"/>
    <w:rsid w:val="00D30E27"/>
    <w:rsid w:val="00D310D0"/>
    <w:rsid w:val="00D3185D"/>
    <w:rsid w:val="00D31E94"/>
    <w:rsid w:val="00D3219A"/>
    <w:rsid w:val="00D3554D"/>
    <w:rsid w:val="00D374DC"/>
    <w:rsid w:val="00D41231"/>
    <w:rsid w:val="00D422BC"/>
    <w:rsid w:val="00D44C03"/>
    <w:rsid w:val="00D44F8B"/>
    <w:rsid w:val="00D451ED"/>
    <w:rsid w:val="00D465C4"/>
    <w:rsid w:val="00D4693A"/>
    <w:rsid w:val="00D470C7"/>
    <w:rsid w:val="00D47B09"/>
    <w:rsid w:val="00D53BC9"/>
    <w:rsid w:val="00D55D90"/>
    <w:rsid w:val="00D5643F"/>
    <w:rsid w:val="00D600B2"/>
    <w:rsid w:val="00D61330"/>
    <w:rsid w:val="00D6148E"/>
    <w:rsid w:val="00D61932"/>
    <w:rsid w:val="00D61E8B"/>
    <w:rsid w:val="00D64ED5"/>
    <w:rsid w:val="00D650F0"/>
    <w:rsid w:val="00D65D57"/>
    <w:rsid w:val="00D70977"/>
    <w:rsid w:val="00D71021"/>
    <w:rsid w:val="00D73656"/>
    <w:rsid w:val="00D75CB2"/>
    <w:rsid w:val="00D76B84"/>
    <w:rsid w:val="00D81EF2"/>
    <w:rsid w:val="00D83524"/>
    <w:rsid w:val="00D84B6C"/>
    <w:rsid w:val="00D850EF"/>
    <w:rsid w:val="00D856AF"/>
    <w:rsid w:val="00D85C33"/>
    <w:rsid w:val="00D912C8"/>
    <w:rsid w:val="00D913D8"/>
    <w:rsid w:val="00D957AB"/>
    <w:rsid w:val="00D97A74"/>
    <w:rsid w:val="00DA3BE7"/>
    <w:rsid w:val="00DA3E71"/>
    <w:rsid w:val="00DA598B"/>
    <w:rsid w:val="00DA7B47"/>
    <w:rsid w:val="00DB13E9"/>
    <w:rsid w:val="00DB156F"/>
    <w:rsid w:val="00DB167D"/>
    <w:rsid w:val="00DB18BD"/>
    <w:rsid w:val="00DB1CD8"/>
    <w:rsid w:val="00DB3AE8"/>
    <w:rsid w:val="00DB4D2B"/>
    <w:rsid w:val="00DB5484"/>
    <w:rsid w:val="00DB5D5D"/>
    <w:rsid w:val="00DC2DD0"/>
    <w:rsid w:val="00DC4DA3"/>
    <w:rsid w:val="00DC540F"/>
    <w:rsid w:val="00DC684B"/>
    <w:rsid w:val="00DD03E1"/>
    <w:rsid w:val="00DD0D60"/>
    <w:rsid w:val="00DD0DAA"/>
    <w:rsid w:val="00DD14BF"/>
    <w:rsid w:val="00DD2C2D"/>
    <w:rsid w:val="00DD3FEA"/>
    <w:rsid w:val="00DD48D0"/>
    <w:rsid w:val="00DD50BF"/>
    <w:rsid w:val="00DD566F"/>
    <w:rsid w:val="00DD756F"/>
    <w:rsid w:val="00DE2881"/>
    <w:rsid w:val="00DE3EA3"/>
    <w:rsid w:val="00DE432C"/>
    <w:rsid w:val="00DE5034"/>
    <w:rsid w:val="00DE57CE"/>
    <w:rsid w:val="00DE66E3"/>
    <w:rsid w:val="00DE7070"/>
    <w:rsid w:val="00DE798B"/>
    <w:rsid w:val="00DF0120"/>
    <w:rsid w:val="00DF01B5"/>
    <w:rsid w:val="00DF15E4"/>
    <w:rsid w:val="00DF1A3F"/>
    <w:rsid w:val="00DF2576"/>
    <w:rsid w:val="00DF3D43"/>
    <w:rsid w:val="00DF52F8"/>
    <w:rsid w:val="00DF5BC5"/>
    <w:rsid w:val="00DF6392"/>
    <w:rsid w:val="00E02C76"/>
    <w:rsid w:val="00E033B6"/>
    <w:rsid w:val="00E0370B"/>
    <w:rsid w:val="00E056A9"/>
    <w:rsid w:val="00E065D4"/>
    <w:rsid w:val="00E101F4"/>
    <w:rsid w:val="00E12DFF"/>
    <w:rsid w:val="00E13148"/>
    <w:rsid w:val="00E14228"/>
    <w:rsid w:val="00E1779E"/>
    <w:rsid w:val="00E207BA"/>
    <w:rsid w:val="00E222DF"/>
    <w:rsid w:val="00E22DAB"/>
    <w:rsid w:val="00E237C0"/>
    <w:rsid w:val="00E23D6B"/>
    <w:rsid w:val="00E24314"/>
    <w:rsid w:val="00E246DC"/>
    <w:rsid w:val="00E2542C"/>
    <w:rsid w:val="00E257E0"/>
    <w:rsid w:val="00E259E2"/>
    <w:rsid w:val="00E26A4C"/>
    <w:rsid w:val="00E27ECB"/>
    <w:rsid w:val="00E308BA"/>
    <w:rsid w:val="00E31EF5"/>
    <w:rsid w:val="00E345AB"/>
    <w:rsid w:val="00E34741"/>
    <w:rsid w:val="00E357B2"/>
    <w:rsid w:val="00E361B4"/>
    <w:rsid w:val="00E369EC"/>
    <w:rsid w:val="00E37573"/>
    <w:rsid w:val="00E41461"/>
    <w:rsid w:val="00E43730"/>
    <w:rsid w:val="00E44145"/>
    <w:rsid w:val="00E4585A"/>
    <w:rsid w:val="00E45A82"/>
    <w:rsid w:val="00E45D09"/>
    <w:rsid w:val="00E4620B"/>
    <w:rsid w:val="00E46B11"/>
    <w:rsid w:val="00E47D3B"/>
    <w:rsid w:val="00E51562"/>
    <w:rsid w:val="00E5160C"/>
    <w:rsid w:val="00E52498"/>
    <w:rsid w:val="00E543B3"/>
    <w:rsid w:val="00E548F0"/>
    <w:rsid w:val="00E55C80"/>
    <w:rsid w:val="00E56E4C"/>
    <w:rsid w:val="00E57326"/>
    <w:rsid w:val="00E57A75"/>
    <w:rsid w:val="00E57AB8"/>
    <w:rsid w:val="00E62243"/>
    <w:rsid w:val="00E62506"/>
    <w:rsid w:val="00E63B0D"/>
    <w:rsid w:val="00E63BE0"/>
    <w:rsid w:val="00E649B5"/>
    <w:rsid w:val="00E65741"/>
    <w:rsid w:val="00E65A33"/>
    <w:rsid w:val="00E65BF5"/>
    <w:rsid w:val="00E66624"/>
    <w:rsid w:val="00E677D4"/>
    <w:rsid w:val="00E73763"/>
    <w:rsid w:val="00E75CF7"/>
    <w:rsid w:val="00E76412"/>
    <w:rsid w:val="00E814C1"/>
    <w:rsid w:val="00E8469B"/>
    <w:rsid w:val="00E854BC"/>
    <w:rsid w:val="00E863CB"/>
    <w:rsid w:val="00E875A8"/>
    <w:rsid w:val="00E87A07"/>
    <w:rsid w:val="00E9022B"/>
    <w:rsid w:val="00E904E7"/>
    <w:rsid w:val="00E90A45"/>
    <w:rsid w:val="00E926A4"/>
    <w:rsid w:val="00E96C6C"/>
    <w:rsid w:val="00EA1C49"/>
    <w:rsid w:val="00EA1DE6"/>
    <w:rsid w:val="00EA4B8B"/>
    <w:rsid w:val="00EA56EC"/>
    <w:rsid w:val="00EA75FD"/>
    <w:rsid w:val="00EB00FB"/>
    <w:rsid w:val="00EB1A9E"/>
    <w:rsid w:val="00EB1E09"/>
    <w:rsid w:val="00EB3817"/>
    <w:rsid w:val="00EB59F3"/>
    <w:rsid w:val="00EB66A2"/>
    <w:rsid w:val="00EB6BD0"/>
    <w:rsid w:val="00EC1F12"/>
    <w:rsid w:val="00EC270D"/>
    <w:rsid w:val="00EC272F"/>
    <w:rsid w:val="00EC4BC7"/>
    <w:rsid w:val="00EC6D4B"/>
    <w:rsid w:val="00EC70E4"/>
    <w:rsid w:val="00EC75AC"/>
    <w:rsid w:val="00ED171C"/>
    <w:rsid w:val="00ED1834"/>
    <w:rsid w:val="00ED57E7"/>
    <w:rsid w:val="00ED5F01"/>
    <w:rsid w:val="00ED6D31"/>
    <w:rsid w:val="00ED7480"/>
    <w:rsid w:val="00EE0803"/>
    <w:rsid w:val="00EE18F0"/>
    <w:rsid w:val="00EE2775"/>
    <w:rsid w:val="00EE2E67"/>
    <w:rsid w:val="00EE44CC"/>
    <w:rsid w:val="00EE4677"/>
    <w:rsid w:val="00EE56C7"/>
    <w:rsid w:val="00EF1113"/>
    <w:rsid w:val="00EF4FF9"/>
    <w:rsid w:val="00EF5EC7"/>
    <w:rsid w:val="00F01AAF"/>
    <w:rsid w:val="00F03887"/>
    <w:rsid w:val="00F04BB3"/>
    <w:rsid w:val="00F0690F"/>
    <w:rsid w:val="00F06B48"/>
    <w:rsid w:val="00F073BC"/>
    <w:rsid w:val="00F078D5"/>
    <w:rsid w:val="00F07B6D"/>
    <w:rsid w:val="00F102FC"/>
    <w:rsid w:val="00F11FD5"/>
    <w:rsid w:val="00F120B3"/>
    <w:rsid w:val="00F122AC"/>
    <w:rsid w:val="00F1276C"/>
    <w:rsid w:val="00F12FA8"/>
    <w:rsid w:val="00F134F0"/>
    <w:rsid w:val="00F14ADB"/>
    <w:rsid w:val="00F16129"/>
    <w:rsid w:val="00F21D8E"/>
    <w:rsid w:val="00F22618"/>
    <w:rsid w:val="00F24F7E"/>
    <w:rsid w:val="00F25768"/>
    <w:rsid w:val="00F2677B"/>
    <w:rsid w:val="00F31674"/>
    <w:rsid w:val="00F32054"/>
    <w:rsid w:val="00F32229"/>
    <w:rsid w:val="00F33AA5"/>
    <w:rsid w:val="00F3529F"/>
    <w:rsid w:val="00F36292"/>
    <w:rsid w:val="00F374FB"/>
    <w:rsid w:val="00F379D7"/>
    <w:rsid w:val="00F409A3"/>
    <w:rsid w:val="00F40ED8"/>
    <w:rsid w:val="00F41FE9"/>
    <w:rsid w:val="00F422D5"/>
    <w:rsid w:val="00F424EA"/>
    <w:rsid w:val="00F42C66"/>
    <w:rsid w:val="00F42F10"/>
    <w:rsid w:val="00F4480B"/>
    <w:rsid w:val="00F45892"/>
    <w:rsid w:val="00F45E96"/>
    <w:rsid w:val="00F4607D"/>
    <w:rsid w:val="00F461C3"/>
    <w:rsid w:val="00F479B7"/>
    <w:rsid w:val="00F51874"/>
    <w:rsid w:val="00F52898"/>
    <w:rsid w:val="00F53F5B"/>
    <w:rsid w:val="00F569D0"/>
    <w:rsid w:val="00F56E8E"/>
    <w:rsid w:val="00F60785"/>
    <w:rsid w:val="00F617E4"/>
    <w:rsid w:val="00F62858"/>
    <w:rsid w:val="00F65780"/>
    <w:rsid w:val="00F65A18"/>
    <w:rsid w:val="00F66191"/>
    <w:rsid w:val="00F674CD"/>
    <w:rsid w:val="00F72063"/>
    <w:rsid w:val="00F72F2E"/>
    <w:rsid w:val="00F749BA"/>
    <w:rsid w:val="00F74A7B"/>
    <w:rsid w:val="00F76B1D"/>
    <w:rsid w:val="00F774ED"/>
    <w:rsid w:val="00F803F6"/>
    <w:rsid w:val="00F80B97"/>
    <w:rsid w:val="00F82357"/>
    <w:rsid w:val="00F827C3"/>
    <w:rsid w:val="00F82A5A"/>
    <w:rsid w:val="00F82B4A"/>
    <w:rsid w:val="00F8399E"/>
    <w:rsid w:val="00F83DAD"/>
    <w:rsid w:val="00F90D96"/>
    <w:rsid w:val="00F91792"/>
    <w:rsid w:val="00F91B46"/>
    <w:rsid w:val="00F94A60"/>
    <w:rsid w:val="00F95822"/>
    <w:rsid w:val="00F95A1D"/>
    <w:rsid w:val="00F96876"/>
    <w:rsid w:val="00F97BB6"/>
    <w:rsid w:val="00F97E14"/>
    <w:rsid w:val="00FA13DC"/>
    <w:rsid w:val="00FA20BD"/>
    <w:rsid w:val="00FA26ED"/>
    <w:rsid w:val="00FA31BB"/>
    <w:rsid w:val="00FA54AD"/>
    <w:rsid w:val="00FA586A"/>
    <w:rsid w:val="00FA640F"/>
    <w:rsid w:val="00FA69B1"/>
    <w:rsid w:val="00FB0370"/>
    <w:rsid w:val="00FB076A"/>
    <w:rsid w:val="00FB0FA8"/>
    <w:rsid w:val="00FB1869"/>
    <w:rsid w:val="00FB1C8C"/>
    <w:rsid w:val="00FB22C6"/>
    <w:rsid w:val="00FB4465"/>
    <w:rsid w:val="00FB47C2"/>
    <w:rsid w:val="00FB69C0"/>
    <w:rsid w:val="00FB6A4F"/>
    <w:rsid w:val="00FB7A72"/>
    <w:rsid w:val="00FC1831"/>
    <w:rsid w:val="00FC2F78"/>
    <w:rsid w:val="00FC30D6"/>
    <w:rsid w:val="00FC3D80"/>
    <w:rsid w:val="00FC4562"/>
    <w:rsid w:val="00FC5160"/>
    <w:rsid w:val="00FC564A"/>
    <w:rsid w:val="00FD21D8"/>
    <w:rsid w:val="00FD2747"/>
    <w:rsid w:val="00FD5BF7"/>
    <w:rsid w:val="00FD61D5"/>
    <w:rsid w:val="00FE07E6"/>
    <w:rsid w:val="00FE0F48"/>
    <w:rsid w:val="00FE195D"/>
    <w:rsid w:val="00FE27C6"/>
    <w:rsid w:val="00FE3830"/>
    <w:rsid w:val="00FE3A8E"/>
    <w:rsid w:val="00FE3B8E"/>
    <w:rsid w:val="00FE4A4D"/>
    <w:rsid w:val="00FE7E34"/>
    <w:rsid w:val="00FF1A69"/>
    <w:rsid w:val="00FF244F"/>
    <w:rsid w:val="00FF4013"/>
    <w:rsid w:val="00FF4544"/>
    <w:rsid w:val="00FF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10995"/>
  <w15:chartTrackingRefBased/>
  <w15:docId w15:val="{29DB4227-BD9A-44CA-9244-ED90B74E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DA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24CFF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879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879B4"/>
  </w:style>
  <w:style w:type="paragraph" w:styleId="a5">
    <w:name w:val="footer"/>
    <w:basedOn w:val="a"/>
    <w:link w:val="Char0"/>
    <w:uiPriority w:val="99"/>
    <w:unhideWhenUsed/>
    <w:rsid w:val="004879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879B4"/>
  </w:style>
  <w:style w:type="character" w:styleId="a6">
    <w:name w:val="annotation reference"/>
    <w:basedOn w:val="a0"/>
    <w:uiPriority w:val="99"/>
    <w:semiHidden/>
    <w:unhideWhenUsed/>
    <w:rsid w:val="00141E62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141E62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141E62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141E62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141E62"/>
    <w:rPr>
      <w:b/>
      <w:bCs/>
    </w:rPr>
  </w:style>
  <w:style w:type="character" w:customStyle="1" w:styleId="cf01">
    <w:name w:val="cf01"/>
    <w:basedOn w:val="a0"/>
    <w:rsid w:val="00084415"/>
    <w:rPr>
      <w:rFonts w:ascii="맑은 고딕" w:eastAsia="맑은 고딕" w:hAnsi="맑은 고딕" w:hint="eastAsia"/>
      <w:sz w:val="18"/>
      <w:szCs w:val="18"/>
    </w:rPr>
  </w:style>
  <w:style w:type="paragraph" w:styleId="a9">
    <w:name w:val="List Paragraph"/>
    <w:basedOn w:val="a"/>
    <w:uiPriority w:val="34"/>
    <w:qFormat/>
    <w:rsid w:val="006D552B"/>
    <w:pPr>
      <w:ind w:leftChars="400" w:left="800"/>
    </w:pPr>
  </w:style>
  <w:style w:type="paragraph" w:customStyle="1" w:styleId="EndNoteBibliographyTitle">
    <w:name w:val="EndNote Bibliography Title"/>
    <w:basedOn w:val="a"/>
    <w:link w:val="EndNoteBibliographyTitleChar"/>
    <w:rsid w:val="00E43730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43730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43730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43730"/>
    <w:rPr>
      <w:rFonts w:ascii="맑은 고딕" w:eastAsia="맑은 고딕" w:hAnsi="맑은 고딕"/>
      <w:noProof/>
    </w:rPr>
  </w:style>
  <w:style w:type="paragraph" w:styleId="aa">
    <w:name w:val="Revision"/>
    <w:hidden/>
    <w:uiPriority w:val="99"/>
    <w:semiHidden/>
    <w:rsid w:val="0038341B"/>
    <w:pPr>
      <w:spacing w:after="0" w:line="240" w:lineRule="auto"/>
      <w:jc w:val="left"/>
    </w:pPr>
  </w:style>
  <w:style w:type="character" w:styleId="ab">
    <w:name w:val="Hyperlink"/>
    <w:basedOn w:val="a0"/>
    <w:uiPriority w:val="99"/>
    <w:unhideWhenUsed/>
    <w:rsid w:val="0038341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8341B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524CFF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36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86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468B3-3C7D-42B4-83E8-3C57F3D5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5802</TotalTime>
  <Pages>9</Pages>
  <Words>1346</Words>
  <Characters>7675</Characters>
  <Application>Microsoft Office Word</Application>
  <DocSecurity>0</DocSecurity>
  <Lines>63</Lines>
  <Paragraphs>18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임요화</cp:lastModifiedBy>
  <cp:revision>368</cp:revision>
  <cp:lastPrinted>2022-08-26T08:18:00Z</cp:lastPrinted>
  <dcterms:created xsi:type="dcterms:W3CDTF">2023-07-31T02:52:00Z</dcterms:created>
  <dcterms:modified xsi:type="dcterms:W3CDTF">2026-08-12T09:55:00Z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ead81844364b051369cfaa659f3bbbad590ec5523714062721871c72bc4e3f46</vt:lpwstr>
  </property>
</Properties>
</file>