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3C5D6" w14:textId="77777777" w:rsidR="008B7489" w:rsidRPr="00E774A1" w:rsidRDefault="008B7489" w:rsidP="008B7489">
      <w:pPr>
        <w:spacing w:after="0"/>
        <w:rPr>
          <w:b/>
          <w:bCs/>
        </w:rPr>
      </w:pPr>
      <w:proofErr w:type="spellStart"/>
      <w:r w:rsidRPr="00E774A1">
        <w:rPr>
          <w:b/>
          <w:bCs/>
        </w:rPr>
        <w:t>Supplementary</w:t>
      </w:r>
      <w:proofErr w:type="spellEnd"/>
      <w:r w:rsidRPr="00E774A1">
        <w:rPr>
          <w:b/>
          <w:bCs/>
        </w:rPr>
        <w:t xml:space="preserve"> </w:t>
      </w:r>
      <w:proofErr w:type="spellStart"/>
      <w:r w:rsidRPr="00E774A1">
        <w:rPr>
          <w:b/>
          <w:bCs/>
        </w:rPr>
        <w:t>Table</w:t>
      </w:r>
      <w:proofErr w:type="spellEnd"/>
      <w:r w:rsidRPr="00E774A1">
        <w:rPr>
          <w:b/>
          <w:bCs/>
        </w:rPr>
        <w:t xml:space="preserve"> S1. </w:t>
      </w:r>
      <w:proofErr w:type="spellStart"/>
      <w:r w:rsidRPr="00E774A1">
        <w:rPr>
          <w:b/>
          <w:bCs/>
        </w:rPr>
        <w:t>Year-adjusted</w:t>
      </w:r>
      <w:proofErr w:type="spellEnd"/>
      <w:r w:rsidRPr="00E774A1">
        <w:rPr>
          <w:b/>
          <w:bCs/>
        </w:rPr>
        <w:t xml:space="preserve"> </w:t>
      </w:r>
      <w:proofErr w:type="spellStart"/>
      <w:r w:rsidRPr="00E774A1">
        <w:rPr>
          <w:b/>
          <w:bCs/>
        </w:rPr>
        <w:t>estimated</w:t>
      </w:r>
      <w:proofErr w:type="spellEnd"/>
      <w:r w:rsidRPr="00E774A1">
        <w:rPr>
          <w:b/>
          <w:bCs/>
        </w:rPr>
        <w:t xml:space="preserve"> </w:t>
      </w:r>
      <w:proofErr w:type="spellStart"/>
      <w:r w:rsidRPr="00E774A1">
        <w:rPr>
          <w:b/>
          <w:bCs/>
        </w:rPr>
        <w:t>marginal</w:t>
      </w:r>
      <w:proofErr w:type="spellEnd"/>
      <w:r w:rsidRPr="00E774A1">
        <w:rPr>
          <w:b/>
          <w:bCs/>
        </w:rPr>
        <w:t xml:space="preserve"> </w:t>
      </w:r>
      <w:proofErr w:type="spellStart"/>
      <w:r w:rsidRPr="00E774A1">
        <w:rPr>
          <w:b/>
          <w:bCs/>
        </w:rPr>
        <w:t>means</w:t>
      </w:r>
      <w:proofErr w:type="spellEnd"/>
      <w:r w:rsidRPr="00E774A1">
        <w:rPr>
          <w:b/>
          <w:bCs/>
        </w:rPr>
        <w:t xml:space="preserve"> of infant </w:t>
      </w:r>
      <w:proofErr w:type="spellStart"/>
      <w:r w:rsidRPr="00E774A1">
        <w:rPr>
          <w:b/>
          <w:bCs/>
        </w:rPr>
        <w:t>mortality</w:t>
      </w:r>
      <w:proofErr w:type="spellEnd"/>
      <w:r w:rsidRPr="00E774A1">
        <w:rPr>
          <w:b/>
          <w:bCs/>
        </w:rPr>
        <w:t xml:space="preserve"> </w:t>
      </w:r>
      <w:proofErr w:type="spellStart"/>
      <w:r w:rsidRPr="00E774A1">
        <w:rPr>
          <w:b/>
          <w:bCs/>
        </w:rPr>
        <w:t>rates</w:t>
      </w:r>
      <w:proofErr w:type="spellEnd"/>
      <w:r w:rsidRPr="00E774A1">
        <w:rPr>
          <w:b/>
          <w:bCs/>
        </w:rPr>
        <w:t xml:space="preserve"> </w:t>
      </w:r>
      <w:proofErr w:type="spellStart"/>
      <w:r w:rsidRPr="00E774A1">
        <w:rPr>
          <w:b/>
          <w:bCs/>
        </w:rPr>
        <w:t>across</w:t>
      </w:r>
      <w:proofErr w:type="spellEnd"/>
      <w:r w:rsidRPr="00E774A1">
        <w:rPr>
          <w:b/>
          <w:bCs/>
        </w:rPr>
        <w:t xml:space="preserve"> NUTS-2 </w:t>
      </w:r>
      <w:proofErr w:type="spellStart"/>
      <w:r w:rsidRPr="00E774A1">
        <w:rPr>
          <w:b/>
          <w:bCs/>
        </w:rPr>
        <w:t>regions</w:t>
      </w:r>
      <w:proofErr w:type="spellEnd"/>
      <w:r w:rsidRPr="00E774A1">
        <w:rPr>
          <w:b/>
          <w:bCs/>
        </w:rPr>
        <w:t>, Türkiye, 2014–2024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1"/>
        <w:gridCol w:w="5236"/>
        <w:gridCol w:w="1557"/>
        <w:gridCol w:w="710"/>
        <w:gridCol w:w="2102"/>
      </w:tblGrid>
      <w:tr w:rsidR="008B7489" w:rsidRPr="00D136AE" w14:paraId="4395A564" w14:textId="77777777" w:rsidTr="00A47DB6">
        <w:trPr>
          <w:trHeight w:val="312"/>
        </w:trPr>
        <w:tc>
          <w:tcPr>
            <w:tcW w:w="411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6897F6E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b/>
                <w:bCs/>
                <w:szCs w:val="24"/>
                <w:lang w:eastAsia="tr-TR"/>
                <w14:ligatures w14:val="none"/>
              </w:rPr>
              <w:t xml:space="preserve">NUTS-2 </w:t>
            </w:r>
            <w:proofErr w:type="spellStart"/>
            <w:r w:rsidRPr="00D136AE">
              <w:rPr>
                <w:rFonts w:eastAsia="Times New Roman" w:cs="Times New Roman"/>
                <w:b/>
                <w:bCs/>
                <w:szCs w:val="24"/>
                <w:lang w:eastAsia="tr-TR"/>
                <w14:ligatures w14:val="none"/>
              </w:rPr>
              <w:t>code</w:t>
            </w:r>
            <w:proofErr w:type="spellEnd"/>
          </w:p>
        </w:tc>
        <w:tc>
          <w:tcPr>
            <w:tcW w:w="2501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3EA6CE4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tr-TR"/>
                <w14:ligatures w14:val="none"/>
              </w:rPr>
            </w:pPr>
            <w:proofErr w:type="spellStart"/>
            <w:r w:rsidRPr="00D136AE">
              <w:rPr>
                <w:rFonts w:eastAsia="Times New Roman" w:cs="Times New Roman"/>
                <w:b/>
                <w:bCs/>
                <w:szCs w:val="24"/>
                <w:lang w:eastAsia="tr-TR"/>
                <w14:ligatures w14:val="none"/>
              </w:rPr>
              <w:t>Region</w:t>
            </w:r>
            <w:proofErr w:type="spellEnd"/>
          </w:p>
        </w:tc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36016B5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tr-TR"/>
                <w14:ligatures w14:val="none"/>
              </w:rPr>
            </w:pPr>
            <w:proofErr w:type="spellStart"/>
            <w:r w:rsidRPr="00D136AE">
              <w:rPr>
                <w:rFonts w:eastAsia="Times New Roman" w:cs="Times New Roman"/>
                <w:b/>
                <w:bCs/>
                <w:szCs w:val="24"/>
                <w:lang w:eastAsia="tr-TR"/>
                <w14:ligatures w14:val="none"/>
              </w:rPr>
              <w:t>Estimated</w:t>
            </w:r>
            <w:proofErr w:type="spellEnd"/>
            <w:r w:rsidRPr="00D136AE">
              <w:rPr>
                <w:rFonts w:eastAsia="Times New Roman" w:cs="Times New Roman"/>
                <w:b/>
                <w:bCs/>
                <w:szCs w:val="24"/>
                <w:lang w:eastAsia="tr-TR"/>
                <w14:ligatures w14:val="none"/>
              </w:rPr>
              <w:t xml:space="preserve"> </w:t>
            </w:r>
            <w:proofErr w:type="spellStart"/>
            <w:r w:rsidRPr="00D136AE">
              <w:rPr>
                <w:rFonts w:eastAsia="Times New Roman" w:cs="Times New Roman"/>
                <w:b/>
                <w:bCs/>
                <w:szCs w:val="24"/>
                <w:lang w:eastAsia="tr-TR"/>
                <w14:ligatures w14:val="none"/>
              </w:rPr>
              <w:t>marginal</w:t>
            </w:r>
            <w:proofErr w:type="spellEnd"/>
            <w:r w:rsidRPr="00D136AE">
              <w:rPr>
                <w:rFonts w:eastAsia="Times New Roman" w:cs="Times New Roman"/>
                <w:b/>
                <w:bCs/>
                <w:szCs w:val="24"/>
                <w:lang w:eastAsia="tr-TR"/>
                <w14:ligatures w14:val="none"/>
              </w:rPr>
              <w:t xml:space="preserve"> </w:t>
            </w:r>
            <w:proofErr w:type="spellStart"/>
            <w:r w:rsidRPr="00D136AE">
              <w:rPr>
                <w:rFonts w:eastAsia="Times New Roman" w:cs="Times New Roman"/>
                <w:b/>
                <w:bCs/>
                <w:szCs w:val="24"/>
                <w:lang w:eastAsia="tr-TR"/>
                <w14:ligatures w14:val="none"/>
              </w:rPr>
              <w:t>mean</w:t>
            </w:r>
            <w:proofErr w:type="spellEnd"/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853FA38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b/>
                <w:bCs/>
                <w:szCs w:val="24"/>
                <w:lang w:eastAsia="tr-TR"/>
                <w14:ligatures w14:val="none"/>
              </w:rPr>
              <w:t>SE</w:t>
            </w:r>
          </w:p>
        </w:tc>
        <w:tc>
          <w:tcPr>
            <w:tcW w:w="1004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8B2EF5D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b/>
                <w:bCs/>
                <w:szCs w:val="24"/>
                <w:lang w:eastAsia="tr-TR"/>
                <w14:ligatures w14:val="none"/>
              </w:rPr>
              <w:t>95% CI</w:t>
            </w:r>
          </w:p>
        </w:tc>
      </w:tr>
      <w:tr w:rsidR="008B7489" w:rsidRPr="00D136AE" w14:paraId="744D2604" w14:textId="77777777" w:rsidTr="00A47DB6">
        <w:trPr>
          <w:trHeight w:val="312"/>
        </w:trPr>
        <w:tc>
          <w:tcPr>
            <w:tcW w:w="411" w:type="pct"/>
            <w:tcBorders>
              <w:top w:val="single" w:sz="4" w:space="0" w:color="auto"/>
            </w:tcBorders>
            <w:vAlign w:val="center"/>
            <w:hideMark/>
          </w:tcPr>
          <w:p w14:paraId="5EF6C8AA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TR10</w:t>
            </w:r>
          </w:p>
        </w:tc>
        <w:tc>
          <w:tcPr>
            <w:tcW w:w="2501" w:type="pct"/>
            <w:tcBorders>
              <w:top w:val="single" w:sz="4" w:space="0" w:color="auto"/>
            </w:tcBorders>
            <w:vAlign w:val="center"/>
            <w:hideMark/>
          </w:tcPr>
          <w:p w14:paraId="3C7D0BB5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İstanbul</w:t>
            </w:r>
          </w:p>
        </w:tc>
        <w:tc>
          <w:tcPr>
            <w:tcW w:w="744" w:type="pct"/>
            <w:tcBorders>
              <w:top w:val="single" w:sz="4" w:space="0" w:color="auto"/>
            </w:tcBorders>
            <w:vAlign w:val="center"/>
            <w:hideMark/>
          </w:tcPr>
          <w:p w14:paraId="2436F273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7.465</w:t>
            </w:r>
          </w:p>
        </w:tc>
        <w:tc>
          <w:tcPr>
            <w:tcW w:w="339" w:type="pct"/>
            <w:tcBorders>
              <w:top w:val="single" w:sz="4" w:space="0" w:color="auto"/>
            </w:tcBorders>
            <w:vAlign w:val="center"/>
            <w:hideMark/>
          </w:tcPr>
          <w:p w14:paraId="6AFFFB7E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0.419</w:t>
            </w:r>
          </w:p>
        </w:tc>
        <w:tc>
          <w:tcPr>
            <w:tcW w:w="1004" w:type="pct"/>
            <w:tcBorders>
              <w:top w:val="single" w:sz="4" w:space="0" w:color="auto"/>
            </w:tcBorders>
            <w:vAlign w:val="center"/>
            <w:hideMark/>
          </w:tcPr>
          <w:p w14:paraId="7960092E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6.621–8.308</w:t>
            </w:r>
          </w:p>
        </w:tc>
      </w:tr>
      <w:tr w:rsidR="008B7489" w:rsidRPr="00D136AE" w14:paraId="46CC5257" w14:textId="77777777" w:rsidTr="00A47DB6">
        <w:trPr>
          <w:trHeight w:val="312"/>
        </w:trPr>
        <w:tc>
          <w:tcPr>
            <w:tcW w:w="411" w:type="pct"/>
            <w:vAlign w:val="center"/>
            <w:hideMark/>
          </w:tcPr>
          <w:p w14:paraId="4EB84E7B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TR21</w:t>
            </w:r>
          </w:p>
        </w:tc>
        <w:tc>
          <w:tcPr>
            <w:tcW w:w="2501" w:type="pct"/>
            <w:vAlign w:val="center"/>
            <w:hideMark/>
          </w:tcPr>
          <w:p w14:paraId="0FA7953C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Tekirdağ, Edirne, Kırklareli</w:t>
            </w:r>
          </w:p>
        </w:tc>
        <w:tc>
          <w:tcPr>
            <w:tcW w:w="744" w:type="pct"/>
            <w:vAlign w:val="center"/>
            <w:hideMark/>
          </w:tcPr>
          <w:p w14:paraId="2B14DC64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7.158</w:t>
            </w:r>
          </w:p>
        </w:tc>
        <w:tc>
          <w:tcPr>
            <w:tcW w:w="339" w:type="pct"/>
            <w:vAlign w:val="center"/>
            <w:hideMark/>
          </w:tcPr>
          <w:p w14:paraId="5A57A7A4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0.419</w:t>
            </w:r>
          </w:p>
        </w:tc>
        <w:tc>
          <w:tcPr>
            <w:tcW w:w="1004" w:type="pct"/>
            <w:vAlign w:val="center"/>
            <w:hideMark/>
          </w:tcPr>
          <w:p w14:paraId="6FC72B12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6.314–8.001</w:t>
            </w:r>
          </w:p>
        </w:tc>
      </w:tr>
      <w:tr w:rsidR="008B7489" w:rsidRPr="00D136AE" w14:paraId="18F3A7F2" w14:textId="77777777" w:rsidTr="00A47DB6">
        <w:trPr>
          <w:trHeight w:val="312"/>
        </w:trPr>
        <w:tc>
          <w:tcPr>
            <w:tcW w:w="411" w:type="pct"/>
            <w:vAlign w:val="center"/>
            <w:hideMark/>
          </w:tcPr>
          <w:p w14:paraId="277FB6BD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TR22</w:t>
            </w:r>
          </w:p>
        </w:tc>
        <w:tc>
          <w:tcPr>
            <w:tcW w:w="2501" w:type="pct"/>
            <w:vAlign w:val="center"/>
            <w:hideMark/>
          </w:tcPr>
          <w:p w14:paraId="6992300C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Balıkesir, Çanakkale</w:t>
            </w:r>
          </w:p>
        </w:tc>
        <w:tc>
          <w:tcPr>
            <w:tcW w:w="744" w:type="pct"/>
            <w:vAlign w:val="center"/>
            <w:hideMark/>
          </w:tcPr>
          <w:p w14:paraId="284A2FD3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6.822</w:t>
            </w:r>
          </w:p>
        </w:tc>
        <w:tc>
          <w:tcPr>
            <w:tcW w:w="339" w:type="pct"/>
            <w:vAlign w:val="center"/>
            <w:hideMark/>
          </w:tcPr>
          <w:p w14:paraId="411987F8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0.419</w:t>
            </w:r>
          </w:p>
        </w:tc>
        <w:tc>
          <w:tcPr>
            <w:tcW w:w="1004" w:type="pct"/>
            <w:vAlign w:val="center"/>
            <w:hideMark/>
          </w:tcPr>
          <w:p w14:paraId="0B821887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5.979–7.666</w:t>
            </w:r>
          </w:p>
        </w:tc>
      </w:tr>
      <w:tr w:rsidR="008B7489" w:rsidRPr="00D136AE" w14:paraId="348D9E2B" w14:textId="77777777" w:rsidTr="00A47DB6">
        <w:trPr>
          <w:trHeight w:val="312"/>
        </w:trPr>
        <w:tc>
          <w:tcPr>
            <w:tcW w:w="411" w:type="pct"/>
            <w:vAlign w:val="center"/>
            <w:hideMark/>
          </w:tcPr>
          <w:p w14:paraId="567EAB88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TR31</w:t>
            </w:r>
          </w:p>
        </w:tc>
        <w:tc>
          <w:tcPr>
            <w:tcW w:w="2501" w:type="pct"/>
            <w:vAlign w:val="center"/>
            <w:hideMark/>
          </w:tcPr>
          <w:p w14:paraId="54875839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İzmir</w:t>
            </w:r>
          </w:p>
        </w:tc>
        <w:tc>
          <w:tcPr>
            <w:tcW w:w="744" w:type="pct"/>
            <w:vAlign w:val="center"/>
            <w:hideMark/>
          </w:tcPr>
          <w:p w14:paraId="6750580C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7.683</w:t>
            </w:r>
          </w:p>
        </w:tc>
        <w:tc>
          <w:tcPr>
            <w:tcW w:w="339" w:type="pct"/>
            <w:vAlign w:val="center"/>
            <w:hideMark/>
          </w:tcPr>
          <w:p w14:paraId="104EC04B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0.419</w:t>
            </w:r>
          </w:p>
        </w:tc>
        <w:tc>
          <w:tcPr>
            <w:tcW w:w="1004" w:type="pct"/>
            <w:vAlign w:val="center"/>
            <w:hideMark/>
          </w:tcPr>
          <w:p w14:paraId="3833C15B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6.840–8.526</w:t>
            </w:r>
          </w:p>
        </w:tc>
      </w:tr>
      <w:tr w:rsidR="008B7489" w:rsidRPr="00D136AE" w14:paraId="024130D0" w14:textId="77777777" w:rsidTr="00A47DB6">
        <w:trPr>
          <w:trHeight w:val="312"/>
        </w:trPr>
        <w:tc>
          <w:tcPr>
            <w:tcW w:w="411" w:type="pct"/>
            <w:vAlign w:val="center"/>
            <w:hideMark/>
          </w:tcPr>
          <w:p w14:paraId="37F9B6DB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TR32</w:t>
            </w:r>
          </w:p>
        </w:tc>
        <w:tc>
          <w:tcPr>
            <w:tcW w:w="2501" w:type="pct"/>
            <w:vAlign w:val="center"/>
            <w:hideMark/>
          </w:tcPr>
          <w:p w14:paraId="01E8C43B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Aydın, Denizli, Muğla</w:t>
            </w:r>
          </w:p>
        </w:tc>
        <w:tc>
          <w:tcPr>
            <w:tcW w:w="744" w:type="pct"/>
            <w:vAlign w:val="center"/>
            <w:hideMark/>
          </w:tcPr>
          <w:p w14:paraId="59BCC8A6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7.484</w:t>
            </w:r>
          </w:p>
        </w:tc>
        <w:tc>
          <w:tcPr>
            <w:tcW w:w="339" w:type="pct"/>
            <w:vAlign w:val="center"/>
            <w:hideMark/>
          </w:tcPr>
          <w:p w14:paraId="3A6A7182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0.419</w:t>
            </w:r>
          </w:p>
        </w:tc>
        <w:tc>
          <w:tcPr>
            <w:tcW w:w="1004" w:type="pct"/>
            <w:vAlign w:val="center"/>
            <w:hideMark/>
          </w:tcPr>
          <w:p w14:paraId="2091539B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6.640–8.327</w:t>
            </w:r>
          </w:p>
        </w:tc>
      </w:tr>
      <w:tr w:rsidR="008B7489" w:rsidRPr="00D136AE" w14:paraId="025347E5" w14:textId="77777777" w:rsidTr="00A47DB6">
        <w:trPr>
          <w:trHeight w:val="312"/>
        </w:trPr>
        <w:tc>
          <w:tcPr>
            <w:tcW w:w="411" w:type="pct"/>
            <w:vAlign w:val="center"/>
            <w:hideMark/>
          </w:tcPr>
          <w:p w14:paraId="19FA4453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TR33</w:t>
            </w:r>
          </w:p>
        </w:tc>
        <w:tc>
          <w:tcPr>
            <w:tcW w:w="2501" w:type="pct"/>
            <w:vAlign w:val="center"/>
            <w:hideMark/>
          </w:tcPr>
          <w:p w14:paraId="311BF6CD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Manisa, Afyonkarahisar, Kütahya, Uşak</w:t>
            </w:r>
          </w:p>
        </w:tc>
        <w:tc>
          <w:tcPr>
            <w:tcW w:w="744" w:type="pct"/>
            <w:vAlign w:val="center"/>
            <w:hideMark/>
          </w:tcPr>
          <w:p w14:paraId="18D7EE5E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8.984</w:t>
            </w:r>
          </w:p>
        </w:tc>
        <w:tc>
          <w:tcPr>
            <w:tcW w:w="339" w:type="pct"/>
            <w:vAlign w:val="center"/>
            <w:hideMark/>
          </w:tcPr>
          <w:p w14:paraId="2EE04219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0.419</w:t>
            </w:r>
          </w:p>
        </w:tc>
        <w:tc>
          <w:tcPr>
            <w:tcW w:w="1004" w:type="pct"/>
            <w:vAlign w:val="center"/>
            <w:hideMark/>
          </w:tcPr>
          <w:p w14:paraId="6C548A87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8.140–9.827</w:t>
            </w:r>
          </w:p>
        </w:tc>
      </w:tr>
      <w:tr w:rsidR="008B7489" w:rsidRPr="00D136AE" w14:paraId="46AC3271" w14:textId="77777777" w:rsidTr="00A47DB6">
        <w:trPr>
          <w:trHeight w:val="312"/>
        </w:trPr>
        <w:tc>
          <w:tcPr>
            <w:tcW w:w="411" w:type="pct"/>
            <w:vAlign w:val="center"/>
            <w:hideMark/>
          </w:tcPr>
          <w:p w14:paraId="4FF9D091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TR41</w:t>
            </w:r>
          </w:p>
        </w:tc>
        <w:tc>
          <w:tcPr>
            <w:tcW w:w="2501" w:type="pct"/>
            <w:vAlign w:val="center"/>
            <w:hideMark/>
          </w:tcPr>
          <w:p w14:paraId="3DC3233E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Bursa, Eskişehir, Bilecik</w:t>
            </w:r>
          </w:p>
        </w:tc>
        <w:tc>
          <w:tcPr>
            <w:tcW w:w="744" w:type="pct"/>
            <w:vAlign w:val="center"/>
            <w:hideMark/>
          </w:tcPr>
          <w:p w14:paraId="022BE6D5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7.015</w:t>
            </w:r>
          </w:p>
        </w:tc>
        <w:tc>
          <w:tcPr>
            <w:tcW w:w="339" w:type="pct"/>
            <w:vAlign w:val="center"/>
            <w:hideMark/>
          </w:tcPr>
          <w:p w14:paraId="69431CAB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0.419</w:t>
            </w:r>
          </w:p>
        </w:tc>
        <w:tc>
          <w:tcPr>
            <w:tcW w:w="1004" w:type="pct"/>
            <w:vAlign w:val="center"/>
            <w:hideMark/>
          </w:tcPr>
          <w:p w14:paraId="4EAFBB2B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6.172–7.858</w:t>
            </w:r>
          </w:p>
        </w:tc>
      </w:tr>
      <w:tr w:rsidR="008B7489" w:rsidRPr="00D136AE" w14:paraId="77C64D50" w14:textId="77777777" w:rsidTr="00A47DB6">
        <w:trPr>
          <w:trHeight w:val="312"/>
        </w:trPr>
        <w:tc>
          <w:tcPr>
            <w:tcW w:w="411" w:type="pct"/>
            <w:vAlign w:val="center"/>
            <w:hideMark/>
          </w:tcPr>
          <w:p w14:paraId="57180060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TR42</w:t>
            </w:r>
          </w:p>
        </w:tc>
        <w:tc>
          <w:tcPr>
            <w:tcW w:w="2501" w:type="pct"/>
            <w:vAlign w:val="center"/>
            <w:hideMark/>
          </w:tcPr>
          <w:p w14:paraId="4ED34F39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Kocaeli, Sakarya, Düzce, Bolu, Yalova</w:t>
            </w:r>
          </w:p>
        </w:tc>
        <w:tc>
          <w:tcPr>
            <w:tcW w:w="744" w:type="pct"/>
            <w:vAlign w:val="center"/>
            <w:hideMark/>
          </w:tcPr>
          <w:p w14:paraId="1B930A36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7.724</w:t>
            </w:r>
          </w:p>
        </w:tc>
        <w:tc>
          <w:tcPr>
            <w:tcW w:w="339" w:type="pct"/>
            <w:vAlign w:val="center"/>
            <w:hideMark/>
          </w:tcPr>
          <w:p w14:paraId="72FB7E8C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0.419</w:t>
            </w:r>
          </w:p>
        </w:tc>
        <w:tc>
          <w:tcPr>
            <w:tcW w:w="1004" w:type="pct"/>
            <w:vAlign w:val="center"/>
            <w:hideMark/>
          </w:tcPr>
          <w:p w14:paraId="3532C542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6.881–8.567</w:t>
            </w:r>
          </w:p>
        </w:tc>
      </w:tr>
      <w:tr w:rsidR="008B7489" w:rsidRPr="00D136AE" w14:paraId="6C72364D" w14:textId="77777777" w:rsidTr="00A47DB6">
        <w:trPr>
          <w:trHeight w:val="312"/>
        </w:trPr>
        <w:tc>
          <w:tcPr>
            <w:tcW w:w="411" w:type="pct"/>
            <w:vAlign w:val="center"/>
            <w:hideMark/>
          </w:tcPr>
          <w:p w14:paraId="0D90FC30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TR51</w:t>
            </w:r>
          </w:p>
        </w:tc>
        <w:tc>
          <w:tcPr>
            <w:tcW w:w="2501" w:type="pct"/>
            <w:vAlign w:val="center"/>
            <w:hideMark/>
          </w:tcPr>
          <w:p w14:paraId="0E277650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Ankara</w:t>
            </w:r>
          </w:p>
        </w:tc>
        <w:tc>
          <w:tcPr>
            <w:tcW w:w="744" w:type="pct"/>
            <w:vAlign w:val="center"/>
            <w:hideMark/>
          </w:tcPr>
          <w:p w14:paraId="1AF2895F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7.228</w:t>
            </w:r>
          </w:p>
        </w:tc>
        <w:tc>
          <w:tcPr>
            <w:tcW w:w="339" w:type="pct"/>
            <w:vAlign w:val="center"/>
            <w:hideMark/>
          </w:tcPr>
          <w:p w14:paraId="658CBEBA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0.419</w:t>
            </w:r>
          </w:p>
        </w:tc>
        <w:tc>
          <w:tcPr>
            <w:tcW w:w="1004" w:type="pct"/>
            <w:vAlign w:val="center"/>
            <w:hideMark/>
          </w:tcPr>
          <w:p w14:paraId="637DCEC5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6.384–8.071</w:t>
            </w:r>
          </w:p>
        </w:tc>
      </w:tr>
      <w:tr w:rsidR="008B7489" w:rsidRPr="00D136AE" w14:paraId="02EDC033" w14:textId="77777777" w:rsidTr="00A47DB6">
        <w:trPr>
          <w:trHeight w:val="312"/>
        </w:trPr>
        <w:tc>
          <w:tcPr>
            <w:tcW w:w="411" w:type="pct"/>
            <w:vAlign w:val="center"/>
            <w:hideMark/>
          </w:tcPr>
          <w:p w14:paraId="749A26E6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TR52</w:t>
            </w:r>
          </w:p>
        </w:tc>
        <w:tc>
          <w:tcPr>
            <w:tcW w:w="2501" w:type="pct"/>
            <w:vAlign w:val="center"/>
            <w:hideMark/>
          </w:tcPr>
          <w:p w14:paraId="58D33A5E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Konya, Karaman</w:t>
            </w:r>
          </w:p>
        </w:tc>
        <w:tc>
          <w:tcPr>
            <w:tcW w:w="744" w:type="pct"/>
            <w:vAlign w:val="center"/>
            <w:hideMark/>
          </w:tcPr>
          <w:p w14:paraId="3A7308E2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8.766</w:t>
            </w:r>
          </w:p>
        </w:tc>
        <w:tc>
          <w:tcPr>
            <w:tcW w:w="339" w:type="pct"/>
            <w:vAlign w:val="center"/>
            <w:hideMark/>
          </w:tcPr>
          <w:p w14:paraId="6A288CAF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0.419</w:t>
            </w:r>
          </w:p>
        </w:tc>
        <w:tc>
          <w:tcPr>
            <w:tcW w:w="1004" w:type="pct"/>
            <w:vAlign w:val="center"/>
            <w:hideMark/>
          </w:tcPr>
          <w:p w14:paraId="30A9F376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7.923–9.609</w:t>
            </w:r>
          </w:p>
        </w:tc>
      </w:tr>
      <w:tr w:rsidR="008B7489" w:rsidRPr="00D136AE" w14:paraId="44E17F67" w14:textId="77777777" w:rsidTr="00A47DB6">
        <w:trPr>
          <w:trHeight w:val="312"/>
        </w:trPr>
        <w:tc>
          <w:tcPr>
            <w:tcW w:w="411" w:type="pct"/>
            <w:vAlign w:val="center"/>
            <w:hideMark/>
          </w:tcPr>
          <w:p w14:paraId="75F31F31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TR61</w:t>
            </w:r>
          </w:p>
        </w:tc>
        <w:tc>
          <w:tcPr>
            <w:tcW w:w="2501" w:type="pct"/>
            <w:vAlign w:val="center"/>
            <w:hideMark/>
          </w:tcPr>
          <w:p w14:paraId="0B00A3A0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Antalya, Isparta, Burdur</w:t>
            </w:r>
          </w:p>
        </w:tc>
        <w:tc>
          <w:tcPr>
            <w:tcW w:w="744" w:type="pct"/>
            <w:vAlign w:val="center"/>
            <w:hideMark/>
          </w:tcPr>
          <w:p w14:paraId="3291EF3E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7.458</w:t>
            </w:r>
          </w:p>
        </w:tc>
        <w:tc>
          <w:tcPr>
            <w:tcW w:w="339" w:type="pct"/>
            <w:vAlign w:val="center"/>
            <w:hideMark/>
          </w:tcPr>
          <w:p w14:paraId="2393E741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0.419</w:t>
            </w:r>
          </w:p>
        </w:tc>
        <w:tc>
          <w:tcPr>
            <w:tcW w:w="1004" w:type="pct"/>
            <w:vAlign w:val="center"/>
            <w:hideMark/>
          </w:tcPr>
          <w:p w14:paraId="7C1B7842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6.614–8.301</w:t>
            </w:r>
          </w:p>
        </w:tc>
      </w:tr>
      <w:tr w:rsidR="008B7489" w:rsidRPr="00D136AE" w14:paraId="7232BF15" w14:textId="77777777" w:rsidTr="00A47DB6">
        <w:trPr>
          <w:trHeight w:val="312"/>
        </w:trPr>
        <w:tc>
          <w:tcPr>
            <w:tcW w:w="411" w:type="pct"/>
            <w:vAlign w:val="center"/>
            <w:hideMark/>
          </w:tcPr>
          <w:p w14:paraId="19E15CF9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TR62</w:t>
            </w:r>
          </w:p>
        </w:tc>
        <w:tc>
          <w:tcPr>
            <w:tcW w:w="2501" w:type="pct"/>
            <w:vAlign w:val="center"/>
            <w:hideMark/>
          </w:tcPr>
          <w:p w14:paraId="75B88C07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Adana, Mersin</w:t>
            </w:r>
          </w:p>
        </w:tc>
        <w:tc>
          <w:tcPr>
            <w:tcW w:w="744" w:type="pct"/>
            <w:vAlign w:val="center"/>
            <w:hideMark/>
          </w:tcPr>
          <w:p w14:paraId="43E0E500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9.764</w:t>
            </w:r>
          </w:p>
        </w:tc>
        <w:tc>
          <w:tcPr>
            <w:tcW w:w="339" w:type="pct"/>
            <w:vAlign w:val="center"/>
            <w:hideMark/>
          </w:tcPr>
          <w:p w14:paraId="25BDFF9A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0.419</w:t>
            </w:r>
          </w:p>
        </w:tc>
        <w:tc>
          <w:tcPr>
            <w:tcW w:w="1004" w:type="pct"/>
            <w:vAlign w:val="center"/>
            <w:hideMark/>
          </w:tcPr>
          <w:p w14:paraId="05037F2E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8.921–10.607</w:t>
            </w:r>
          </w:p>
        </w:tc>
      </w:tr>
      <w:tr w:rsidR="008B7489" w:rsidRPr="00D136AE" w14:paraId="74D3DAA2" w14:textId="77777777" w:rsidTr="00A47DB6">
        <w:trPr>
          <w:trHeight w:val="312"/>
        </w:trPr>
        <w:tc>
          <w:tcPr>
            <w:tcW w:w="411" w:type="pct"/>
            <w:vAlign w:val="center"/>
            <w:hideMark/>
          </w:tcPr>
          <w:p w14:paraId="1FD96B63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TR63</w:t>
            </w:r>
          </w:p>
        </w:tc>
        <w:tc>
          <w:tcPr>
            <w:tcW w:w="2501" w:type="pct"/>
            <w:vAlign w:val="center"/>
            <w:hideMark/>
          </w:tcPr>
          <w:p w14:paraId="72F97806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Hatay, Kahramanmaraş, Osmaniye</w:t>
            </w:r>
          </w:p>
        </w:tc>
        <w:tc>
          <w:tcPr>
            <w:tcW w:w="744" w:type="pct"/>
            <w:vAlign w:val="center"/>
            <w:hideMark/>
          </w:tcPr>
          <w:p w14:paraId="677E6DD2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11.394</w:t>
            </w:r>
          </w:p>
        </w:tc>
        <w:tc>
          <w:tcPr>
            <w:tcW w:w="339" w:type="pct"/>
            <w:vAlign w:val="center"/>
            <w:hideMark/>
          </w:tcPr>
          <w:p w14:paraId="78480400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0.419</w:t>
            </w:r>
          </w:p>
        </w:tc>
        <w:tc>
          <w:tcPr>
            <w:tcW w:w="1004" w:type="pct"/>
            <w:vAlign w:val="center"/>
            <w:hideMark/>
          </w:tcPr>
          <w:p w14:paraId="7DCE77B8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10.550–12.237</w:t>
            </w:r>
          </w:p>
        </w:tc>
      </w:tr>
      <w:tr w:rsidR="008B7489" w:rsidRPr="00D136AE" w14:paraId="60196BEB" w14:textId="77777777" w:rsidTr="00A47DB6">
        <w:trPr>
          <w:trHeight w:val="312"/>
        </w:trPr>
        <w:tc>
          <w:tcPr>
            <w:tcW w:w="411" w:type="pct"/>
            <w:vAlign w:val="center"/>
            <w:hideMark/>
          </w:tcPr>
          <w:p w14:paraId="7E775E60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TR71</w:t>
            </w:r>
          </w:p>
        </w:tc>
        <w:tc>
          <w:tcPr>
            <w:tcW w:w="2501" w:type="pct"/>
            <w:vAlign w:val="center"/>
            <w:hideMark/>
          </w:tcPr>
          <w:p w14:paraId="446C8DDF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Kırıkkale, Aksaray, Niğde, Nevşehir, Kırşehir</w:t>
            </w:r>
          </w:p>
        </w:tc>
        <w:tc>
          <w:tcPr>
            <w:tcW w:w="744" w:type="pct"/>
            <w:vAlign w:val="center"/>
            <w:hideMark/>
          </w:tcPr>
          <w:p w14:paraId="138B8DBD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9.593</w:t>
            </w:r>
          </w:p>
        </w:tc>
        <w:tc>
          <w:tcPr>
            <w:tcW w:w="339" w:type="pct"/>
            <w:vAlign w:val="center"/>
            <w:hideMark/>
          </w:tcPr>
          <w:p w14:paraId="6BC94A73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0.419</w:t>
            </w:r>
          </w:p>
        </w:tc>
        <w:tc>
          <w:tcPr>
            <w:tcW w:w="1004" w:type="pct"/>
            <w:vAlign w:val="center"/>
            <w:hideMark/>
          </w:tcPr>
          <w:p w14:paraId="2439FFDC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8.750–10.437</w:t>
            </w:r>
          </w:p>
        </w:tc>
      </w:tr>
      <w:tr w:rsidR="008B7489" w:rsidRPr="00D136AE" w14:paraId="0EEF2CF0" w14:textId="77777777" w:rsidTr="00A47DB6">
        <w:trPr>
          <w:trHeight w:val="312"/>
        </w:trPr>
        <w:tc>
          <w:tcPr>
            <w:tcW w:w="411" w:type="pct"/>
            <w:vAlign w:val="center"/>
            <w:hideMark/>
          </w:tcPr>
          <w:p w14:paraId="4A4DFDC6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TR72</w:t>
            </w:r>
          </w:p>
        </w:tc>
        <w:tc>
          <w:tcPr>
            <w:tcW w:w="2501" w:type="pct"/>
            <w:vAlign w:val="center"/>
            <w:hideMark/>
          </w:tcPr>
          <w:p w14:paraId="2D0D61E2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Kayseri, Sivas, Yozgat</w:t>
            </w:r>
          </w:p>
        </w:tc>
        <w:tc>
          <w:tcPr>
            <w:tcW w:w="744" w:type="pct"/>
            <w:vAlign w:val="center"/>
            <w:hideMark/>
          </w:tcPr>
          <w:p w14:paraId="7570E37B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9.699</w:t>
            </w:r>
          </w:p>
        </w:tc>
        <w:tc>
          <w:tcPr>
            <w:tcW w:w="339" w:type="pct"/>
            <w:vAlign w:val="center"/>
            <w:hideMark/>
          </w:tcPr>
          <w:p w14:paraId="06D3D15C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0.419</w:t>
            </w:r>
          </w:p>
        </w:tc>
        <w:tc>
          <w:tcPr>
            <w:tcW w:w="1004" w:type="pct"/>
            <w:vAlign w:val="center"/>
            <w:hideMark/>
          </w:tcPr>
          <w:p w14:paraId="07136AA7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8.855–10.542</w:t>
            </w:r>
          </w:p>
        </w:tc>
      </w:tr>
      <w:tr w:rsidR="008B7489" w:rsidRPr="00D136AE" w14:paraId="23D29882" w14:textId="77777777" w:rsidTr="00A47DB6">
        <w:trPr>
          <w:trHeight w:val="312"/>
        </w:trPr>
        <w:tc>
          <w:tcPr>
            <w:tcW w:w="411" w:type="pct"/>
            <w:vAlign w:val="center"/>
            <w:hideMark/>
          </w:tcPr>
          <w:p w14:paraId="089BA35F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TR81</w:t>
            </w:r>
          </w:p>
        </w:tc>
        <w:tc>
          <w:tcPr>
            <w:tcW w:w="2501" w:type="pct"/>
            <w:vAlign w:val="center"/>
            <w:hideMark/>
          </w:tcPr>
          <w:p w14:paraId="55D71F1E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Zonguldak, Karabük, Bartın</w:t>
            </w:r>
          </w:p>
        </w:tc>
        <w:tc>
          <w:tcPr>
            <w:tcW w:w="744" w:type="pct"/>
            <w:vAlign w:val="center"/>
            <w:hideMark/>
          </w:tcPr>
          <w:p w14:paraId="38D1B729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7.83</w:t>
            </w:r>
            <w:r>
              <w:rPr>
                <w:rFonts w:eastAsia="Times New Roman" w:cs="Times New Roman"/>
                <w:szCs w:val="24"/>
                <w:lang w:eastAsia="tr-TR"/>
                <w14:ligatures w14:val="none"/>
              </w:rPr>
              <w:t>0</w:t>
            </w:r>
          </w:p>
        </w:tc>
        <w:tc>
          <w:tcPr>
            <w:tcW w:w="339" w:type="pct"/>
            <w:vAlign w:val="center"/>
            <w:hideMark/>
          </w:tcPr>
          <w:p w14:paraId="606C83FF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0.419</w:t>
            </w:r>
          </w:p>
        </w:tc>
        <w:tc>
          <w:tcPr>
            <w:tcW w:w="1004" w:type="pct"/>
            <w:vAlign w:val="center"/>
            <w:hideMark/>
          </w:tcPr>
          <w:p w14:paraId="3E10C140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6.987–8.674</w:t>
            </w:r>
          </w:p>
        </w:tc>
      </w:tr>
      <w:tr w:rsidR="008B7489" w:rsidRPr="00D136AE" w14:paraId="390CEDF6" w14:textId="77777777" w:rsidTr="00A47DB6">
        <w:trPr>
          <w:trHeight w:val="312"/>
        </w:trPr>
        <w:tc>
          <w:tcPr>
            <w:tcW w:w="411" w:type="pct"/>
            <w:vAlign w:val="center"/>
            <w:hideMark/>
          </w:tcPr>
          <w:p w14:paraId="6131680D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TR82</w:t>
            </w:r>
          </w:p>
        </w:tc>
        <w:tc>
          <w:tcPr>
            <w:tcW w:w="2501" w:type="pct"/>
            <w:vAlign w:val="center"/>
            <w:hideMark/>
          </w:tcPr>
          <w:p w14:paraId="3F7196BC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Kastamonu, Çankırı, Sinop</w:t>
            </w:r>
          </w:p>
        </w:tc>
        <w:tc>
          <w:tcPr>
            <w:tcW w:w="744" w:type="pct"/>
            <w:vAlign w:val="center"/>
            <w:hideMark/>
          </w:tcPr>
          <w:p w14:paraId="03B0863D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7.842</w:t>
            </w:r>
          </w:p>
        </w:tc>
        <w:tc>
          <w:tcPr>
            <w:tcW w:w="339" w:type="pct"/>
            <w:vAlign w:val="center"/>
            <w:hideMark/>
          </w:tcPr>
          <w:p w14:paraId="261A80C4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0.419</w:t>
            </w:r>
          </w:p>
        </w:tc>
        <w:tc>
          <w:tcPr>
            <w:tcW w:w="1004" w:type="pct"/>
            <w:vAlign w:val="center"/>
            <w:hideMark/>
          </w:tcPr>
          <w:p w14:paraId="61CAB84B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6.999–8.686</w:t>
            </w:r>
          </w:p>
        </w:tc>
      </w:tr>
      <w:tr w:rsidR="008B7489" w:rsidRPr="00D136AE" w14:paraId="488EFF14" w14:textId="77777777" w:rsidTr="00A47DB6">
        <w:trPr>
          <w:trHeight w:val="312"/>
        </w:trPr>
        <w:tc>
          <w:tcPr>
            <w:tcW w:w="411" w:type="pct"/>
            <w:vAlign w:val="center"/>
            <w:hideMark/>
          </w:tcPr>
          <w:p w14:paraId="4011D29B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TR83</w:t>
            </w:r>
          </w:p>
        </w:tc>
        <w:tc>
          <w:tcPr>
            <w:tcW w:w="2501" w:type="pct"/>
            <w:vAlign w:val="center"/>
            <w:hideMark/>
          </w:tcPr>
          <w:p w14:paraId="06C94ECB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Samsun, Tokat, Çorum, Amasya</w:t>
            </w:r>
          </w:p>
        </w:tc>
        <w:tc>
          <w:tcPr>
            <w:tcW w:w="744" w:type="pct"/>
            <w:vAlign w:val="center"/>
            <w:hideMark/>
          </w:tcPr>
          <w:p w14:paraId="73E063FC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8.283</w:t>
            </w:r>
          </w:p>
        </w:tc>
        <w:tc>
          <w:tcPr>
            <w:tcW w:w="339" w:type="pct"/>
            <w:vAlign w:val="center"/>
            <w:hideMark/>
          </w:tcPr>
          <w:p w14:paraId="0268BB21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0.419</w:t>
            </w:r>
          </w:p>
        </w:tc>
        <w:tc>
          <w:tcPr>
            <w:tcW w:w="1004" w:type="pct"/>
            <w:vAlign w:val="center"/>
            <w:hideMark/>
          </w:tcPr>
          <w:p w14:paraId="06DF88C7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7.439–9.126</w:t>
            </w:r>
          </w:p>
        </w:tc>
      </w:tr>
      <w:tr w:rsidR="008B7489" w:rsidRPr="00D136AE" w14:paraId="7D23D750" w14:textId="77777777" w:rsidTr="00A47DB6">
        <w:trPr>
          <w:trHeight w:val="224"/>
        </w:trPr>
        <w:tc>
          <w:tcPr>
            <w:tcW w:w="411" w:type="pct"/>
            <w:vAlign w:val="center"/>
            <w:hideMark/>
          </w:tcPr>
          <w:p w14:paraId="30DC895C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TR90</w:t>
            </w:r>
          </w:p>
        </w:tc>
        <w:tc>
          <w:tcPr>
            <w:tcW w:w="2501" w:type="pct"/>
            <w:vAlign w:val="center"/>
            <w:hideMark/>
          </w:tcPr>
          <w:p w14:paraId="178E5695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Trabzon, Ordu, Giresun, Rize, Artvin, Gümüşhane</w:t>
            </w:r>
          </w:p>
        </w:tc>
        <w:tc>
          <w:tcPr>
            <w:tcW w:w="744" w:type="pct"/>
            <w:vAlign w:val="center"/>
            <w:hideMark/>
          </w:tcPr>
          <w:p w14:paraId="4A9C4288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7.531</w:t>
            </w:r>
          </w:p>
        </w:tc>
        <w:tc>
          <w:tcPr>
            <w:tcW w:w="339" w:type="pct"/>
            <w:vAlign w:val="center"/>
            <w:hideMark/>
          </w:tcPr>
          <w:p w14:paraId="67B14248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0.419</w:t>
            </w:r>
          </w:p>
        </w:tc>
        <w:tc>
          <w:tcPr>
            <w:tcW w:w="1004" w:type="pct"/>
            <w:vAlign w:val="center"/>
            <w:hideMark/>
          </w:tcPr>
          <w:p w14:paraId="1648AD0F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6.688–8.374</w:t>
            </w:r>
          </w:p>
        </w:tc>
      </w:tr>
      <w:tr w:rsidR="008B7489" w:rsidRPr="00D136AE" w14:paraId="69B7489A" w14:textId="77777777" w:rsidTr="00A47DB6">
        <w:trPr>
          <w:trHeight w:val="312"/>
        </w:trPr>
        <w:tc>
          <w:tcPr>
            <w:tcW w:w="411" w:type="pct"/>
            <w:vAlign w:val="center"/>
            <w:hideMark/>
          </w:tcPr>
          <w:p w14:paraId="6308011C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TRA1</w:t>
            </w:r>
          </w:p>
        </w:tc>
        <w:tc>
          <w:tcPr>
            <w:tcW w:w="2501" w:type="pct"/>
            <w:vAlign w:val="center"/>
            <w:hideMark/>
          </w:tcPr>
          <w:p w14:paraId="451F827D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Erzurum, Erzincan, Bayburt</w:t>
            </w:r>
          </w:p>
        </w:tc>
        <w:tc>
          <w:tcPr>
            <w:tcW w:w="744" w:type="pct"/>
            <w:vAlign w:val="center"/>
            <w:hideMark/>
          </w:tcPr>
          <w:p w14:paraId="64DDBDCA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10.127</w:t>
            </w:r>
          </w:p>
        </w:tc>
        <w:tc>
          <w:tcPr>
            <w:tcW w:w="339" w:type="pct"/>
            <w:vAlign w:val="center"/>
            <w:hideMark/>
          </w:tcPr>
          <w:p w14:paraId="29C6DA0E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0.419</w:t>
            </w:r>
          </w:p>
        </w:tc>
        <w:tc>
          <w:tcPr>
            <w:tcW w:w="1004" w:type="pct"/>
            <w:vAlign w:val="center"/>
            <w:hideMark/>
          </w:tcPr>
          <w:p w14:paraId="4CA82599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9.284–10.971</w:t>
            </w:r>
          </w:p>
        </w:tc>
      </w:tr>
      <w:tr w:rsidR="008B7489" w:rsidRPr="00D136AE" w14:paraId="162D6C28" w14:textId="77777777" w:rsidTr="00A47DB6">
        <w:trPr>
          <w:trHeight w:val="312"/>
        </w:trPr>
        <w:tc>
          <w:tcPr>
            <w:tcW w:w="411" w:type="pct"/>
            <w:vAlign w:val="center"/>
            <w:hideMark/>
          </w:tcPr>
          <w:p w14:paraId="37693CF9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TRA2</w:t>
            </w:r>
          </w:p>
        </w:tc>
        <w:tc>
          <w:tcPr>
            <w:tcW w:w="2501" w:type="pct"/>
            <w:vAlign w:val="center"/>
            <w:hideMark/>
          </w:tcPr>
          <w:p w14:paraId="5B54EE0D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Ağrı, Kars, Iğdır, Ardahan</w:t>
            </w:r>
          </w:p>
        </w:tc>
        <w:tc>
          <w:tcPr>
            <w:tcW w:w="744" w:type="pct"/>
            <w:vAlign w:val="center"/>
            <w:hideMark/>
          </w:tcPr>
          <w:p w14:paraId="643D6181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11.887</w:t>
            </w:r>
          </w:p>
        </w:tc>
        <w:tc>
          <w:tcPr>
            <w:tcW w:w="339" w:type="pct"/>
            <w:vAlign w:val="center"/>
            <w:hideMark/>
          </w:tcPr>
          <w:p w14:paraId="21D28A93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0.419</w:t>
            </w:r>
          </w:p>
        </w:tc>
        <w:tc>
          <w:tcPr>
            <w:tcW w:w="1004" w:type="pct"/>
            <w:vAlign w:val="center"/>
            <w:hideMark/>
          </w:tcPr>
          <w:p w14:paraId="251AF4C8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11.043–12.730</w:t>
            </w:r>
          </w:p>
        </w:tc>
      </w:tr>
      <w:tr w:rsidR="008B7489" w:rsidRPr="00D136AE" w14:paraId="31563556" w14:textId="77777777" w:rsidTr="00A47DB6">
        <w:trPr>
          <w:trHeight w:val="312"/>
        </w:trPr>
        <w:tc>
          <w:tcPr>
            <w:tcW w:w="411" w:type="pct"/>
            <w:vAlign w:val="center"/>
            <w:hideMark/>
          </w:tcPr>
          <w:p w14:paraId="679B09A7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TRB1</w:t>
            </w:r>
          </w:p>
        </w:tc>
        <w:tc>
          <w:tcPr>
            <w:tcW w:w="2501" w:type="pct"/>
            <w:vAlign w:val="center"/>
            <w:hideMark/>
          </w:tcPr>
          <w:p w14:paraId="41CE44AD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 xml:space="preserve">Malatya, </w:t>
            </w:r>
            <w:proofErr w:type="gramStart"/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Elazığ</w:t>
            </w:r>
            <w:proofErr w:type="gramEnd"/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, Bingöl, Tunceli</w:t>
            </w:r>
          </w:p>
        </w:tc>
        <w:tc>
          <w:tcPr>
            <w:tcW w:w="744" w:type="pct"/>
            <w:vAlign w:val="center"/>
            <w:hideMark/>
          </w:tcPr>
          <w:p w14:paraId="212D881A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10.526</w:t>
            </w:r>
          </w:p>
        </w:tc>
        <w:tc>
          <w:tcPr>
            <w:tcW w:w="339" w:type="pct"/>
            <w:vAlign w:val="center"/>
            <w:hideMark/>
          </w:tcPr>
          <w:p w14:paraId="6ACB0C75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0.419</w:t>
            </w:r>
          </w:p>
        </w:tc>
        <w:tc>
          <w:tcPr>
            <w:tcW w:w="1004" w:type="pct"/>
            <w:vAlign w:val="center"/>
            <w:hideMark/>
          </w:tcPr>
          <w:p w14:paraId="0AA9DB7E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9.682–11.369</w:t>
            </w:r>
          </w:p>
        </w:tc>
      </w:tr>
      <w:tr w:rsidR="008B7489" w:rsidRPr="00D136AE" w14:paraId="6E6BB5B6" w14:textId="77777777" w:rsidTr="00A47DB6">
        <w:trPr>
          <w:trHeight w:val="312"/>
        </w:trPr>
        <w:tc>
          <w:tcPr>
            <w:tcW w:w="411" w:type="pct"/>
            <w:vAlign w:val="center"/>
            <w:hideMark/>
          </w:tcPr>
          <w:p w14:paraId="5348DF6F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TRB2</w:t>
            </w:r>
          </w:p>
        </w:tc>
        <w:tc>
          <w:tcPr>
            <w:tcW w:w="2501" w:type="pct"/>
            <w:vAlign w:val="center"/>
            <w:hideMark/>
          </w:tcPr>
          <w:p w14:paraId="2DB09232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 xml:space="preserve">Van, Muş, Bitlis, </w:t>
            </w:r>
            <w:proofErr w:type="gramStart"/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Hakkari</w:t>
            </w:r>
            <w:proofErr w:type="gramEnd"/>
          </w:p>
        </w:tc>
        <w:tc>
          <w:tcPr>
            <w:tcW w:w="744" w:type="pct"/>
            <w:vAlign w:val="center"/>
            <w:hideMark/>
          </w:tcPr>
          <w:p w14:paraId="69E55F14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13.319</w:t>
            </w:r>
          </w:p>
        </w:tc>
        <w:tc>
          <w:tcPr>
            <w:tcW w:w="339" w:type="pct"/>
            <w:vAlign w:val="center"/>
            <w:hideMark/>
          </w:tcPr>
          <w:p w14:paraId="1F7D7715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0.419</w:t>
            </w:r>
          </w:p>
        </w:tc>
        <w:tc>
          <w:tcPr>
            <w:tcW w:w="1004" w:type="pct"/>
            <w:vAlign w:val="center"/>
            <w:hideMark/>
          </w:tcPr>
          <w:p w14:paraId="2B4E1AED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12.475–14.162</w:t>
            </w:r>
          </w:p>
        </w:tc>
      </w:tr>
      <w:tr w:rsidR="008B7489" w:rsidRPr="00D136AE" w14:paraId="0E9EA0A0" w14:textId="77777777" w:rsidTr="00A47DB6">
        <w:trPr>
          <w:trHeight w:val="312"/>
        </w:trPr>
        <w:tc>
          <w:tcPr>
            <w:tcW w:w="411" w:type="pct"/>
            <w:vAlign w:val="center"/>
            <w:hideMark/>
          </w:tcPr>
          <w:p w14:paraId="3526E920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TRC1</w:t>
            </w:r>
          </w:p>
        </w:tc>
        <w:tc>
          <w:tcPr>
            <w:tcW w:w="2501" w:type="pct"/>
            <w:vAlign w:val="center"/>
            <w:hideMark/>
          </w:tcPr>
          <w:p w14:paraId="30CA3A95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Gaziantep, Adıyaman, Kilis</w:t>
            </w:r>
          </w:p>
        </w:tc>
        <w:tc>
          <w:tcPr>
            <w:tcW w:w="744" w:type="pct"/>
            <w:vAlign w:val="center"/>
            <w:hideMark/>
          </w:tcPr>
          <w:p w14:paraId="59362451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15.027</w:t>
            </w:r>
          </w:p>
        </w:tc>
        <w:tc>
          <w:tcPr>
            <w:tcW w:w="339" w:type="pct"/>
            <w:vAlign w:val="center"/>
            <w:hideMark/>
          </w:tcPr>
          <w:p w14:paraId="0D1C2E7E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0.419</w:t>
            </w:r>
          </w:p>
        </w:tc>
        <w:tc>
          <w:tcPr>
            <w:tcW w:w="1004" w:type="pct"/>
            <w:vAlign w:val="center"/>
            <w:hideMark/>
          </w:tcPr>
          <w:p w14:paraId="0D303CF1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14.184–15.870</w:t>
            </w:r>
          </w:p>
        </w:tc>
      </w:tr>
      <w:tr w:rsidR="008B7489" w:rsidRPr="00D136AE" w14:paraId="38B9659F" w14:textId="77777777" w:rsidTr="00A47DB6">
        <w:trPr>
          <w:trHeight w:val="312"/>
        </w:trPr>
        <w:tc>
          <w:tcPr>
            <w:tcW w:w="411" w:type="pct"/>
            <w:vAlign w:val="center"/>
            <w:hideMark/>
          </w:tcPr>
          <w:p w14:paraId="7684E101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TRC2</w:t>
            </w:r>
          </w:p>
        </w:tc>
        <w:tc>
          <w:tcPr>
            <w:tcW w:w="2501" w:type="pct"/>
            <w:vAlign w:val="center"/>
            <w:hideMark/>
          </w:tcPr>
          <w:p w14:paraId="62B8DD1F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Şanlıurfa, Diyarbakır</w:t>
            </w:r>
          </w:p>
        </w:tc>
        <w:tc>
          <w:tcPr>
            <w:tcW w:w="744" w:type="pct"/>
            <w:vAlign w:val="center"/>
            <w:hideMark/>
          </w:tcPr>
          <w:p w14:paraId="6907CE8B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14.251</w:t>
            </w:r>
          </w:p>
        </w:tc>
        <w:tc>
          <w:tcPr>
            <w:tcW w:w="339" w:type="pct"/>
            <w:vAlign w:val="center"/>
            <w:hideMark/>
          </w:tcPr>
          <w:p w14:paraId="6B8B93FE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0.419</w:t>
            </w:r>
          </w:p>
        </w:tc>
        <w:tc>
          <w:tcPr>
            <w:tcW w:w="1004" w:type="pct"/>
            <w:vAlign w:val="center"/>
            <w:hideMark/>
          </w:tcPr>
          <w:p w14:paraId="64B96DE2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13.407–15.094</w:t>
            </w:r>
          </w:p>
        </w:tc>
      </w:tr>
      <w:tr w:rsidR="008B7489" w:rsidRPr="00D136AE" w14:paraId="1343EA6A" w14:textId="77777777" w:rsidTr="00A47DB6">
        <w:trPr>
          <w:trHeight w:val="312"/>
        </w:trPr>
        <w:tc>
          <w:tcPr>
            <w:tcW w:w="411" w:type="pct"/>
            <w:vAlign w:val="center"/>
            <w:hideMark/>
          </w:tcPr>
          <w:p w14:paraId="3B7C5B87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TRC3</w:t>
            </w:r>
          </w:p>
        </w:tc>
        <w:tc>
          <w:tcPr>
            <w:tcW w:w="2501" w:type="pct"/>
            <w:vAlign w:val="center"/>
            <w:hideMark/>
          </w:tcPr>
          <w:p w14:paraId="2CD030EC" w14:textId="77777777" w:rsidR="008B7489" w:rsidRPr="00D136AE" w:rsidRDefault="008B7489" w:rsidP="00A47DB6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Mardin, Batman, Şırnak, Siirt</w:t>
            </w:r>
          </w:p>
        </w:tc>
        <w:tc>
          <w:tcPr>
            <w:tcW w:w="744" w:type="pct"/>
            <w:vAlign w:val="center"/>
            <w:hideMark/>
          </w:tcPr>
          <w:p w14:paraId="49F19045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13.188</w:t>
            </w:r>
          </w:p>
        </w:tc>
        <w:tc>
          <w:tcPr>
            <w:tcW w:w="339" w:type="pct"/>
            <w:vAlign w:val="center"/>
            <w:hideMark/>
          </w:tcPr>
          <w:p w14:paraId="53388C4B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0.419</w:t>
            </w:r>
          </w:p>
        </w:tc>
        <w:tc>
          <w:tcPr>
            <w:tcW w:w="1004" w:type="pct"/>
            <w:vAlign w:val="center"/>
            <w:hideMark/>
          </w:tcPr>
          <w:p w14:paraId="3B6B024C" w14:textId="77777777" w:rsidR="008B7489" w:rsidRPr="00D136AE" w:rsidRDefault="008B7489" w:rsidP="00A47DB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tr-TR"/>
                <w14:ligatures w14:val="none"/>
              </w:rPr>
            </w:pPr>
            <w:r w:rsidRPr="00D136AE">
              <w:rPr>
                <w:rFonts w:eastAsia="Times New Roman" w:cs="Times New Roman"/>
                <w:szCs w:val="24"/>
                <w:lang w:eastAsia="tr-TR"/>
                <w14:ligatures w14:val="none"/>
              </w:rPr>
              <w:t>12.345–14.031</w:t>
            </w:r>
          </w:p>
        </w:tc>
      </w:tr>
    </w:tbl>
    <w:p w14:paraId="2F849EF4" w14:textId="77777777" w:rsidR="008B7489" w:rsidRPr="00E774A1" w:rsidRDefault="008B7489" w:rsidP="008B7489">
      <w:pPr>
        <w:rPr>
          <w:sz w:val="20"/>
          <w:szCs w:val="18"/>
        </w:rPr>
      </w:pPr>
      <w:proofErr w:type="spellStart"/>
      <w:r w:rsidRPr="00E774A1">
        <w:rPr>
          <w:b/>
          <w:bCs/>
          <w:i/>
          <w:iCs/>
          <w:sz w:val="20"/>
          <w:szCs w:val="18"/>
        </w:rPr>
        <w:t>Note</w:t>
      </w:r>
      <w:proofErr w:type="spellEnd"/>
      <w:r w:rsidRPr="00E774A1">
        <w:rPr>
          <w:sz w:val="20"/>
          <w:szCs w:val="18"/>
        </w:rPr>
        <w:t xml:space="preserve">: </w:t>
      </w:r>
      <w:proofErr w:type="spellStart"/>
      <w:r w:rsidRPr="00E27B56">
        <w:rPr>
          <w:sz w:val="20"/>
          <w:szCs w:val="18"/>
        </w:rPr>
        <w:t>Estimated</w:t>
      </w:r>
      <w:proofErr w:type="spellEnd"/>
      <w:r w:rsidRPr="00E27B56">
        <w:rPr>
          <w:sz w:val="20"/>
          <w:szCs w:val="18"/>
        </w:rPr>
        <w:t xml:space="preserve"> </w:t>
      </w:r>
      <w:proofErr w:type="spellStart"/>
      <w:r w:rsidRPr="00E27B56">
        <w:rPr>
          <w:sz w:val="20"/>
          <w:szCs w:val="18"/>
        </w:rPr>
        <w:t>marginal</w:t>
      </w:r>
      <w:proofErr w:type="spellEnd"/>
      <w:r w:rsidRPr="00E27B56">
        <w:rPr>
          <w:sz w:val="20"/>
          <w:szCs w:val="18"/>
        </w:rPr>
        <w:t xml:space="preserve"> </w:t>
      </w:r>
      <w:proofErr w:type="spellStart"/>
      <w:r w:rsidRPr="00E27B56">
        <w:rPr>
          <w:sz w:val="20"/>
          <w:szCs w:val="18"/>
        </w:rPr>
        <w:t>means</w:t>
      </w:r>
      <w:proofErr w:type="spellEnd"/>
      <w:r w:rsidRPr="00E27B56">
        <w:rPr>
          <w:sz w:val="20"/>
          <w:szCs w:val="18"/>
        </w:rPr>
        <w:t xml:space="preserve"> </w:t>
      </w:r>
      <w:proofErr w:type="spellStart"/>
      <w:r w:rsidRPr="00E27B56">
        <w:rPr>
          <w:sz w:val="20"/>
          <w:szCs w:val="18"/>
        </w:rPr>
        <w:t>were</w:t>
      </w:r>
      <w:proofErr w:type="spellEnd"/>
      <w:r w:rsidRPr="00E27B56">
        <w:rPr>
          <w:sz w:val="20"/>
          <w:szCs w:val="18"/>
        </w:rPr>
        <w:t xml:space="preserve"> </w:t>
      </w:r>
      <w:proofErr w:type="spellStart"/>
      <w:r w:rsidRPr="00E27B56">
        <w:rPr>
          <w:sz w:val="20"/>
          <w:szCs w:val="18"/>
        </w:rPr>
        <w:t>obtained</w:t>
      </w:r>
      <w:proofErr w:type="spellEnd"/>
      <w:r w:rsidRPr="00E27B56">
        <w:rPr>
          <w:sz w:val="20"/>
          <w:szCs w:val="18"/>
        </w:rPr>
        <w:t xml:space="preserve"> </w:t>
      </w:r>
      <w:proofErr w:type="spellStart"/>
      <w:r w:rsidRPr="00E27B56">
        <w:rPr>
          <w:sz w:val="20"/>
          <w:szCs w:val="18"/>
        </w:rPr>
        <w:t>from</w:t>
      </w:r>
      <w:proofErr w:type="spellEnd"/>
      <w:r w:rsidRPr="00E27B56">
        <w:rPr>
          <w:sz w:val="20"/>
          <w:szCs w:val="18"/>
        </w:rPr>
        <w:t xml:space="preserve"> a </w:t>
      </w:r>
      <w:proofErr w:type="spellStart"/>
      <w:r w:rsidRPr="00E27B56">
        <w:rPr>
          <w:sz w:val="20"/>
          <w:szCs w:val="18"/>
        </w:rPr>
        <w:t>linear</w:t>
      </w:r>
      <w:proofErr w:type="spellEnd"/>
      <w:r w:rsidRPr="00E27B56">
        <w:rPr>
          <w:sz w:val="20"/>
          <w:szCs w:val="18"/>
        </w:rPr>
        <w:t xml:space="preserve"> </w:t>
      </w:r>
      <w:proofErr w:type="spellStart"/>
      <w:r w:rsidRPr="00E27B56">
        <w:rPr>
          <w:sz w:val="20"/>
          <w:szCs w:val="18"/>
        </w:rPr>
        <w:t>mixed-effects</w:t>
      </w:r>
      <w:proofErr w:type="spellEnd"/>
      <w:r w:rsidRPr="00E27B56">
        <w:rPr>
          <w:sz w:val="20"/>
          <w:szCs w:val="18"/>
        </w:rPr>
        <w:t xml:space="preserve"> model </w:t>
      </w:r>
      <w:proofErr w:type="spellStart"/>
      <w:r w:rsidRPr="00E27B56">
        <w:rPr>
          <w:sz w:val="20"/>
          <w:szCs w:val="18"/>
        </w:rPr>
        <w:t>including</w:t>
      </w:r>
      <w:proofErr w:type="spellEnd"/>
      <w:r w:rsidRPr="00E27B56">
        <w:rPr>
          <w:sz w:val="20"/>
          <w:szCs w:val="18"/>
        </w:rPr>
        <w:t xml:space="preserve"> NUTS-2 </w:t>
      </w:r>
      <w:proofErr w:type="spellStart"/>
      <w:r w:rsidRPr="00E27B56">
        <w:rPr>
          <w:sz w:val="20"/>
          <w:szCs w:val="18"/>
        </w:rPr>
        <w:t>region</w:t>
      </w:r>
      <w:proofErr w:type="spellEnd"/>
      <w:r w:rsidRPr="00E27B56">
        <w:rPr>
          <w:sz w:val="20"/>
          <w:szCs w:val="18"/>
        </w:rPr>
        <w:t xml:space="preserve"> </w:t>
      </w:r>
      <w:proofErr w:type="spellStart"/>
      <w:r w:rsidRPr="00E27B56">
        <w:rPr>
          <w:sz w:val="20"/>
          <w:szCs w:val="18"/>
        </w:rPr>
        <w:t>and</w:t>
      </w:r>
      <w:proofErr w:type="spellEnd"/>
      <w:r w:rsidRPr="00E27B56">
        <w:rPr>
          <w:sz w:val="20"/>
          <w:szCs w:val="18"/>
        </w:rPr>
        <w:t xml:space="preserve"> </w:t>
      </w:r>
      <w:proofErr w:type="spellStart"/>
      <w:r w:rsidRPr="00E27B56">
        <w:rPr>
          <w:sz w:val="20"/>
          <w:szCs w:val="18"/>
        </w:rPr>
        <w:t>year</w:t>
      </w:r>
      <w:proofErr w:type="spellEnd"/>
      <w:r w:rsidRPr="00E27B56">
        <w:rPr>
          <w:sz w:val="20"/>
          <w:szCs w:val="18"/>
        </w:rPr>
        <w:t xml:space="preserve"> as </w:t>
      </w:r>
      <w:proofErr w:type="spellStart"/>
      <w:r w:rsidRPr="00E27B56">
        <w:rPr>
          <w:sz w:val="20"/>
          <w:szCs w:val="18"/>
        </w:rPr>
        <w:t>categorical</w:t>
      </w:r>
      <w:proofErr w:type="spellEnd"/>
      <w:r w:rsidRPr="00E27B56">
        <w:rPr>
          <w:sz w:val="20"/>
          <w:szCs w:val="18"/>
        </w:rPr>
        <w:t xml:space="preserve"> </w:t>
      </w:r>
      <w:proofErr w:type="spellStart"/>
      <w:r w:rsidRPr="00E27B56">
        <w:rPr>
          <w:sz w:val="20"/>
          <w:szCs w:val="18"/>
        </w:rPr>
        <w:t>fixed</w:t>
      </w:r>
      <w:proofErr w:type="spellEnd"/>
      <w:r w:rsidRPr="00E27B56">
        <w:rPr>
          <w:sz w:val="20"/>
          <w:szCs w:val="18"/>
        </w:rPr>
        <w:t xml:space="preserve"> </w:t>
      </w:r>
      <w:proofErr w:type="spellStart"/>
      <w:r w:rsidRPr="00E27B56">
        <w:rPr>
          <w:sz w:val="20"/>
          <w:szCs w:val="18"/>
        </w:rPr>
        <w:t>effects</w:t>
      </w:r>
      <w:proofErr w:type="spellEnd"/>
      <w:r w:rsidRPr="00E27B56">
        <w:rPr>
          <w:sz w:val="20"/>
          <w:szCs w:val="18"/>
        </w:rPr>
        <w:t xml:space="preserve">. </w:t>
      </w:r>
      <w:proofErr w:type="spellStart"/>
      <w:r w:rsidRPr="00E27B56">
        <w:rPr>
          <w:sz w:val="20"/>
          <w:szCs w:val="18"/>
        </w:rPr>
        <w:t>Repeated</w:t>
      </w:r>
      <w:proofErr w:type="spellEnd"/>
      <w:r w:rsidRPr="00E27B56">
        <w:rPr>
          <w:sz w:val="20"/>
          <w:szCs w:val="18"/>
        </w:rPr>
        <w:t xml:space="preserve"> </w:t>
      </w:r>
      <w:proofErr w:type="spellStart"/>
      <w:r w:rsidRPr="00E27B56">
        <w:rPr>
          <w:sz w:val="20"/>
          <w:szCs w:val="18"/>
        </w:rPr>
        <w:t>annual</w:t>
      </w:r>
      <w:proofErr w:type="spellEnd"/>
      <w:r w:rsidRPr="00E27B56">
        <w:rPr>
          <w:sz w:val="20"/>
          <w:szCs w:val="18"/>
        </w:rPr>
        <w:t xml:space="preserve"> </w:t>
      </w:r>
      <w:proofErr w:type="spellStart"/>
      <w:r w:rsidRPr="00E27B56">
        <w:rPr>
          <w:sz w:val="20"/>
          <w:szCs w:val="18"/>
        </w:rPr>
        <w:t>observations</w:t>
      </w:r>
      <w:proofErr w:type="spellEnd"/>
      <w:r w:rsidRPr="00E27B56">
        <w:rPr>
          <w:sz w:val="20"/>
          <w:szCs w:val="18"/>
        </w:rPr>
        <w:t xml:space="preserve"> </w:t>
      </w:r>
      <w:proofErr w:type="spellStart"/>
      <w:r w:rsidRPr="00E27B56">
        <w:rPr>
          <w:sz w:val="20"/>
          <w:szCs w:val="18"/>
        </w:rPr>
        <w:t>within</w:t>
      </w:r>
      <w:proofErr w:type="spellEnd"/>
      <w:r w:rsidRPr="00E27B56">
        <w:rPr>
          <w:sz w:val="20"/>
          <w:szCs w:val="18"/>
        </w:rPr>
        <w:t xml:space="preserve"> </w:t>
      </w:r>
      <w:proofErr w:type="spellStart"/>
      <w:r w:rsidRPr="00E27B56">
        <w:rPr>
          <w:sz w:val="20"/>
          <w:szCs w:val="18"/>
        </w:rPr>
        <w:t>each</w:t>
      </w:r>
      <w:proofErr w:type="spellEnd"/>
      <w:r w:rsidRPr="00E27B56">
        <w:rPr>
          <w:sz w:val="20"/>
          <w:szCs w:val="18"/>
        </w:rPr>
        <w:t xml:space="preserve"> </w:t>
      </w:r>
      <w:proofErr w:type="spellStart"/>
      <w:r w:rsidRPr="00E27B56">
        <w:rPr>
          <w:sz w:val="20"/>
          <w:szCs w:val="18"/>
        </w:rPr>
        <w:t>region</w:t>
      </w:r>
      <w:proofErr w:type="spellEnd"/>
      <w:r w:rsidRPr="00E27B56">
        <w:rPr>
          <w:sz w:val="20"/>
          <w:szCs w:val="18"/>
        </w:rPr>
        <w:t xml:space="preserve"> </w:t>
      </w:r>
      <w:proofErr w:type="spellStart"/>
      <w:r w:rsidRPr="00E27B56">
        <w:rPr>
          <w:sz w:val="20"/>
          <w:szCs w:val="18"/>
        </w:rPr>
        <w:t>were</w:t>
      </w:r>
      <w:proofErr w:type="spellEnd"/>
      <w:r w:rsidRPr="00E27B56">
        <w:rPr>
          <w:sz w:val="20"/>
          <w:szCs w:val="18"/>
        </w:rPr>
        <w:t xml:space="preserve"> </w:t>
      </w:r>
      <w:proofErr w:type="spellStart"/>
      <w:r w:rsidRPr="00E27B56">
        <w:rPr>
          <w:sz w:val="20"/>
          <w:szCs w:val="18"/>
        </w:rPr>
        <w:t>modelled</w:t>
      </w:r>
      <w:proofErr w:type="spellEnd"/>
      <w:r w:rsidRPr="00E27B56">
        <w:rPr>
          <w:sz w:val="20"/>
          <w:szCs w:val="18"/>
        </w:rPr>
        <w:t xml:space="preserve"> </w:t>
      </w:r>
      <w:proofErr w:type="spellStart"/>
      <w:r w:rsidRPr="00E27B56">
        <w:rPr>
          <w:sz w:val="20"/>
          <w:szCs w:val="18"/>
        </w:rPr>
        <w:t>using</w:t>
      </w:r>
      <w:proofErr w:type="spellEnd"/>
      <w:r w:rsidRPr="00E27B56">
        <w:rPr>
          <w:sz w:val="20"/>
          <w:szCs w:val="18"/>
        </w:rPr>
        <w:t xml:space="preserve"> a </w:t>
      </w:r>
      <w:proofErr w:type="spellStart"/>
      <w:r w:rsidRPr="00E27B56">
        <w:rPr>
          <w:sz w:val="20"/>
          <w:szCs w:val="18"/>
        </w:rPr>
        <w:t>first-order</w:t>
      </w:r>
      <w:proofErr w:type="spellEnd"/>
      <w:r w:rsidRPr="00E27B56">
        <w:rPr>
          <w:sz w:val="20"/>
          <w:szCs w:val="18"/>
        </w:rPr>
        <w:t xml:space="preserve"> </w:t>
      </w:r>
      <w:proofErr w:type="spellStart"/>
      <w:r w:rsidRPr="00E27B56">
        <w:rPr>
          <w:sz w:val="20"/>
          <w:szCs w:val="18"/>
        </w:rPr>
        <w:t>autoregressive</w:t>
      </w:r>
      <w:proofErr w:type="spellEnd"/>
      <w:r w:rsidRPr="00E27B56">
        <w:rPr>
          <w:sz w:val="20"/>
          <w:szCs w:val="18"/>
        </w:rPr>
        <w:t xml:space="preserve"> [</w:t>
      </w:r>
      <w:proofErr w:type="gramStart"/>
      <w:r w:rsidRPr="00E27B56">
        <w:rPr>
          <w:sz w:val="20"/>
          <w:szCs w:val="18"/>
        </w:rPr>
        <w:t>AR(</w:t>
      </w:r>
      <w:proofErr w:type="gramEnd"/>
      <w:r w:rsidRPr="00E27B56">
        <w:rPr>
          <w:sz w:val="20"/>
          <w:szCs w:val="18"/>
        </w:rPr>
        <w:t xml:space="preserve">1)] </w:t>
      </w:r>
      <w:proofErr w:type="spellStart"/>
      <w:r w:rsidRPr="00E27B56">
        <w:rPr>
          <w:sz w:val="20"/>
          <w:szCs w:val="18"/>
        </w:rPr>
        <w:t>covariance</w:t>
      </w:r>
      <w:proofErr w:type="spellEnd"/>
      <w:r w:rsidRPr="00E27B56">
        <w:rPr>
          <w:sz w:val="20"/>
          <w:szCs w:val="18"/>
        </w:rPr>
        <w:t xml:space="preserve"> </w:t>
      </w:r>
      <w:proofErr w:type="spellStart"/>
      <w:r w:rsidRPr="00E27B56">
        <w:rPr>
          <w:sz w:val="20"/>
          <w:szCs w:val="18"/>
        </w:rPr>
        <w:t>structure</w:t>
      </w:r>
      <w:proofErr w:type="spellEnd"/>
      <w:r w:rsidRPr="00E27B56">
        <w:rPr>
          <w:sz w:val="20"/>
          <w:szCs w:val="18"/>
        </w:rPr>
        <w:t xml:space="preserve">. </w:t>
      </w:r>
      <w:proofErr w:type="spellStart"/>
      <w:r w:rsidRPr="00E27B56">
        <w:rPr>
          <w:sz w:val="20"/>
          <w:szCs w:val="18"/>
        </w:rPr>
        <w:t>Estimates</w:t>
      </w:r>
      <w:proofErr w:type="spellEnd"/>
      <w:r w:rsidRPr="00E27B56">
        <w:rPr>
          <w:sz w:val="20"/>
          <w:szCs w:val="18"/>
        </w:rPr>
        <w:t xml:space="preserve"> </w:t>
      </w:r>
      <w:proofErr w:type="spellStart"/>
      <w:r w:rsidRPr="00E27B56">
        <w:rPr>
          <w:sz w:val="20"/>
          <w:szCs w:val="18"/>
        </w:rPr>
        <w:t>were</w:t>
      </w:r>
      <w:proofErr w:type="spellEnd"/>
      <w:r w:rsidRPr="00E27B56">
        <w:rPr>
          <w:sz w:val="20"/>
          <w:szCs w:val="18"/>
        </w:rPr>
        <w:t xml:space="preserve"> </w:t>
      </w:r>
      <w:proofErr w:type="spellStart"/>
      <w:r w:rsidRPr="00E27B56">
        <w:rPr>
          <w:sz w:val="20"/>
          <w:szCs w:val="18"/>
        </w:rPr>
        <w:t>adjusted</w:t>
      </w:r>
      <w:proofErr w:type="spellEnd"/>
      <w:r w:rsidRPr="00E27B56">
        <w:rPr>
          <w:sz w:val="20"/>
          <w:szCs w:val="18"/>
        </w:rPr>
        <w:t xml:space="preserve"> </w:t>
      </w:r>
      <w:proofErr w:type="spellStart"/>
      <w:r w:rsidRPr="00E27B56">
        <w:rPr>
          <w:sz w:val="20"/>
          <w:szCs w:val="18"/>
        </w:rPr>
        <w:t>for</w:t>
      </w:r>
      <w:proofErr w:type="spellEnd"/>
      <w:r w:rsidRPr="00E27B56">
        <w:rPr>
          <w:sz w:val="20"/>
          <w:szCs w:val="18"/>
        </w:rPr>
        <w:t xml:space="preserve"> </w:t>
      </w:r>
      <w:proofErr w:type="spellStart"/>
      <w:r w:rsidRPr="00E27B56">
        <w:rPr>
          <w:sz w:val="20"/>
          <w:szCs w:val="18"/>
        </w:rPr>
        <w:t>the</w:t>
      </w:r>
      <w:proofErr w:type="spellEnd"/>
      <w:r w:rsidRPr="00E27B56">
        <w:rPr>
          <w:sz w:val="20"/>
          <w:szCs w:val="18"/>
        </w:rPr>
        <w:t xml:space="preserve"> </w:t>
      </w:r>
      <w:proofErr w:type="spellStart"/>
      <w:r w:rsidRPr="00E27B56">
        <w:rPr>
          <w:sz w:val="20"/>
          <w:szCs w:val="18"/>
        </w:rPr>
        <w:t>categorical</w:t>
      </w:r>
      <w:proofErr w:type="spellEnd"/>
      <w:r w:rsidRPr="00E27B56">
        <w:rPr>
          <w:sz w:val="20"/>
          <w:szCs w:val="18"/>
        </w:rPr>
        <w:t xml:space="preserve"> </w:t>
      </w:r>
      <w:proofErr w:type="spellStart"/>
      <w:r w:rsidRPr="00E27B56">
        <w:rPr>
          <w:sz w:val="20"/>
          <w:szCs w:val="18"/>
        </w:rPr>
        <w:t>year</w:t>
      </w:r>
      <w:proofErr w:type="spellEnd"/>
      <w:r w:rsidRPr="00E27B56">
        <w:rPr>
          <w:sz w:val="20"/>
          <w:szCs w:val="18"/>
        </w:rPr>
        <w:t xml:space="preserve"> </w:t>
      </w:r>
      <w:proofErr w:type="spellStart"/>
      <w:r w:rsidRPr="00E27B56">
        <w:rPr>
          <w:sz w:val="20"/>
          <w:szCs w:val="18"/>
        </w:rPr>
        <w:t>effect</w:t>
      </w:r>
      <w:proofErr w:type="spellEnd"/>
      <w:r w:rsidRPr="00E27B56">
        <w:rPr>
          <w:sz w:val="20"/>
          <w:szCs w:val="18"/>
        </w:rPr>
        <w:t xml:space="preserve"> </w:t>
      </w:r>
      <w:proofErr w:type="spellStart"/>
      <w:r w:rsidRPr="00E27B56">
        <w:rPr>
          <w:sz w:val="20"/>
          <w:szCs w:val="18"/>
        </w:rPr>
        <w:t>and</w:t>
      </w:r>
      <w:proofErr w:type="spellEnd"/>
      <w:r w:rsidRPr="00E27B56">
        <w:rPr>
          <w:sz w:val="20"/>
          <w:szCs w:val="18"/>
        </w:rPr>
        <w:t xml:space="preserve"> </w:t>
      </w:r>
      <w:proofErr w:type="spellStart"/>
      <w:r w:rsidRPr="00E27B56">
        <w:rPr>
          <w:sz w:val="20"/>
          <w:szCs w:val="18"/>
        </w:rPr>
        <w:t>are</w:t>
      </w:r>
      <w:proofErr w:type="spellEnd"/>
      <w:r w:rsidRPr="00E27B56">
        <w:rPr>
          <w:sz w:val="20"/>
          <w:szCs w:val="18"/>
        </w:rPr>
        <w:t xml:space="preserve"> </w:t>
      </w:r>
      <w:proofErr w:type="spellStart"/>
      <w:r w:rsidRPr="00E27B56">
        <w:rPr>
          <w:sz w:val="20"/>
          <w:szCs w:val="18"/>
        </w:rPr>
        <w:t>expressed</w:t>
      </w:r>
      <w:proofErr w:type="spellEnd"/>
      <w:r w:rsidRPr="00E27B56">
        <w:rPr>
          <w:sz w:val="20"/>
          <w:szCs w:val="18"/>
        </w:rPr>
        <w:t xml:space="preserve"> as infant </w:t>
      </w:r>
      <w:proofErr w:type="spellStart"/>
      <w:r w:rsidRPr="00E27B56">
        <w:rPr>
          <w:sz w:val="20"/>
          <w:szCs w:val="18"/>
        </w:rPr>
        <w:t>deaths</w:t>
      </w:r>
      <w:proofErr w:type="spellEnd"/>
      <w:r w:rsidRPr="00E27B56">
        <w:rPr>
          <w:sz w:val="20"/>
          <w:szCs w:val="18"/>
        </w:rPr>
        <w:t xml:space="preserve"> </w:t>
      </w:r>
      <w:proofErr w:type="spellStart"/>
      <w:r w:rsidRPr="00E27B56">
        <w:rPr>
          <w:sz w:val="20"/>
          <w:szCs w:val="18"/>
        </w:rPr>
        <w:t>per</w:t>
      </w:r>
      <w:proofErr w:type="spellEnd"/>
      <w:r w:rsidRPr="00E27B56">
        <w:rPr>
          <w:sz w:val="20"/>
          <w:szCs w:val="18"/>
        </w:rPr>
        <w:t xml:space="preserve"> 1,000 </w:t>
      </w:r>
      <w:proofErr w:type="spellStart"/>
      <w:r w:rsidRPr="00E27B56">
        <w:rPr>
          <w:sz w:val="20"/>
          <w:szCs w:val="18"/>
        </w:rPr>
        <w:t>live</w:t>
      </w:r>
      <w:proofErr w:type="spellEnd"/>
      <w:r w:rsidRPr="00E27B56">
        <w:rPr>
          <w:sz w:val="20"/>
          <w:szCs w:val="18"/>
        </w:rPr>
        <w:t xml:space="preserve"> </w:t>
      </w:r>
      <w:proofErr w:type="spellStart"/>
      <w:r w:rsidRPr="00E27B56">
        <w:rPr>
          <w:sz w:val="20"/>
          <w:szCs w:val="18"/>
        </w:rPr>
        <w:t>births</w:t>
      </w:r>
      <w:proofErr w:type="spellEnd"/>
      <w:r w:rsidRPr="00E27B56">
        <w:rPr>
          <w:sz w:val="20"/>
          <w:szCs w:val="18"/>
        </w:rPr>
        <w:t xml:space="preserve">. SE, </w:t>
      </w:r>
      <w:proofErr w:type="spellStart"/>
      <w:r w:rsidRPr="00E27B56">
        <w:rPr>
          <w:sz w:val="20"/>
          <w:szCs w:val="18"/>
        </w:rPr>
        <w:t>standard</w:t>
      </w:r>
      <w:proofErr w:type="spellEnd"/>
      <w:r w:rsidRPr="00E27B56">
        <w:rPr>
          <w:sz w:val="20"/>
          <w:szCs w:val="18"/>
        </w:rPr>
        <w:t xml:space="preserve"> </w:t>
      </w:r>
      <w:proofErr w:type="spellStart"/>
      <w:r w:rsidRPr="00E27B56">
        <w:rPr>
          <w:sz w:val="20"/>
          <w:szCs w:val="18"/>
        </w:rPr>
        <w:t>error</w:t>
      </w:r>
      <w:proofErr w:type="spellEnd"/>
      <w:r w:rsidRPr="00E27B56">
        <w:rPr>
          <w:sz w:val="20"/>
          <w:szCs w:val="18"/>
        </w:rPr>
        <w:t xml:space="preserve">; CI, </w:t>
      </w:r>
      <w:proofErr w:type="spellStart"/>
      <w:r w:rsidRPr="00E27B56">
        <w:rPr>
          <w:sz w:val="20"/>
          <w:szCs w:val="18"/>
        </w:rPr>
        <w:t>confidence</w:t>
      </w:r>
      <w:proofErr w:type="spellEnd"/>
      <w:r w:rsidRPr="00E27B56">
        <w:rPr>
          <w:sz w:val="20"/>
          <w:szCs w:val="18"/>
        </w:rPr>
        <w:t xml:space="preserve"> interval.</w:t>
      </w:r>
    </w:p>
    <w:p w14:paraId="543E9947" w14:textId="77777777" w:rsidR="00934783" w:rsidRDefault="00934783"/>
    <w:sectPr w:rsidR="00934783" w:rsidSect="008B7489">
      <w:footerReference w:type="default" r:id="rId4"/>
      <w:pgSz w:w="11906" w:h="16838"/>
      <w:pgMar w:top="720" w:right="720" w:bottom="720" w:left="72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4099376"/>
      <w:docPartObj>
        <w:docPartGallery w:val="Page Numbers (Bottom of Page)"/>
        <w:docPartUnique/>
      </w:docPartObj>
    </w:sdtPr>
    <w:sdtContent>
      <w:p w14:paraId="0DD2C432" w14:textId="77777777" w:rsidR="008B7489" w:rsidRDefault="008B7489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BD6590" w14:textId="77777777" w:rsidR="008B7489" w:rsidRDefault="008B7489">
    <w:pPr>
      <w:pStyle w:val="AltBilgi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783"/>
    <w:rsid w:val="0087462A"/>
    <w:rsid w:val="008B7489"/>
    <w:rsid w:val="0093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7759D6-22DF-4A2B-8137-364AC796B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489"/>
    <w:pPr>
      <w:spacing w:after="200" w:line="276" w:lineRule="auto"/>
      <w:jc w:val="both"/>
    </w:pPr>
    <w:rPr>
      <w:rFonts w:ascii="Times New Roman" w:hAnsi="Times New Roman"/>
      <w:kern w:val="0"/>
      <w:szCs w:val="22"/>
    </w:rPr>
  </w:style>
  <w:style w:type="paragraph" w:styleId="Balk1">
    <w:name w:val="heading 1"/>
    <w:basedOn w:val="Normal"/>
    <w:next w:val="Normal"/>
    <w:link w:val="Balk1Char"/>
    <w:uiPriority w:val="9"/>
    <w:qFormat/>
    <w:rsid w:val="00934783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34783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34783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34783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34783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34783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34783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34783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34783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347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347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347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3478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3478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3478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3478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3478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3478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34783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347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34783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347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34783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</w:rPr>
  </w:style>
  <w:style w:type="character" w:customStyle="1" w:styleId="AlntChar">
    <w:name w:val="Alıntı Char"/>
    <w:basedOn w:val="VarsaylanParagrafYazTipi"/>
    <w:link w:val="Alnt"/>
    <w:uiPriority w:val="29"/>
    <w:rsid w:val="0093478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34783"/>
    <w:pPr>
      <w:spacing w:after="160" w:line="278" w:lineRule="auto"/>
      <w:ind w:left="720"/>
      <w:contextualSpacing/>
      <w:jc w:val="left"/>
    </w:pPr>
    <w:rPr>
      <w:rFonts w:asciiTheme="minorHAnsi" w:hAnsiTheme="minorHAnsi"/>
      <w:kern w:val="2"/>
      <w:szCs w:val="24"/>
    </w:rPr>
  </w:style>
  <w:style w:type="character" w:styleId="GlVurgulama">
    <w:name w:val="Intense Emphasis"/>
    <w:basedOn w:val="VarsaylanParagrafYazTipi"/>
    <w:uiPriority w:val="21"/>
    <w:qFormat/>
    <w:rsid w:val="0093478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347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</w:rPr>
  </w:style>
  <w:style w:type="character" w:customStyle="1" w:styleId="GlAlntChar">
    <w:name w:val="Güçlü Alıntı Char"/>
    <w:basedOn w:val="VarsaylanParagrafYazTipi"/>
    <w:link w:val="GlAlnt"/>
    <w:uiPriority w:val="30"/>
    <w:rsid w:val="0093478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34783"/>
    <w:rPr>
      <w:b/>
      <w:bCs/>
      <w:smallCaps/>
      <w:color w:val="0F4761" w:themeColor="accent1" w:themeShade="BF"/>
      <w:spacing w:val="5"/>
    </w:rPr>
  </w:style>
  <w:style w:type="paragraph" w:styleId="AltBilgi">
    <w:name w:val="footer"/>
    <w:basedOn w:val="Normal"/>
    <w:link w:val="AltBilgiChar"/>
    <w:uiPriority w:val="99"/>
    <w:unhideWhenUsed/>
    <w:rsid w:val="008B74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B7489"/>
    <w:rPr>
      <w:rFonts w:ascii="Times New Roman" w:hAnsi="Times New Roman"/>
      <w:kern w:val="0"/>
      <w:szCs w:val="22"/>
    </w:rPr>
  </w:style>
  <w:style w:type="character" w:styleId="SatrNumaras">
    <w:name w:val="line number"/>
    <w:basedOn w:val="VarsaylanParagrafYazTipi"/>
    <w:uiPriority w:val="99"/>
    <w:semiHidden/>
    <w:unhideWhenUsed/>
    <w:rsid w:val="008B74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1796</Characters>
  <Application>Microsoft Office Word</Application>
  <DocSecurity>0</DocSecurity>
  <Lines>39</Lines>
  <Paragraphs>24</Paragraphs>
  <ScaleCrop>false</ScaleCrop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Sibel ACAT</dc:creator>
  <cp:keywords/>
  <dc:description/>
  <cp:lastModifiedBy>Sibel ACAT</cp:lastModifiedBy>
  <cp:revision>2</cp:revision>
  <dcterms:created xsi:type="dcterms:W3CDTF">2026-07-15T19:15:00Z</dcterms:created>
  <dcterms:modified xsi:type="dcterms:W3CDTF">2026-07-15T19:15:00Z</dcterms:modified>
</cp:coreProperties>
</file>