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C6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b/>
          <w:bCs/>
          <w:sz w:val="24"/>
          <w:szCs w:val="24"/>
        </w:rPr>
        <w:t>Supplementary Material</w:t>
      </w:r>
    </w:p>
    <w:p w14:paraId="12BE9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b/>
          <w:bCs/>
          <w:sz w:val="24"/>
          <w:szCs w:val="24"/>
        </w:rPr>
        <w:t>Supplementary Table 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Arial" w:cs="Times New Roman"/>
          <w:b/>
          <w:bCs/>
          <w:sz w:val="24"/>
          <w:szCs w:val="24"/>
        </w:rPr>
        <w:t>. Sensitivity analysis: association between food insecurity (five-level) and the number of 24-hour movement guidelines met, fully adjusted model.</w:t>
      </w:r>
    </w:p>
    <w:tbl>
      <w:tblPr>
        <w:tblStyle w:val="12"/>
        <w:tblW w:w="9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1560"/>
        <w:gridCol w:w="2800"/>
        <w:gridCol w:w="2000"/>
      </w:tblGrid>
      <w:tr w14:paraId="3DA9F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  <w:tcBorders>
              <w:top w:val="single" w:color="auto" w:sz="4" w:space="0"/>
              <w:bottom w:val="single" w:color="auto" w:sz="4" w:space="0"/>
            </w:tcBorders>
          </w:tcPr>
          <w:p w14:paraId="33DDC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Food insecurity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</w:tcPr>
          <w:p w14:paraId="5E002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RRR</w:t>
            </w:r>
          </w:p>
        </w:tc>
        <w:tc>
          <w:tcPr>
            <w:tcW w:w="2800" w:type="dxa"/>
            <w:tcBorders>
              <w:top w:val="single" w:color="auto" w:sz="4" w:space="0"/>
              <w:bottom w:val="single" w:color="auto" w:sz="4" w:space="0"/>
            </w:tcBorders>
          </w:tcPr>
          <w:p w14:paraId="47D13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2000" w:type="dxa"/>
            <w:tcBorders>
              <w:top w:val="single" w:color="auto" w:sz="4" w:space="0"/>
              <w:bottom w:val="single" w:color="auto" w:sz="4" w:space="0"/>
            </w:tcBorders>
          </w:tcPr>
          <w:p w14:paraId="409C0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14:paraId="09776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60" w:type="dxa"/>
            <w:gridSpan w:val="4"/>
            <w:tcBorders>
              <w:top w:val="single" w:color="auto" w:sz="4" w:space="0"/>
            </w:tcBorders>
          </w:tcPr>
          <w:p w14:paraId="3BECE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Meeting 1 guideline (vs meeting 0 guidelines)</w:t>
            </w:r>
          </w:p>
        </w:tc>
      </w:tr>
      <w:tr w14:paraId="2A5AB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43CB2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64A39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7391D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3D34B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EBC6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74C8D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57D3E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0.85</w:t>
            </w:r>
          </w:p>
        </w:tc>
        <w:tc>
          <w:tcPr>
            <w:tcW w:w="2800" w:type="dxa"/>
          </w:tcPr>
          <w:p w14:paraId="78596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0.76–0.95</w:t>
            </w:r>
          </w:p>
        </w:tc>
        <w:tc>
          <w:tcPr>
            <w:tcW w:w="2000" w:type="dxa"/>
          </w:tcPr>
          <w:p w14:paraId="17CE4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0.004</w:t>
            </w:r>
          </w:p>
        </w:tc>
      </w:tr>
      <w:tr w14:paraId="0543B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7D7C2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1EF46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0.83</w:t>
            </w:r>
          </w:p>
        </w:tc>
        <w:tc>
          <w:tcPr>
            <w:tcW w:w="2800" w:type="dxa"/>
          </w:tcPr>
          <w:p w14:paraId="2090E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0.72–0.94</w:t>
            </w:r>
          </w:p>
        </w:tc>
        <w:tc>
          <w:tcPr>
            <w:tcW w:w="2000" w:type="dxa"/>
          </w:tcPr>
          <w:p w14:paraId="72ECE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0.005</w:t>
            </w:r>
          </w:p>
        </w:tc>
      </w:tr>
      <w:tr w14:paraId="29E7A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114B4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0F953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0.72</w:t>
            </w:r>
          </w:p>
        </w:tc>
        <w:tc>
          <w:tcPr>
            <w:tcW w:w="2800" w:type="dxa"/>
          </w:tcPr>
          <w:p w14:paraId="6AA24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0.57–0.93</w:t>
            </w:r>
          </w:p>
        </w:tc>
        <w:tc>
          <w:tcPr>
            <w:tcW w:w="2000" w:type="dxa"/>
          </w:tcPr>
          <w:p w14:paraId="6FDDC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0.011</w:t>
            </w:r>
          </w:p>
        </w:tc>
      </w:tr>
      <w:tr w14:paraId="60427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3748E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</w:tcPr>
          <w:p w14:paraId="03559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0.76</w:t>
            </w:r>
          </w:p>
        </w:tc>
        <w:tc>
          <w:tcPr>
            <w:tcW w:w="2800" w:type="dxa"/>
          </w:tcPr>
          <w:p w14:paraId="054A1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0.54–1.07</w:t>
            </w:r>
          </w:p>
        </w:tc>
        <w:tc>
          <w:tcPr>
            <w:tcW w:w="2000" w:type="dxa"/>
          </w:tcPr>
          <w:p w14:paraId="06149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0.122</w:t>
            </w:r>
          </w:p>
        </w:tc>
      </w:tr>
      <w:tr w14:paraId="21B70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60" w:type="dxa"/>
            <w:gridSpan w:val="4"/>
          </w:tcPr>
          <w:p w14:paraId="719CA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Meeting 2 guidelines (vs meeting 0 guidelines)</w:t>
            </w:r>
          </w:p>
        </w:tc>
      </w:tr>
      <w:tr w14:paraId="37D7C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0697D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0A9B4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02912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1682E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4262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6D3A1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68B56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0.64</w:t>
            </w:r>
          </w:p>
        </w:tc>
        <w:tc>
          <w:tcPr>
            <w:tcW w:w="2800" w:type="dxa"/>
          </w:tcPr>
          <w:p w14:paraId="11909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0.54–0.77</w:t>
            </w:r>
          </w:p>
        </w:tc>
        <w:tc>
          <w:tcPr>
            <w:tcW w:w="2000" w:type="dxa"/>
          </w:tcPr>
          <w:p w14:paraId="73CAB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&lt;0.001</w:t>
            </w:r>
          </w:p>
        </w:tc>
      </w:tr>
      <w:tr w14:paraId="1921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06B0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34D96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0.64</w:t>
            </w:r>
          </w:p>
        </w:tc>
        <w:tc>
          <w:tcPr>
            <w:tcW w:w="2800" w:type="dxa"/>
          </w:tcPr>
          <w:p w14:paraId="13EDA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0.52–0.79</w:t>
            </w:r>
          </w:p>
        </w:tc>
        <w:tc>
          <w:tcPr>
            <w:tcW w:w="2000" w:type="dxa"/>
          </w:tcPr>
          <w:p w14:paraId="1EDCD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&lt;0.001</w:t>
            </w:r>
          </w:p>
        </w:tc>
      </w:tr>
      <w:tr w14:paraId="2913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2797B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02831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0.59</w:t>
            </w:r>
          </w:p>
        </w:tc>
        <w:tc>
          <w:tcPr>
            <w:tcW w:w="2800" w:type="dxa"/>
          </w:tcPr>
          <w:p w14:paraId="7ABA5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0.40–0.87</w:t>
            </w:r>
          </w:p>
        </w:tc>
        <w:tc>
          <w:tcPr>
            <w:tcW w:w="2000" w:type="dxa"/>
          </w:tcPr>
          <w:p w14:paraId="58E6C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0.009</w:t>
            </w:r>
          </w:p>
        </w:tc>
      </w:tr>
      <w:tr w14:paraId="3E22F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76D20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</w:tcPr>
          <w:p w14:paraId="718EC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0.64</w:t>
            </w:r>
          </w:p>
        </w:tc>
        <w:tc>
          <w:tcPr>
            <w:tcW w:w="2800" w:type="dxa"/>
          </w:tcPr>
          <w:p w14:paraId="0D189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0.36–1.12</w:t>
            </w:r>
          </w:p>
        </w:tc>
        <w:tc>
          <w:tcPr>
            <w:tcW w:w="2000" w:type="dxa"/>
          </w:tcPr>
          <w:p w14:paraId="04189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0.116</w:t>
            </w:r>
          </w:p>
        </w:tc>
      </w:tr>
      <w:tr w14:paraId="0EBB2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60" w:type="dxa"/>
            <w:gridSpan w:val="4"/>
          </w:tcPr>
          <w:p w14:paraId="5D688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Meeting 3 guidelines (vs meeting 0 guidelines)</w:t>
            </w:r>
          </w:p>
        </w:tc>
      </w:tr>
      <w:tr w14:paraId="68535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3DA6D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45765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67669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66BC7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59DF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602F6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15395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0.52</w:t>
            </w:r>
          </w:p>
        </w:tc>
        <w:tc>
          <w:tcPr>
            <w:tcW w:w="2800" w:type="dxa"/>
          </w:tcPr>
          <w:p w14:paraId="53451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0.37–0.73</w:t>
            </w:r>
          </w:p>
        </w:tc>
        <w:tc>
          <w:tcPr>
            <w:tcW w:w="2000" w:type="dxa"/>
          </w:tcPr>
          <w:p w14:paraId="1C1CB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&lt;0.001</w:t>
            </w:r>
          </w:p>
        </w:tc>
      </w:tr>
      <w:tr w14:paraId="1D5F5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6869C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3CE8E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0.40</w:t>
            </w:r>
          </w:p>
        </w:tc>
        <w:tc>
          <w:tcPr>
            <w:tcW w:w="2800" w:type="dxa"/>
          </w:tcPr>
          <w:p w14:paraId="4D814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0.23–0.67</w:t>
            </w:r>
          </w:p>
        </w:tc>
        <w:tc>
          <w:tcPr>
            <w:tcW w:w="2000" w:type="dxa"/>
          </w:tcPr>
          <w:p w14:paraId="73A85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0.001</w:t>
            </w:r>
          </w:p>
        </w:tc>
      </w:tr>
      <w:tr w14:paraId="32AD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</w:tcPr>
          <w:p w14:paraId="6E4A4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339F7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0.49</w:t>
            </w:r>
          </w:p>
        </w:tc>
        <w:tc>
          <w:tcPr>
            <w:tcW w:w="2800" w:type="dxa"/>
          </w:tcPr>
          <w:p w14:paraId="06ABC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0.17–1.41</w:t>
            </w:r>
          </w:p>
        </w:tc>
        <w:tc>
          <w:tcPr>
            <w:tcW w:w="2000" w:type="dxa"/>
          </w:tcPr>
          <w:p w14:paraId="07F08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0.187</w:t>
            </w:r>
          </w:p>
        </w:tc>
      </w:tr>
      <w:tr w14:paraId="178E4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00" w:type="dxa"/>
            <w:tcBorders>
              <w:bottom w:val="single" w:color="auto" w:sz="4" w:space="0"/>
            </w:tcBorders>
          </w:tcPr>
          <w:p w14:paraId="3EB88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  <w:tcBorders>
              <w:bottom w:val="single" w:color="auto" w:sz="4" w:space="0"/>
            </w:tcBorders>
          </w:tcPr>
          <w:p w14:paraId="47FC5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0.36</w:t>
            </w:r>
          </w:p>
        </w:tc>
        <w:tc>
          <w:tcPr>
            <w:tcW w:w="2800" w:type="dxa"/>
            <w:tcBorders>
              <w:bottom w:val="single" w:color="auto" w:sz="4" w:space="0"/>
            </w:tcBorders>
          </w:tcPr>
          <w:p w14:paraId="37B0A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0.08–1.71</w:t>
            </w:r>
          </w:p>
        </w:tc>
        <w:tc>
          <w:tcPr>
            <w:tcW w:w="2000" w:type="dxa"/>
            <w:tcBorders>
              <w:bottom w:val="single" w:color="auto" w:sz="4" w:space="0"/>
            </w:tcBorders>
          </w:tcPr>
          <w:p w14:paraId="1043E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0.194</w:t>
            </w:r>
          </w:p>
        </w:tc>
      </w:tr>
    </w:tbl>
    <w:p w14:paraId="486D7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b/>
          <w:bCs/>
          <w:sz w:val="24"/>
          <w:szCs w:val="24"/>
        </w:rPr>
        <w:t>Note: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Arial" w:cs="Times New Roman"/>
          <w:sz w:val="24"/>
          <w:szCs w:val="24"/>
        </w:rPr>
        <w:t>RRR, relative risk ratio; CI, confidence interval; MVPA, moderate-to-vigorous physical activity; Ref, reference category. Estimates were obtained from a multinomial logistic regression model with food insecurity treated as a five-level ordinal variable (reference = “never”); the reference outcome was meeting 0 guidelines. Models were adjusted for race/ethnicity, depressive symptoms, asthma, sex, grade, and body mass index, accounted for the complex survey design, and were pooled across 20 imputed datasets using Rubin’s rules (n = 45,571). Estimates for the “always” category were less precise because of the small number of adolescents in this group (n = 737).</w:t>
      </w:r>
    </w:p>
    <w:p w14:paraId="7B589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36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br w:type="page"/>
      </w:r>
    </w:p>
    <w:p w14:paraId="1DDDD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b/>
          <w:bCs/>
          <w:sz w:val="24"/>
          <w:szCs w:val="24"/>
        </w:rPr>
        <w:t>Supplementary Table S2. Sensitivity analysis: association between food insecurity (five-level) and specific combinations of 24-hour movement behaviors, fully adjusted model.</w:t>
      </w:r>
    </w:p>
    <w:tbl>
      <w:tblPr>
        <w:tblStyle w:val="12"/>
        <w:tblW w:w="9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1560"/>
        <w:gridCol w:w="2800"/>
        <w:gridCol w:w="2000"/>
      </w:tblGrid>
      <w:tr w14:paraId="450A9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  <w:tcBorders>
              <w:top w:val="single" w:color="auto" w:sz="4" w:space="0"/>
              <w:bottom w:val="single" w:color="auto" w:sz="4" w:space="0"/>
            </w:tcBorders>
          </w:tcPr>
          <w:p w14:paraId="624A6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Food insecurity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</w:tcPr>
          <w:p w14:paraId="5C619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RRR</w:t>
            </w:r>
          </w:p>
        </w:tc>
        <w:tc>
          <w:tcPr>
            <w:tcW w:w="2800" w:type="dxa"/>
            <w:tcBorders>
              <w:top w:val="single" w:color="auto" w:sz="4" w:space="0"/>
              <w:bottom w:val="single" w:color="auto" w:sz="4" w:space="0"/>
            </w:tcBorders>
          </w:tcPr>
          <w:p w14:paraId="278BA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2000" w:type="dxa"/>
            <w:tcBorders>
              <w:top w:val="single" w:color="auto" w:sz="4" w:space="0"/>
              <w:bottom w:val="single" w:color="auto" w:sz="4" w:space="0"/>
            </w:tcBorders>
          </w:tcPr>
          <w:p w14:paraId="3292C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14:paraId="443E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360" w:type="dxa"/>
            <w:gridSpan w:val="4"/>
            <w:tcBorders>
              <w:top w:val="single" w:color="auto" w:sz="4" w:space="0"/>
            </w:tcBorders>
          </w:tcPr>
          <w:p w14:paraId="42AB6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MVPA only (vs none)</w:t>
            </w:r>
          </w:p>
        </w:tc>
      </w:tr>
      <w:tr w14:paraId="17D86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206B0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45755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41FB1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57D4C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E3ED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632EC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15497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0.81</w:t>
            </w:r>
          </w:p>
        </w:tc>
        <w:tc>
          <w:tcPr>
            <w:tcW w:w="2800" w:type="dxa"/>
          </w:tcPr>
          <w:p w14:paraId="3DFDE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0.69–0.95</w:t>
            </w:r>
          </w:p>
        </w:tc>
        <w:tc>
          <w:tcPr>
            <w:tcW w:w="2000" w:type="dxa"/>
          </w:tcPr>
          <w:p w14:paraId="508D7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0.012</w:t>
            </w:r>
          </w:p>
        </w:tc>
      </w:tr>
      <w:tr w14:paraId="4F0D7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2CC9E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592D1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0.85</w:t>
            </w:r>
          </w:p>
        </w:tc>
        <w:tc>
          <w:tcPr>
            <w:tcW w:w="2800" w:type="dxa"/>
          </w:tcPr>
          <w:p w14:paraId="330D0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0.69–1.04</w:t>
            </w:r>
          </w:p>
        </w:tc>
        <w:tc>
          <w:tcPr>
            <w:tcW w:w="2000" w:type="dxa"/>
          </w:tcPr>
          <w:p w14:paraId="151B3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0.105</w:t>
            </w:r>
          </w:p>
        </w:tc>
      </w:tr>
      <w:tr w14:paraId="38E9A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52374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2D6B3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0.67</w:t>
            </w:r>
          </w:p>
        </w:tc>
        <w:tc>
          <w:tcPr>
            <w:tcW w:w="2800" w:type="dxa"/>
          </w:tcPr>
          <w:p w14:paraId="04A69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0.46–0.98</w:t>
            </w:r>
          </w:p>
        </w:tc>
        <w:tc>
          <w:tcPr>
            <w:tcW w:w="2000" w:type="dxa"/>
          </w:tcPr>
          <w:p w14:paraId="0620F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0.037</w:t>
            </w:r>
          </w:p>
        </w:tc>
      </w:tr>
      <w:tr w14:paraId="68C32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76DB4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</w:tcPr>
          <w:p w14:paraId="55184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0.93</w:t>
            </w:r>
          </w:p>
        </w:tc>
        <w:tc>
          <w:tcPr>
            <w:tcW w:w="2800" w:type="dxa"/>
          </w:tcPr>
          <w:p w14:paraId="1E907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0.58–1.52</w:t>
            </w:r>
          </w:p>
        </w:tc>
        <w:tc>
          <w:tcPr>
            <w:tcW w:w="2000" w:type="dxa"/>
          </w:tcPr>
          <w:p w14:paraId="279DB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0.781</w:t>
            </w:r>
          </w:p>
        </w:tc>
      </w:tr>
      <w:tr w14:paraId="7259D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360" w:type="dxa"/>
            <w:gridSpan w:val="4"/>
          </w:tcPr>
          <w:p w14:paraId="215C7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Screen time only (vs none)</w:t>
            </w:r>
          </w:p>
        </w:tc>
      </w:tr>
      <w:tr w14:paraId="291AF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7B6B5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612F3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6B26A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4487C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AE38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0A340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08590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0.85</w:t>
            </w:r>
          </w:p>
        </w:tc>
        <w:tc>
          <w:tcPr>
            <w:tcW w:w="2800" w:type="dxa"/>
          </w:tcPr>
          <w:p w14:paraId="5AFAC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0.74–0.98</w:t>
            </w:r>
          </w:p>
        </w:tc>
        <w:tc>
          <w:tcPr>
            <w:tcW w:w="2000" w:type="dxa"/>
          </w:tcPr>
          <w:p w14:paraId="62156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0.025</w:t>
            </w:r>
          </w:p>
        </w:tc>
      </w:tr>
      <w:tr w14:paraId="762B5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3612A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04D98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0.88</w:t>
            </w:r>
          </w:p>
        </w:tc>
        <w:tc>
          <w:tcPr>
            <w:tcW w:w="2800" w:type="dxa"/>
          </w:tcPr>
          <w:p w14:paraId="28932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0.76–1.02</w:t>
            </w:r>
          </w:p>
        </w:tc>
        <w:tc>
          <w:tcPr>
            <w:tcW w:w="2000" w:type="dxa"/>
          </w:tcPr>
          <w:p w14:paraId="30102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0.084</w:t>
            </w:r>
          </w:p>
        </w:tc>
      </w:tr>
      <w:tr w14:paraId="052A5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77E73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7D368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0.77</w:t>
            </w:r>
          </w:p>
        </w:tc>
        <w:tc>
          <w:tcPr>
            <w:tcW w:w="2800" w:type="dxa"/>
          </w:tcPr>
          <w:p w14:paraId="2EE4C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0.59–1.01</w:t>
            </w:r>
          </w:p>
        </w:tc>
        <w:tc>
          <w:tcPr>
            <w:tcW w:w="2000" w:type="dxa"/>
          </w:tcPr>
          <w:p w14:paraId="1A4FD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0.064</w:t>
            </w:r>
          </w:p>
        </w:tc>
      </w:tr>
      <w:tr w14:paraId="45E3E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44F73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</w:tcPr>
          <w:p w14:paraId="5AD1A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0.77</w:t>
            </w:r>
          </w:p>
        </w:tc>
        <w:tc>
          <w:tcPr>
            <w:tcW w:w="2800" w:type="dxa"/>
          </w:tcPr>
          <w:p w14:paraId="38BE3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0.51–1.17</w:t>
            </w:r>
          </w:p>
        </w:tc>
        <w:tc>
          <w:tcPr>
            <w:tcW w:w="2000" w:type="dxa"/>
          </w:tcPr>
          <w:p w14:paraId="73FCD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0.215</w:t>
            </w:r>
          </w:p>
        </w:tc>
      </w:tr>
      <w:tr w14:paraId="501F4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360" w:type="dxa"/>
            <w:gridSpan w:val="4"/>
          </w:tcPr>
          <w:p w14:paraId="52D4F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Sleep only (vs none)</w:t>
            </w:r>
          </w:p>
        </w:tc>
      </w:tr>
      <w:tr w14:paraId="1F31A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5A34A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30BD8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71EDF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50F9E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6D2C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4FBFF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130D6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0.89</w:t>
            </w:r>
          </w:p>
        </w:tc>
        <w:tc>
          <w:tcPr>
            <w:tcW w:w="2800" w:type="dxa"/>
          </w:tcPr>
          <w:p w14:paraId="04FC8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0.73–1.08</w:t>
            </w:r>
          </w:p>
        </w:tc>
        <w:tc>
          <w:tcPr>
            <w:tcW w:w="2000" w:type="dxa"/>
          </w:tcPr>
          <w:p w14:paraId="66B8B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0.242</w:t>
            </w:r>
          </w:p>
        </w:tc>
      </w:tr>
      <w:tr w14:paraId="35A00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70029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2DBB9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0.70</w:t>
            </w:r>
          </w:p>
        </w:tc>
        <w:tc>
          <w:tcPr>
            <w:tcW w:w="2800" w:type="dxa"/>
          </w:tcPr>
          <w:p w14:paraId="1075E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0.54–0.91</w:t>
            </w:r>
          </w:p>
        </w:tc>
        <w:tc>
          <w:tcPr>
            <w:tcW w:w="2000" w:type="dxa"/>
          </w:tcPr>
          <w:p w14:paraId="156DF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0.008</w:t>
            </w:r>
          </w:p>
        </w:tc>
      </w:tr>
      <w:tr w14:paraId="26FED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56B56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08FF0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0.68</w:t>
            </w:r>
          </w:p>
        </w:tc>
        <w:tc>
          <w:tcPr>
            <w:tcW w:w="2800" w:type="dxa"/>
          </w:tcPr>
          <w:p w14:paraId="3A9C5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0.42–1.10</w:t>
            </w:r>
          </w:p>
        </w:tc>
        <w:tc>
          <w:tcPr>
            <w:tcW w:w="2000" w:type="dxa"/>
          </w:tcPr>
          <w:p w14:paraId="1A075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0.117</w:t>
            </w:r>
          </w:p>
        </w:tc>
      </w:tr>
      <w:tr w14:paraId="241BE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1AE15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</w:tcPr>
          <w:p w14:paraId="50D84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0.55</w:t>
            </w:r>
          </w:p>
        </w:tc>
        <w:tc>
          <w:tcPr>
            <w:tcW w:w="2800" w:type="dxa"/>
          </w:tcPr>
          <w:p w14:paraId="13E7D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0.28–1.08</w:t>
            </w:r>
          </w:p>
        </w:tc>
        <w:tc>
          <w:tcPr>
            <w:tcW w:w="2000" w:type="dxa"/>
          </w:tcPr>
          <w:p w14:paraId="408AB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0.081</w:t>
            </w:r>
          </w:p>
        </w:tc>
      </w:tr>
      <w:tr w14:paraId="41735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360" w:type="dxa"/>
            <w:gridSpan w:val="4"/>
          </w:tcPr>
          <w:p w14:paraId="5E717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MVPA + screen time (vs none)</w:t>
            </w:r>
          </w:p>
        </w:tc>
      </w:tr>
      <w:tr w14:paraId="421A3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01DE9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532DB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1D257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40777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3FBC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03913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74F11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0.69</w:t>
            </w:r>
          </w:p>
        </w:tc>
        <w:tc>
          <w:tcPr>
            <w:tcW w:w="2800" w:type="dxa"/>
          </w:tcPr>
          <w:p w14:paraId="60B66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0.55–0.86</w:t>
            </w:r>
          </w:p>
        </w:tc>
        <w:tc>
          <w:tcPr>
            <w:tcW w:w="2000" w:type="dxa"/>
          </w:tcPr>
          <w:p w14:paraId="50E38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0.001</w:t>
            </w:r>
          </w:p>
        </w:tc>
      </w:tr>
      <w:tr w14:paraId="40657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2D6BE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1F138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0.64</w:t>
            </w:r>
          </w:p>
        </w:tc>
        <w:tc>
          <w:tcPr>
            <w:tcW w:w="2800" w:type="dxa"/>
          </w:tcPr>
          <w:p w14:paraId="4C742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0.48–0.87</w:t>
            </w:r>
          </w:p>
        </w:tc>
        <w:tc>
          <w:tcPr>
            <w:tcW w:w="2000" w:type="dxa"/>
          </w:tcPr>
          <w:p w14:paraId="1EB27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0.004</w:t>
            </w:r>
          </w:p>
        </w:tc>
      </w:tr>
      <w:tr w14:paraId="143A1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0FC5D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33EC1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0.92</w:t>
            </w:r>
          </w:p>
        </w:tc>
        <w:tc>
          <w:tcPr>
            <w:tcW w:w="2800" w:type="dxa"/>
          </w:tcPr>
          <w:p w14:paraId="02520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0.57–1.48</w:t>
            </w:r>
          </w:p>
        </w:tc>
        <w:tc>
          <w:tcPr>
            <w:tcW w:w="2000" w:type="dxa"/>
          </w:tcPr>
          <w:p w14:paraId="1F838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0.739</w:t>
            </w:r>
          </w:p>
        </w:tc>
      </w:tr>
      <w:tr w14:paraId="1CE0B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12A27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</w:tcPr>
          <w:p w14:paraId="7DE89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0.82</w:t>
            </w:r>
          </w:p>
        </w:tc>
        <w:tc>
          <w:tcPr>
            <w:tcW w:w="2800" w:type="dxa"/>
          </w:tcPr>
          <w:p w14:paraId="5FD73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0.39–1.74</w:t>
            </w:r>
          </w:p>
        </w:tc>
        <w:tc>
          <w:tcPr>
            <w:tcW w:w="2000" w:type="dxa"/>
          </w:tcPr>
          <w:p w14:paraId="5D8D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0.600</w:t>
            </w:r>
          </w:p>
        </w:tc>
      </w:tr>
      <w:tr w14:paraId="1CEAF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360" w:type="dxa"/>
            <w:gridSpan w:val="4"/>
          </w:tcPr>
          <w:p w14:paraId="74E1F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MVPA + sleep (vs none)</w:t>
            </w:r>
          </w:p>
        </w:tc>
      </w:tr>
      <w:tr w14:paraId="16BFC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7E540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798DF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559DC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21B0C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A3DF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566C6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17B1E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0.56</w:t>
            </w:r>
          </w:p>
        </w:tc>
        <w:tc>
          <w:tcPr>
            <w:tcW w:w="2800" w:type="dxa"/>
          </w:tcPr>
          <w:p w14:paraId="20030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0.42–0.75</w:t>
            </w:r>
          </w:p>
        </w:tc>
        <w:tc>
          <w:tcPr>
            <w:tcW w:w="2000" w:type="dxa"/>
          </w:tcPr>
          <w:p w14:paraId="305D6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&lt;0.001</w:t>
            </w:r>
          </w:p>
        </w:tc>
      </w:tr>
      <w:tr w14:paraId="0F1C5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05C99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22C4E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0.53</w:t>
            </w:r>
          </w:p>
        </w:tc>
        <w:tc>
          <w:tcPr>
            <w:tcW w:w="2800" w:type="dxa"/>
          </w:tcPr>
          <w:p w14:paraId="77D61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0.37–0.77</w:t>
            </w:r>
          </w:p>
        </w:tc>
        <w:tc>
          <w:tcPr>
            <w:tcW w:w="2000" w:type="dxa"/>
          </w:tcPr>
          <w:p w14:paraId="6C90E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0.001</w:t>
            </w:r>
          </w:p>
        </w:tc>
      </w:tr>
      <w:tr w14:paraId="6FDBC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4C4AB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6A357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0.31</w:t>
            </w:r>
          </w:p>
        </w:tc>
        <w:tc>
          <w:tcPr>
            <w:tcW w:w="2800" w:type="dxa"/>
          </w:tcPr>
          <w:p w14:paraId="21266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0.13–0.76</w:t>
            </w:r>
          </w:p>
        </w:tc>
        <w:tc>
          <w:tcPr>
            <w:tcW w:w="2000" w:type="dxa"/>
          </w:tcPr>
          <w:p w14:paraId="58A93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0.010</w:t>
            </w:r>
          </w:p>
        </w:tc>
      </w:tr>
      <w:tr w14:paraId="4EEEC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5DFF9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</w:tcPr>
          <w:p w14:paraId="30AAF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0.56</w:t>
            </w:r>
          </w:p>
        </w:tc>
        <w:tc>
          <w:tcPr>
            <w:tcW w:w="2800" w:type="dxa"/>
          </w:tcPr>
          <w:p w14:paraId="2A757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0.20–1.51</w:t>
            </w:r>
          </w:p>
        </w:tc>
        <w:tc>
          <w:tcPr>
            <w:tcW w:w="2000" w:type="dxa"/>
          </w:tcPr>
          <w:p w14:paraId="778F4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0.245</w:t>
            </w:r>
          </w:p>
        </w:tc>
      </w:tr>
      <w:tr w14:paraId="0744D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360" w:type="dxa"/>
            <w:gridSpan w:val="4"/>
          </w:tcPr>
          <w:p w14:paraId="389D5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Screen time + sleep (vs none)</w:t>
            </w:r>
          </w:p>
        </w:tc>
      </w:tr>
      <w:tr w14:paraId="29376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778AC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21214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14DA6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18AC6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AD02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4E977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2409A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0.66</w:t>
            </w:r>
          </w:p>
        </w:tc>
        <w:tc>
          <w:tcPr>
            <w:tcW w:w="2800" w:type="dxa"/>
          </w:tcPr>
          <w:p w14:paraId="22549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0.49–0.88</w:t>
            </w:r>
          </w:p>
        </w:tc>
        <w:tc>
          <w:tcPr>
            <w:tcW w:w="2000" w:type="dxa"/>
          </w:tcPr>
          <w:p w14:paraId="22860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0.005</w:t>
            </w:r>
          </w:p>
        </w:tc>
      </w:tr>
      <w:tr w14:paraId="6BE88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6DF92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0A1C4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0.72</w:t>
            </w:r>
          </w:p>
        </w:tc>
        <w:tc>
          <w:tcPr>
            <w:tcW w:w="2800" w:type="dxa"/>
          </w:tcPr>
          <w:p w14:paraId="7A8CA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0.54–0.97</w:t>
            </w:r>
          </w:p>
        </w:tc>
        <w:tc>
          <w:tcPr>
            <w:tcW w:w="2000" w:type="dxa"/>
          </w:tcPr>
          <w:p w14:paraId="00E85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0.033</w:t>
            </w:r>
          </w:p>
        </w:tc>
      </w:tr>
      <w:tr w14:paraId="590FE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529CB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61676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0.38</w:t>
            </w:r>
          </w:p>
        </w:tc>
        <w:tc>
          <w:tcPr>
            <w:tcW w:w="2800" w:type="dxa"/>
          </w:tcPr>
          <w:p w14:paraId="56A80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0.18–0.83</w:t>
            </w:r>
          </w:p>
        </w:tc>
        <w:tc>
          <w:tcPr>
            <w:tcW w:w="2000" w:type="dxa"/>
          </w:tcPr>
          <w:p w14:paraId="071C0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0.015</w:t>
            </w:r>
          </w:p>
        </w:tc>
      </w:tr>
      <w:tr w14:paraId="61FEF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51949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</w:tcPr>
          <w:p w14:paraId="4C830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0.44</w:t>
            </w:r>
          </w:p>
        </w:tc>
        <w:tc>
          <w:tcPr>
            <w:tcW w:w="2800" w:type="dxa"/>
          </w:tcPr>
          <w:p w14:paraId="58F93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0.16–1.23</w:t>
            </w:r>
          </w:p>
        </w:tc>
        <w:tc>
          <w:tcPr>
            <w:tcW w:w="2000" w:type="dxa"/>
          </w:tcPr>
          <w:p w14:paraId="6ACD5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0.117</w:t>
            </w:r>
          </w:p>
        </w:tc>
      </w:tr>
      <w:tr w14:paraId="7A8F0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360" w:type="dxa"/>
            <w:gridSpan w:val="4"/>
          </w:tcPr>
          <w:p w14:paraId="0E700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  <w:t>All three (vs none)</w:t>
            </w:r>
          </w:p>
        </w:tc>
      </w:tr>
      <w:tr w14:paraId="5311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5C85B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Never</w:t>
            </w:r>
          </w:p>
        </w:tc>
        <w:tc>
          <w:tcPr>
            <w:tcW w:w="1560" w:type="dxa"/>
          </w:tcPr>
          <w:p w14:paraId="109EB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/>
                <w:iCs/>
                <w:sz w:val="24"/>
                <w:szCs w:val="24"/>
              </w:rPr>
              <w:t>Ref</w:t>
            </w:r>
          </w:p>
        </w:tc>
        <w:tc>
          <w:tcPr>
            <w:tcW w:w="2800" w:type="dxa"/>
          </w:tcPr>
          <w:p w14:paraId="34421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65A70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C607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6A2A5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Rarely</w:t>
            </w:r>
          </w:p>
        </w:tc>
        <w:tc>
          <w:tcPr>
            <w:tcW w:w="1560" w:type="dxa"/>
          </w:tcPr>
          <w:p w14:paraId="76666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0.52</w:t>
            </w:r>
          </w:p>
        </w:tc>
        <w:tc>
          <w:tcPr>
            <w:tcW w:w="2800" w:type="dxa"/>
          </w:tcPr>
          <w:p w14:paraId="51D99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0.37–0.73</w:t>
            </w:r>
          </w:p>
        </w:tc>
        <w:tc>
          <w:tcPr>
            <w:tcW w:w="2000" w:type="dxa"/>
          </w:tcPr>
          <w:p w14:paraId="24744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&lt;0.001</w:t>
            </w:r>
          </w:p>
        </w:tc>
      </w:tr>
      <w:tr w14:paraId="5EB4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3B56E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Sometimes</w:t>
            </w:r>
          </w:p>
        </w:tc>
        <w:tc>
          <w:tcPr>
            <w:tcW w:w="1560" w:type="dxa"/>
          </w:tcPr>
          <w:p w14:paraId="10F6F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0.39</w:t>
            </w:r>
          </w:p>
        </w:tc>
        <w:tc>
          <w:tcPr>
            <w:tcW w:w="2800" w:type="dxa"/>
          </w:tcPr>
          <w:p w14:paraId="6EA93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0.23–0.67</w:t>
            </w:r>
          </w:p>
        </w:tc>
        <w:tc>
          <w:tcPr>
            <w:tcW w:w="2000" w:type="dxa"/>
          </w:tcPr>
          <w:p w14:paraId="6C46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0.001</w:t>
            </w:r>
          </w:p>
        </w:tc>
      </w:tr>
      <w:tr w14:paraId="56F78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</w:tcPr>
          <w:p w14:paraId="492B0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Most of the time</w:t>
            </w:r>
          </w:p>
        </w:tc>
        <w:tc>
          <w:tcPr>
            <w:tcW w:w="1560" w:type="dxa"/>
          </w:tcPr>
          <w:p w14:paraId="12791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0.49</w:t>
            </w:r>
          </w:p>
        </w:tc>
        <w:tc>
          <w:tcPr>
            <w:tcW w:w="2800" w:type="dxa"/>
          </w:tcPr>
          <w:p w14:paraId="49DDC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0.17–1.41</w:t>
            </w:r>
          </w:p>
        </w:tc>
        <w:tc>
          <w:tcPr>
            <w:tcW w:w="2000" w:type="dxa"/>
          </w:tcPr>
          <w:p w14:paraId="5C44D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0.183</w:t>
            </w:r>
          </w:p>
        </w:tc>
      </w:tr>
      <w:tr w14:paraId="0E6E9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000" w:type="dxa"/>
            <w:tcBorders>
              <w:bottom w:val="single" w:color="auto" w:sz="4" w:space="0"/>
            </w:tcBorders>
          </w:tcPr>
          <w:p w14:paraId="70400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Always</w:t>
            </w:r>
          </w:p>
        </w:tc>
        <w:tc>
          <w:tcPr>
            <w:tcW w:w="1560" w:type="dxa"/>
            <w:tcBorders>
              <w:bottom w:val="single" w:color="auto" w:sz="4" w:space="0"/>
            </w:tcBorders>
          </w:tcPr>
          <w:p w14:paraId="639ED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0.36</w:t>
            </w:r>
          </w:p>
        </w:tc>
        <w:tc>
          <w:tcPr>
            <w:tcW w:w="2800" w:type="dxa"/>
            <w:tcBorders>
              <w:bottom w:val="single" w:color="auto" w:sz="4" w:space="0"/>
            </w:tcBorders>
          </w:tcPr>
          <w:p w14:paraId="5ED34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0.08–1.71</w:t>
            </w:r>
          </w:p>
        </w:tc>
        <w:tc>
          <w:tcPr>
            <w:tcW w:w="2000" w:type="dxa"/>
            <w:tcBorders>
              <w:bottom w:val="single" w:color="auto" w:sz="4" w:space="0"/>
            </w:tcBorders>
          </w:tcPr>
          <w:p w14:paraId="6ADF2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0.194</w:t>
            </w:r>
          </w:p>
        </w:tc>
      </w:tr>
    </w:tbl>
    <w:p w14:paraId="434A3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b/>
          <w:bCs/>
          <w:sz w:val="24"/>
          <w:szCs w:val="24"/>
        </w:rPr>
        <w:t>Note:</w:t>
      </w:r>
      <w:r>
        <w:rPr>
          <w:rFonts w:hint="default" w:ascii="Times New Roman" w:hAnsi="Times New Roman" w:eastAsia="Arial" w:cs="Times New Roman"/>
          <w:sz w:val="24"/>
          <w:szCs w:val="24"/>
        </w:rPr>
        <w:t xml:space="preserve"> RRR, relative risk ratio; CI, confidence interval; MVPA, moderate-to-vigorous physical activity; Ref, reference category. Estimates were obtained from a multinomial logistic regression model with food insecurity treated as a five-level ordinal variable (reference = “never”); the reference outcome was meeting none of the guidelines. Each row block corresponds to one movement behavior combination versus meeting none. Models were adjusted for race/ethnicity, depressive symptoms, asthma, sex, grade, and body mass index, accounted for the complex survey design, and were pooled across 20 imputed datasets using Rubin’s rules (n = 45,571). Estimates for the “always” category were less precise because of the small number of adolescents in this group (n = 737).</w:t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5A"/>
    <w:rsid w:val="0085185F"/>
    <w:rsid w:val="00A9700A"/>
    <w:rsid w:val="00E52D5A"/>
    <w:rsid w:val="00ED41BE"/>
    <w:rsid w:val="0F3D509D"/>
    <w:rsid w:val="4974227F"/>
    <w:rsid w:val="70D5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Arial" w:hAnsi="Arial" w:cs="Arial" w:eastAsiaTheme="minorEastAsia"/>
      <w:lang w:val="en-US" w:eastAsia="zh-CN" w:bidi="ar-SA"/>
    </w:rPr>
  </w:style>
  <w:style w:type="paragraph" w:styleId="2">
    <w:name w:val="heading 1"/>
    <w:qFormat/>
    <w:uiPriority w:val="9"/>
    <w:pPr>
      <w:outlineLvl w:val="0"/>
    </w:pPr>
    <w:rPr>
      <w:rFonts w:ascii="Arial" w:hAnsi="Arial" w:cs="Arial" w:eastAsiaTheme="minorEastAsia"/>
      <w:color w:val="2E74B5"/>
      <w:sz w:val="32"/>
      <w:szCs w:val="32"/>
      <w:lang w:val="en-US" w:eastAsia="zh-CN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Arial" w:hAnsi="Arial" w:cs="Arial" w:eastAsiaTheme="minorEastAsia"/>
      <w:color w:val="2E74B5"/>
      <w:sz w:val="26"/>
      <w:szCs w:val="26"/>
      <w:lang w:val="en-US" w:eastAsia="zh-CN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Arial" w:hAnsi="Arial" w:cs="Arial" w:eastAsiaTheme="minorEastAsia"/>
      <w:color w:val="1F4D78"/>
      <w:sz w:val="24"/>
      <w:szCs w:val="24"/>
      <w:lang w:val="en-US" w:eastAsia="zh-CN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Arial" w:hAnsi="Arial" w:cs="Arial" w:eastAsiaTheme="minorEastAsia"/>
      <w:i/>
      <w:iCs/>
      <w:color w:val="2E74B5"/>
      <w:lang w:val="en-US" w:eastAsia="zh-CN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Arial" w:hAnsi="Arial" w:cs="Arial" w:eastAsiaTheme="minorEastAsia"/>
      <w:color w:val="2E74B5"/>
      <w:lang w:val="en-US" w:eastAsia="zh-CN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Arial" w:hAnsi="Arial" w:cs="Arial" w:eastAsiaTheme="minorEastAsia"/>
      <w:color w:val="1F4D78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qFormat/>
    <w:uiPriority w:val="99"/>
    <w:rPr>
      <w:rFonts w:ascii="Arial" w:hAnsi="Arial" w:cs="Arial" w:eastAsiaTheme="minorEastAsia"/>
      <w:lang w:val="en-US" w:eastAsia="zh-CN" w:bidi="ar-SA"/>
    </w:rPr>
  </w:style>
  <w:style w:type="paragraph" w:styleId="9">
    <w:name w:val="footnote text"/>
    <w:link w:val="19"/>
    <w:semiHidden/>
    <w:unhideWhenUsed/>
    <w:qFormat/>
    <w:uiPriority w:val="99"/>
    <w:rPr>
      <w:rFonts w:ascii="Arial" w:hAnsi="Arial" w:cs="Arial" w:eastAsiaTheme="minorEastAsia"/>
      <w:lang w:val="en-US" w:eastAsia="zh-CN" w:bidi="ar-SA"/>
    </w:rPr>
  </w:style>
  <w:style w:type="paragraph" w:styleId="10">
    <w:name w:val="Title"/>
    <w:qFormat/>
    <w:uiPriority w:val="10"/>
    <w:rPr>
      <w:rFonts w:ascii="Arial" w:hAnsi="Arial" w:cs="Arial" w:eastAsiaTheme="minorEastAsia"/>
      <w:sz w:val="56"/>
      <w:szCs w:val="56"/>
      <w:lang w:val="en-US" w:eastAsia="zh-CN" w:bidi="ar-SA"/>
    </w:rPr>
  </w:style>
  <w:style w:type="table" w:styleId="12">
    <w:name w:val="Table Grid"/>
    <w:basedOn w:val="11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customStyle="1" w:styleId="17">
    <w:name w:val="Strong1"/>
    <w:qFormat/>
    <w:uiPriority w:val="0"/>
    <w:rPr>
      <w:rFonts w:ascii="Arial" w:hAnsi="Arial" w:cs="Arial" w:eastAsiaTheme="minorEastAsia"/>
      <w:b/>
      <w:bCs/>
      <w:lang w:val="en-US" w:eastAsia="zh-CN" w:bidi="ar-SA"/>
    </w:rPr>
  </w:style>
  <w:style w:type="paragraph" w:styleId="18">
    <w:name w:val="List Paragraph"/>
    <w:qFormat/>
    <w:uiPriority w:val="0"/>
    <w:rPr>
      <w:rFonts w:ascii="Arial" w:hAnsi="Arial" w:cs="Arial" w:eastAsiaTheme="minorEastAsia"/>
      <w:lang w:val="en-US" w:eastAsia="zh-CN" w:bidi="ar-SA"/>
    </w:rPr>
  </w:style>
  <w:style w:type="character" w:customStyle="1" w:styleId="19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530</Words>
  <Characters>3011</Characters>
  <Lines>25</Lines>
  <Paragraphs>7</Paragraphs>
  <TotalTime>5</TotalTime>
  <ScaleCrop>false</ScaleCrop>
  <LinksUpToDate>false</LinksUpToDate>
  <CharactersWithSpaces>3338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2026-06-29T05:22:00Z</dcterms:created>
  <dc:creator>yanjin1126</dc:creator>
  <cp:lastModifiedBy>JY</cp:lastModifiedBy>
  <dcterms:modified xsi:type="dcterms:W3CDTF">2026-07-02T08:51:53Z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13c643a1-f8bb-4094-82c7-5c61dbfa2d48</vt:lpwstr>
  </property>
  <property fmtid="{D5CDD505-2E9C-101B-9397-08002B2CF9AE}" pid="3" name="KSOTemplateDocerSaveRecord">
    <vt:lpwstr>eyJoZGlkIjoiYjkyZmNhZmMwYTRkMzdjNDc0ZDBiODA4ZTNmNjg2YzYiLCJ1c2VySWQiOiIyMDIxODMyMiJ9</vt:lpwstr>
  </property>
  <property fmtid="{D5CDD505-2E9C-101B-9397-08002B2CF9AE}" pid="4" name="KSOProductBuildVer">
    <vt:lpwstr>2052-12.1.0.26895</vt:lpwstr>
  </property>
  <property fmtid="{D5CDD505-2E9C-101B-9397-08002B2CF9AE}" pid="5" name="ICV">
    <vt:lpwstr>886A3AF7F490487BA1C14F0C0CD1F975_12</vt:lpwstr>
  </property>
</Properties>
</file>