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1592E8">
      <w:pPr>
        <w:rPr>
          <w:rFonts w:ascii="Times New Roman" w:hAnsi="Times New Roman" w:cs="Times New Roman"/>
          <w:sz w:val="24"/>
        </w:rPr>
      </w:pPr>
      <w:r>
        <w:rPr>
          <w:rFonts w:hint="default" w:ascii="Times New Roman" w:hAnsi="Times New Roman" w:cs="Times New Roman"/>
          <w:sz w:val="24"/>
        </w:rPr>
        <w:t>Supplementary File 3: Sensitivity Analyses</w:t>
      </w:r>
    </w:p>
    <w:p w14:paraId="0BC6EDA9">
      <w:pPr>
        <w:rPr>
          <w:rFonts w:ascii="Times New Roman" w:hAnsi="Times New Roman" w:cs="Times New Roman"/>
          <w:sz w:val="24"/>
        </w:rPr>
      </w:pPr>
      <w:r>
        <w:rPr>
          <w:rFonts w:ascii="Times New Roman" w:hAnsi="Times New Roman" w:cs="Times New Roman"/>
          <w:sz w:val="24"/>
        </w:rPr>
        <w:t>This supplementary file presents two sensitivity analyses conducted to evaluate the robustness of key methodological decisions in the main analysis: (1) the selection of LPA indicators (dimension scores vs. single items vs. combined approach), and (2) the regression approach (stepwise vs. theory-driven forced-entry).</w:t>
      </w:r>
    </w:p>
    <w:p w14:paraId="6BA27C2E">
      <w:pPr>
        <w:rPr>
          <w:rFonts w:ascii="Times New Roman" w:hAnsi="Times New Roman" w:cs="Times New Roman"/>
          <w:sz w:val="24"/>
        </w:rPr>
      </w:pPr>
      <w:r>
        <w:rPr>
          <w:rFonts w:hint="default" w:ascii="Times New Roman" w:hAnsi="Times New Roman" w:cs="Times New Roman"/>
          <w:sz w:val="24"/>
        </w:rPr>
        <w:t>Table S1. Sensitivity analysis of indicator selection for latent profile analysis (N = 402)</w:t>
      </w:r>
    </w:p>
    <w:tbl>
      <w:tblPr>
        <w:tblStyle w:val="5"/>
        <w:tblW w:w="0" w:type="auto"/>
        <w:tblInd w:w="-101" w:type="dxa"/>
        <w:tblBorders>
          <w:top w:val="none" w:color="auto" w:sz="0" w:space="0"/>
          <w:left w:val="none" w:color="auto" w:sz="0" w:space="0"/>
          <w:bottom w:val="single" w:color="auto" w:sz="4"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27"/>
        <w:gridCol w:w="1885"/>
        <w:gridCol w:w="1629"/>
        <w:gridCol w:w="1647"/>
        <w:gridCol w:w="1611"/>
      </w:tblGrid>
      <w:tr w14:paraId="59A3BD5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1827" w:type="dxa"/>
            <w:tcBorders>
              <w:top w:val="single" w:color="000000" w:sz="12" w:space="0"/>
              <w:bottom w:val="single" w:color="auto" w:sz="4" w:space="0"/>
            </w:tcBorders>
            <w:shd w:val="clear" w:color="auto" w:fill="auto"/>
            <w:tcMar>
              <w:top w:w="120" w:type="dxa"/>
              <w:left w:w="0" w:type="dxa"/>
              <w:bottom w:w="120" w:type="dxa"/>
              <w:right w:w="192" w:type="dxa"/>
            </w:tcMar>
            <w:vAlign w:val="center"/>
          </w:tcPr>
          <w:p w14:paraId="6314C546">
            <w:pPr>
              <w:jc w:val="left"/>
              <w:rPr>
                <w:rFonts w:ascii="Times New Roman" w:hAnsi="Times New Roman" w:cs="Times New Roman"/>
                <w:sz w:val="24"/>
              </w:rPr>
            </w:pPr>
            <w:r>
              <w:rPr>
                <w:rFonts w:hint="default" w:ascii="Times New Roman" w:hAnsi="Times New Roman" w:cs="Times New Roman"/>
                <w:sz w:val="24"/>
                <w:lang w:val="en-US" w:eastAsia="zh-CN"/>
              </w:rPr>
              <w:t>Indicator combination</w:t>
            </w:r>
          </w:p>
        </w:tc>
        <w:tc>
          <w:tcPr>
            <w:tcW w:w="1885" w:type="dxa"/>
            <w:tcBorders>
              <w:top w:val="single" w:color="000000" w:sz="12" w:space="0"/>
              <w:bottom w:val="single" w:color="auto" w:sz="4" w:space="0"/>
            </w:tcBorders>
            <w:shd w:val="clear" w:color="auto" w:fill="auto"/>
            <w:tcMar>
              <w:top w:w="120" w:type="dxa"/>
              <w:left w:w="192" w:type="dxa"/>
              <w:bottom w:w="120" w:type="dxa"/>
              <w:right w:w="192" w:type="dxa"/>
            </w:tcMar>
            <w:vAlign w:val="center"/>
          </w:tcPr>
          <w:p w14:paraId="1C06A161">
            <w:pPr>
              <w:jc w:val="left"/>
              <w:rPr>
                <w:rFonts w:hint="default" w:ascii="Times New Roman" w:hAnsi="Times New Roman" w:cs="Times New Roman"/>
                <w:sz w:val="24"/>
              </w:rPr>
            </w:pPr>
            <w:r>
              <w:rPr>
                <w:rFonts w:hint="default" w:ascii="Times New Roman" w:hAnsi="Times New Roman" w:cs="Times New Roman"/>
                <w:sz w:val="24"/>
                <w:lang w:val="en-US" w:eastAsia="zh-CN"/>
              </w:rPr>
              <w:t>Variables included</w:t>
            </w:r>
          </w:p>
        </w:tc>
        <w:tc>
          <w:tcPr>
            <w:tcW w:w="1629" w:type="dxa"/>
            <w:tcBorders>
              <w:top w:val="single" w:color="000000" w:sz="12" w:space="0"/>
              <w:bottom w:val="single" w:color="auto" w:sz="4" w:space="0"/>
            </w:tcBorders>
            <w:shd w:val="clear" w:color="auto" w:fill="auto"/>
            <w:tcMar>
              <w:top w:w="120" w:type="dxa"/>
              <w:left w:w="192" w:type="dxa"/>
              <w:bottom w:w="120" w:type="dxa"/>
              <w:right w:w="192" w:type="dxa"/>
            </w:tcMar>
            <w:vAlign w:val="center"/>
          </w:tcPr>
          <w:p w14:paraId="37D42A4E">
            <w:pPr>
              <w:jc w:val="left"/>
              <w:rPr>
                <w:rFonts w:hint="default" w:ascii="Times New Roman" w:hAnsi="Times New Roman" w:cs="Times New Roman"/>
                <w:sz w:val="24"/>
              </w:rPr>
            </w:pPr>
            <w:r>
              <w:rPr>
                <w:rFonts w:hint="default" w:ascii="Times New Roman" w:hAnsi="Times New Roman" w:cs="Times New Roman"/>
                <w:sz w:val="24"/>
                <w:lang w:val="en-US" w:eastAsia="zh-CN"/>
              </w:rPr>
              <w:t>Number of classes specified</w:t>
            </w:r>
          </w:p>
        </w:tc>
        <w:tc>
          <w:tcPr>
            <w:tcW w:w="1647" w:type="dxa"/>
            <w:tcBorders>
              <w:top w:val="single" w:color="000000" w:sz="12" w:space="0"/>
              <w:bottom w:val="single" w:color="auto" w:sz="4" w:space="0"/>
            </w:tcBorders>
            <w:shd w:val="clear" w:color="auto" w:fill="auto"/>
            <w:tcMar>
              <w:top w:w="120" w:type="dxa"/>
              <w:left w:w="192" w:type="dxa"/>
              <w:bottom w:w="120" w:type="dxa"/>
              <w:right w:w="192" w:type="dxa"/>
            </w:tcMar>
            <w:vAlign w:val="center"/>
          </w:tcPr>
          <w:p w14:paraId="1F87923D">
            <w:pPr>
              <w:jc w:val="left"/>
              <w:rPr>
                <w:rFonts w:hint="default" w:ascii="Times New Roman" w:hAnsi="Times New Roman" w:cs="Times New Roman"/>
                <w:sz w:val="24"/>
              </w:rPr>
            </w:pPr>
            <w:r>
              <w:rPr>
                <w:rFonts w:hint="default" w:ascii="Times New Roman" w:hAnsi="Times New Roman" w:cs="Times New Roman"/>
                <w:sz w:val="24"/>
                <w:lang w:val="en-US" w:eastAsia="zh-CN"/>
              </w:rPr>
              <w:t>Effective classes identified</w:t>
            </w:r>
          </w:p>
        </w:tc>
        <w:tc>
          <w:tcPr>
            <w:tcW w:w="1611" w:type="dxa"/>
            <w:tcBorders>
              <w:top w:val="single" w:color="000000" w:sz="12" w:space="0"/>
              <w:bottom w:val="single" w:color="auto" w:sz="4" w:space="0"/>
            </w:tcBorders>
            <w:shd w:val="clear" w:color="auto" w:fill="auto"/>
            <w:tcMar>
              <w:top w:w="120" w:type="dxa"/>
              <w:left w:w="192" w:type="dxa"/>
              <w:bottom w:w="120" w:type="dxa"/>
              <w:right w:w="192" w:type="dxa"/>
            </w:tcMar>
            <w:vAlign w:val="center"/>
          </w:tcPr>
          <w:p w14:paraId="3324414C">
            <w:pPr>
              <w:jc w:val="left"/>
              <w:rPr>
                <w:rFonts w:hint="default" w:ascii="Times New Roman" w:hAnsi="Times New Roman" w:cs="Times New Roman"/>
                <w:sz w:val="24"/>
              </w:rPr>
            </w:pPr>
            <w:r>
              <w:rPr>
                <w:rFonts w:hint="default" w:ascii="Times New Roman" w:hAnsi="Times New Roman" w:cs="Times New Roman"/>
                <w:sz w:val="24"/>
                <w:lang w:val="en-US" w:eastAsia="zh-CN"/>
              </w:rPr>
              <w:t>Class distribution</w:t>
            </w:r>
          </w:p>
        </w:tc>
      </w:tr>
      <w:tr w14:paraId="07BB854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827" w:type="dxa"/>
            <w:tcBorders>
              <w:top w:val="single" w:color="auto" w:sz="4" w:space="0"/>
              <w:bottom w:val="nil"/>
            </w:tcBorders>
            <w:shd w:val="clear" w:color="auto" w:fill="auto"/>
            <w:tcMar>
              <w:top w:w="120" w:type="dxa"/>
              <w:left w:w="0" w:type="dxa"/>
              <w:bottom w:w="120" w:type="dxa"/>
              <w:right w:w="192" w:type="dxa"/>
            </w:tcMar>
            <w:vAlign w:val="center"/>
          </w:tcPr>
          <w:p w14:paraId="207621E4">
            <w:pPr>
              <w:jc w:val="left"/>
              <w:rPr>
                <w:rFonts w:ascii="Times New Roman" w:hAnsi="Times New Roman" w:cs="Times New Roman"/>
                <w:sz w:val="24"/>
              </w:rPr>
            </w:pPr>
            <w:r>
              <w:rPr>
                <w:rFonts w:hint="default" w:ascii="Times New Roman" w:hAnsi="Times New Roman" w:cs="Times New Roman"/>
                <w:sz w:val="24"/>
                <w:lang w:val="en-US" w:eastAsia="zh-CN"/>
              </w:rPr>
              <w:t>Combined approach (original)</w:t>
            </w:r>
          </w:p>
        </w:tc>
        <w:tc>
          <w:tcPr>
            <w:tcW w:w="1885" w:type="dxa"/>
            <w:tcBorders>
              <w:top w:val="single" w:color="auto" w:sz="4" w:space="0"/>
              <w:bottom w:val="nil"/>
            </w:tcBorders>
            <w:shd w:val="clear" w:color="auto" w:fill="auto"/>
            <w:tcMar>
              <w:top w:w="120" w:type="dxa"/>
              <w:left w:w="192" w:type="dxa"/>
              <w:bottom w:w="120" w:type="dxa"/>
              <w:right w:w="192" w:type="dxa"/>
            </w:tcMar>
            <w:vAlign w:val="center"/>
          </w:tcPr>
          <w:p w14:paraId="1BB812ED">
            <w:pPr>
              <w:jc w:val="left"/>
              <w:rPr>
                <w:rFonts w:hint="default" w:ascii="Times New Roman" w:hAnsi="Times New Roman" w:cs="Times New Roman"/>
                <w:sz w:val="24"/>
              </w:rPr>
            </w:pPr>
            <w:r>
              <w:rPr>
                <w:rFonts w:hint="default" w:ascii="Times New Roman" w:hAnsi="Times New Roman" w:cs="Times New Roman"/>
                <w:sz w:val="24"/>
                <w:lang w:val="en-US" w:eastAsia="zh-CN"/>
              </w:rPr>
              <w:t>4 dimension scores + 6 single items</w:t>
            </w:r>
          </w:p>
        </w:tc>
        <w:tc>
          <w:tcPr>
            <w:tcW w:w="1629" w:type="dxa"/>
            <w:tcBorders>
              <w:top w:val="single" w:color="auto" w:sz="4" w:space="0"/>
              <w:bottom w:val="nil"/>
            </w:tcBorders>
            <w:shd w:val="clear" w:color="auto" w:fill="auto"/>
            <w:tcMar>
              <w:top w:w="120" w:type="dxa"/>
              <w:left w:w="192" w:type="dxa"/>
              <w:bottom w:w="120" w:type="dxa"/>
              <w:right w:w="192" w:type="dxa"/>
            </w:tcMar>
            <w:vAlign w:val="center"/>
          </w:tcPr>
          <w:p w14:paraId="4084A5BF">
            <w:pPr>
              <w:jc w:val="left"/>
              <w:rPr>
                <w:rFonts w:hint="default" w:ascii="Times New Roman" w:hAnsi="Times New Roman" w:cs="Times New Roman"/>
                <w:sz w:val="24"/>
              </w:rPr>
            </w:pPr>
            <w:r>
              <w:rPr>
                <w:rFonts w:hint="default" w:ascii="Times New Roman" w:hAnsi="Times New Roman" w:cs="Times New Roman"/>
                <w:sz w:val="24"/>
                <w:lang w:val="en-US" w:eastAsia="zh-CN"/>
              </w:rPr>
              <w:t>4</w:t>
            </w:r>
          </w:p>
        </w:tc>
        <w:tc>
          <w:tcPr>
            <w:tcW w:w="1647" w:type="dxa"/>
            <w:tcBorders>
              <w:top w:val="single" w:color="auto" w:sz="4" w:space="0"/>
              <w:bottom w:val="nil"/>
            </w:tcBorders>
            <w:shd w:val="clear" w:color="auto" w:fill="auto"/>
            <w:tcMar>
              <w:top w:w="120" w:type="dxa"/>
              <w:left w:w="192" w:type="dxa"/>
              <w:bottom w:w="120" w:type="dxa"/>
              <w:right w:w="192" w:type="dxa"/>
            </w:tcMar>
            <w:vAlign w:val="center"/>
          </w:tcPr>
          <w:p w14:paraId="0D6C50E1">
            <w:pPr>
              <w:jc w:val="left"/>
              <w:rPr>
                <w:rFonts w:hint="default" w:ascii="Times New Roman" w:hAnsi="Times New Roman" w:cs="Times New Roman"/>
                <w:sz w:val="24"/>
              </w:rPr>
            </w:pPr>
            <w:r>
              <w:rPr>
                <w:rFonts w:hint="default" w:ascii="Times New Roman" w:hAnsi="Times New Roman" w:cs="Times New Roman"/>
                <w:sz w:val="24"/>
                <w:lang w:val="en-US" w:eastAsia="zh-CN"/>
              </w:rPr>
              <w:t>4</w:t>
            </w:r>
          </w:p>
        </w:tc>
        <w:tc>
          <w:tcPr>
            <w:tcW w:w="1611" w:type="dxa"/>
            <w:tcBorders>
              <w:top w:val="single" w:color="auto" w:sz="4" w:space="0"/>
              <w:bottom w:val="nil"/>
            </w:tcBorders>
            <w:shd w:val="clear" w:color="auto" w:fill="auto"/>
            <w:tcMar>
              <w:top w:w="120" w:type="dxa"/>
              <w:left w:w="192" w:type="dxa"/>
              <w:bottom w:w="120" w:type="dxa"/>
              <w:right w:w="0" w:type="dxa"/>
            </w:tcMar>
            <w:vAlign w:val="center"/>
          </w:tcPr>
          <w:p w14:paraId="2D928A85">
            <w:pPr>
              <w:jc w:val="left"/>
              <w:rPr>
                <w:rFonts w:hint="default" w:ascii="Times New Roman" w:hAnsi="Times New Roman" w:cs="Times New Roman"/>
                <w:sz w:val="24"/>
              </w:rPr>
            </w:pPr>
            <w:r>
              <w:rPr>
                <w:rFonts w:hint="default" w:ascii="Times New Roman" w:hAnsi="Times New Roman" w:cs="Times New Roman"/>
                <w:sz w:val="24"/>
                <w:lang w:val="en-US" w:eastAsia="zh-CN"/>
              </w:rPr>
              <w:t>63, 78, 149, 112</w:t>
            </w:r>
          </w:p>
        </w:tc>
      </w:tr>
      <w:tr w14:paraId="61FA170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15" w:type="dxa"/>
            <w:left w:w="15" w:type="dxa"/>
            <w:bottom w:w="15" w:type="dxa"/>
            <w:right w:w="15" w:type="dxa"/>
          </w:tblCellMar>
        </w:tblPrEx>
        <w:tc>
          <w:tcPr>
            <w:tcW w:w="1827" w:type="dxa"/>
            <w:tcBorders>
              <w:top w:val="nil"/>
              <w:bottom w:val="nil"/>
            </w:tcBorders>
            <w:shd w:val="clear" w:color="auto" w:fill="auto"/>
            <w:tcMar>
              <w:top w:w="120" w:type="dxa"/>
              <w:left w:w="0" w:type="dxa"/>
              <w:bottom w:w="120" w:type="dxa"/>
              <w:right w:w="192" w:type="dxa"/>
            </w:tcMar>
            <w:vAlign w:val="center"/>
          </w:tcPr>
          <w:p w14:paraId="20FF3B34">
            <w:pPr>
              <w:jc w:val="left"/>
              <w:rPr>
                <w:rFonts w:hint="default" w:ascii="Times New Roman" w:hAnsi="Times New Roman" w:cs="Times New Roman"/>
                <w:sz w:val="24"/>
              </w:rPr>
            </w:pPr>
            <w:r>
              <w:rPr>
                <w:rFonts w:hint="default" w:ascii="Times New Roman" w:hAnsi="Times New Roman" w:cs="Times New Roman"/>
                <w:sz w:val="24"/>
                <w:lang w:val="en-US" w:eastAsia="zh-CN"/>
              </w:rPr>
              <w:t>Dimensions only</w:t>
            </w:r>
          </w:p>
        </w:tc>
        <w:tc>
          <w:tcPr>
            <w:tcW w:w="1885" w:type="dxa"/>
            <w:tcBorders>
              <w:top w:val="nil"/>
              <w:bottom w:val="nil"/>
            </w:tcBorders>
            <w:shd w:val="clear" w:color="auto" w:fill="auto"/>
            <w:tcMar>
              <w:top w:w="120" w:type="dxa"/>
              <w:left w:w="192" w:type="dxa"/>
              <w:bottom w:w="120" w:type="dxa"/>
              <w:right w:w="192" w:type="dxa"/>
            </w:tcMar>
            <w:vAlign w:val="center"/>
          </w:tcPr>
          <w:p w14:paraId="47613FF1">
            <w:pPr>
              <w:jc w:val="left"/>
              <w:rPr>
                <w:rFonts w:hint="default" w:ascii="Times New Roman" w:hAnsi="Times New Roman" w:cs="Times New Roman"/>
                <w:sz w:val="24"/>
              </w:rPr>
            </w:pPr>
            <w:r>
              <w:rPr>
                <w:rFonts w:hint="default" w:ascii="Times New Roman" w:hAnsi="Times New Roman" w:cs="Times New Roman"/>
                <w:sz w:val="24"/>
                <w:lang w:val="en-US" w:eastAsia="zh-CN"/>
              </w:rPr>
              <w:t>4 dimension scores</w:t>
            </w:r>
          </w:p>
        </w:tc>
        <w:tc>
          <w:tcPr>
            <w:tcW w:w="1629" w:type="dxa"/>
            <w:tcBorders>
              <w:top w:val="nil"/>
              <w:bottom w:val="nil"/>
            </w:tcBorders>
            <w:shd w:val="clear" w:color="auto" w:fill="auto"/>
            <w:tcMar>
              <w:top w:w="120" w:type="dxa"/>
              <w:left w:w="192" w:type="dxa"/>
              <w:bottom w:w="120" w:type="dxa"/>
              <w:right w:w="192" w:type="dxa"/>
            </w:tcMar>
            <w:vAlign w:val="center"/>
          </w:tcPr>
          <w:p w14:paraId="315266B8">
            <w:pPr>
              <w:jc w:val="left"/>
              <w:rPr>
                <w:rFonts w:hint="default" w:ascii="Times New Roman" w:hAnsi="Times New Roman" w:cs="Times New Roman"/>
                <w:sz w:val="24"/>
              </w:rPr>
            </w:pPr>
            <w:r>
              <w:rPr>
                <w:rFonts w:hint="default" w:ascii="Times New Roman" w:hAnsi="Times New Roman" w:cs="Times New Roman"/>
                <w:sz w:val="24"/>
                <w:lang w:val="en-US" w:eastAsia="zh-CN"/>
              </w:rPr>
              <w:t>4</w:t>
            </w:r>
          </w:p>
        </w:tc>
        <w:tc>
          <w:tcPr>
            <w:tcW w:w="1647" w:type="dxa"/>
            <w:tcBorders>
              <w:top w:val="nil"/>
              <w:bottom w:val="nil"/>
            </w:tcBorders>
            <w:shd w:val="clear" w:color="auto" w:fill="auto"/>
            <w:tcMar>
              <w:top w:w="120" w:type="dxa"/>
              <w:left w:w="192" w:type="dxa"/>
              <w:bottom w:w="120" w:type="dxa"/>
              <w:right w:w="192" w:type="dxa"/>
            </w:tcMar>
            <w:vAlign w:val="center"/>
          </w:tcPr>
          <w:p w14:paraId="2895E5D6">
            <w:pPr>
              <w:jc w:val="left"/>
              <w:rPr>
                <w:rFonts w:hint="default" w:ascii="Times New Roman" w:hAnsi="Times New Roman" w:cs="Times New Roman"/>
                <w:sz w:val="24"/>
              </w:rPr>
            </w:pPr>
            <w:r>
              <w:rPr>
                <w:rFonts w:hint="default" w:ascii="Times New Roman" w:hAnsi="Times New Roman" w:cs="Times New Roman"/>
                <w:sz w:val="24"/>
                <w:lang w:val="en-US" w:eastAsia="zh-CN"/>
              </w:rPr>
              <w:t>2</w:t>
            </w:r>
          </w:p>
        </w:tc>
        <w:tc>
          <w:tcPr>
            <w:tcW w:w="1611" w:type="dxa"/>
            <w:tcBorders>
              <w:top w:val="nil"/>
              <w:bottom w:val="nil"/>
            </w:tcBorders>
            <w:shd w:val="clear" w:color="auto" w:fill="auto"/>
            <w:tcMar>
              <w:top w:w="120" w:type="dxa"/>
              <w:left w:w="192" w:type="dxa"/>
              <w:bottom w:w="120" w:type="dxa"/>
              <w:right w:w="0" w:type="dxa"/>
            </w:tcMar>
            <w:vAlign w:val="center"/>
          </w:tcPr>
          <w:p w14:paraId="66C94E42">
            <w:pPr>
              <w:jc w:val="left"/>
              <w:rPr>
                <w:rFonts w:hint="default" w:ascii="Times New Roman" w:hAnsi="Times New Roman" w:cs="Times New Roman"/>
                <w:sz w:val="24"/>
              </w:rPr>
            </w:pPr>
            <w:r>
              <w:rPr>
                <w:rFonts w:hint="default" w:ascii="Times New Roman" w:hAnsi="Times New Roman" w:cs="Times New Roman"/>
                <w:sz w:val="24"/>
                <w:lang w:val="en-US" w:eastAsia="zh-CN"/>
              </w:rPr>
              <w:t>64, 338</w:t>
            </w:r>
          </w:p>
        </w:tc>
      </w:tr>
      <w:tr w14:paraId="6109BB7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827" w:type="dxa"/>
            <w:tcBorders>
              <w:top w:val="nil"/>
              <w:bottom w:val="single" w:color="auto" w:sz="12" w:space="0"/>
            </w:tcBorders>
            <w:shd w:val="clear" w:color="auto" w:fill="auto"/>
            <w:tcMar>
              <w:top w:w="120" w:type="dxa"/>
              <w:left w:w="0" w:type="dxa"/>
              <w:bottom w:w="120" w:type="dxa"/>
              <w:right w:w="192" w:type="dxa"/>
            </w:tcMar>
            <w:vAlign w:val="center"/>
          </w:tcPr>
          <w:p w14:paraId="3A7E6590">
            <w:pPr>
              <w:jc w:val="left"/>
              <w:rPr>
                <w:rFonts w:hint="default" w:ascii="Times New Roman" w:hAnsi="Times New Roman" w:cs="Times New Roman"/>
                <w:sz w:val="24"/>
              </w:rPr>
            </w:pPr>
            <w:r>
              <w:rPr>
                <w:rFonts w:hint="default" w:ascii="Times New Roman" w:hAnsi="Times New Roman" w:cs="Times New Roman"/>
                <w:sz w:val="24"/>
                <w:lang w:val="en-US" w:eastAsia="zh-CN"/>
              </w:rPr>
              <w:t>Items only</w:t>
            </w:r>
          </w:p>
        </w:tc>
        <w:tc>
          <w:tcPr>
            <w:tcW w:w="1885" w:type="dxa"/>
            <w:tcBorders>
              <w:top w:val="nil"/>
              <w:bottom w:val="single" w:color="auto" w:sz="12" w:space="0"/>
            </w:tcBorders>
            <w:shd w:val="clear" w:color="auto" w:fill="auto"/>
            <w:tcMar>
              <w:top w:w="120" w:type="dxa"/>
              <w:left w:w="192" w:type="dxa"/>
              <w:bottom w:w="120" w:type="dxa"/>
              <w:right w:w="192" w:type="dxa"/>
            </w:tcMar>
            <w:vAlign w:val="center"/>
          </w:tcPr>
          <w:p w14:paraId="29003E8E">
            <w:pPr>
              <w:jc w:val="left"/>
              <w:rPr>
                <w:rFonts w:hint="default" w:ascii="Times New Roman" w:hAnsi="Times New Roman" w:cs="Times New Roman"/>
                <w:sz w:val="24"/>
              </w:rPr>
            </w:pPr>
            <w:r>
              <w:rPr>
                <w:rFonts w:hint="default" w:ascii="Times New Roman" w:hAnsi="Times New Roman" w:cs="Times New Roman"/>
                <w:sz w:val="24"/>
                <w:lang w:val="en-US" w:eastAsia="zh-CN"/>
              </w:rPr>
              <w:t>17 individual items</w:t>
            </w:r>
          </w:p>
        </w:tc>
        <w:tc>
          <w:tcPr>
            <w:tcW w:w="1629" w:type="dxa"/>
            <w:tcBorders>
              <w:top w:val="nil"/>
              <w:bottom w:val="single" w:color="auto" w:sz="12" w:space="0"/>
            </w:tcBorders>
            <w:shd w:val="clear" w:color="auto" w:fill="auto"/>
            <w:tcMar>
              <w:top w:w="120" w:type="dxa"/>
              <w:left w:w="192" w:type="dxa"/>
              <w:bottom w:w="120" w:type="dxa"/>
              <w:right w:w="192" w:type="dxa"/>
            </w:tcMar>
            <w:vAlign w:val="center"/>
          </w:tcPr>
          <w:p w14:paraId="056FA8F2">
            <w:pPr>
              <w:jc w:val="left"/>
              <w:rPr>
                <w:rFonts w:hint="default" w:ascii="Times New Roman" w:hAnsi="Times New Roman" w:cs="Times New Roman"/>
                <w:sz w:val="24"/>
              </w:rPr>
            </w:pPr>
            <w:r>
              <w:rPr>
                <w:rFonts w:hint="default" w:ascii="Times New Roman" w:hAnsi="Times New Roman" w:cs="Times New Roman"/>
                <w:sz w:val="24"/>
                <w:lang w:val="en-US" w:eastAsia="zh-CN"/>
              </w:rPr>
              <w:t>4</w:t>
            </w:r>
          </w:p>
        </w:tc>
        <w:tc>
          <w:tcPr>
            <w:tcW w:w="1647" w:type="dxa"/>
            <w:tcBorders>
              <w:top w:val="nil"/>
              <w:bottom w:val="single" w:color="auto" w:sz="12" w:space="0"/>
            </w:tcBorders>
            <w:shd w:val="clear" w:color="auto" w:fill="auto"/>
            <w:tcMar>
              <w:top w:w="120" w:type="dxa"/>
              <w:left w:w="192" w:type="dxa"/>
              <w:bottom w:w="120" w:type="dxa"/>
              <w:right w:w="192" w:type="dxa"/>
            </w:tcMar>
            <w:vAlign w:val="center"/>
          </w:tcPr>
          <w:p w14:paraId="70A46107">
            <w:pPr>
              <w:jc w:val="left"/>
              <w:rPr>
                <w:rFonts w:hint="default" w:ascii="Times New Roman" w:hAnsi="Times New Roman" w:cs="Times New Roman"/>
                <w:sz w:val="24"/>
              </w:rPr>
            </w:pPr>
            <w:r>
              <w:rPr>
                <w:rFonts w:hint="default" w:ascii="Times New Roman" w:hAnsi="Times New Roman" w:cs="Times New Roman"/>
                <w:sz w:val="24"/>
                <w:lang w:val="en-US" w:eastAsia="zh-CN"/>
              </w:rPr>
              <w:t>3</w:t>
            </w:r>
          </w:p>
        </w:tc>
        <w:tc>
          <w:tcPr>
            <w:tcW w:w="1611" w:type="dxa"/>
            <w:tcBorders>
              <w:top w:val="nil"/>
              <w:bottom w:val="single" w:color="auto" w:sz="12" w:space="0"/>
            </w:tcBorders>
            <w:shd w:val="clear" w:color="auto" w:fill="auto"/>
            <w:tcMar>
              <w:top w:w="120" w:type="dxa"/>
              <w:left w:w="192" w:type="dxa"/>
              <w:bottom w:w="120" w:type="dxa"/>
              <w:right w:w="0" w:type="dxa"/>
            </w:tcMar>
            <w:vAlign w:val="center"/>
          </w:tcPr>
          <w:p w14:paraId="3B14F467">
            <w:pPr>
              <w:jc w:val="left"/>
              <w:rPr>
                <w:rFonts w:hint="default" w:ascii="Times New Roman" w:hAnsi="Times New Roman" w:cs="Times New Roman"/>
                <w:sz w:val="24"/>
              </w:rPr>
            </w:pPr>
            <w:r>
              <w:rPr>
                <w:rFonts w:hint="default" w:ascii="Times New Roman" w:hAnsi="Times New Roman" w:cs="Times New Roman"/>
                <w:sz w:val="24"/>
                <w:lang w:val="en-US" w:eastAsia="zh-CN"/>
              </w:rPr>
              <w:t>61, 185, 156</w:t>
            </w:r>
          </w:p>
        </w:tc>
      </w:tr>
    </w:tbl>
    <w:p w14:paraId="16C72702">
      <w:pPr>
        <w:rPr>
          <w:rFonts w:hint="eastAsia" w:ascii="Times New Roman" w:hAnsi="Times New Roman" w:cs="Times New Roman"/>
          <w:sz w:val="24"/>
        </w:rPr>
      </w:pPr>
      <w:r>
        <w:rPr>
          <w:rFonts w:hint="eastAsia" w:ascii="Times New Roman" w:hAnsi="Times New Roman" w:cs="Times New Roman"/>
          <w:sz w:val="24"/>
        </w:rPr>
        <w:t>Note: The number of classes was fixed at 4 across all comparisons to align with the final model selected in the main analysis. The “combined approach” successfully identified four clinically meaningful profiles (63, 78, 149, 112), consistent with the main analysis (see main text Table 6). In contrast, using dimension scores alone resulted in only two effective classes (64, 338), and using individual items alone resulted in three effective classes (61, 185, 156). Neither alternative could reproduce the four-profile structure identified by the combined approach, supporting the necessity of using both dimension scores and single items as LPA indicators.</w:t>
      </w:r>
    </w:p>
    <w:p w14:paraId="36CA9CA1">
      <w:pPr>
        <w:rPr>
          <w:rFonts w:hint="eastAsia" w:ascii="Times New Roman" w:hAnsi="Times New Roman" w:cs="Times New Roman"/>
          <w:sz w:val="24"/>
        </w:rPr>
      </w:pPr>
    </w:p>
    <w:p w14:paraId="5F38B6CD">
      <w:pPr>
        <w:rPr>
          <w:rFonts w:hint="default" w:ascii="Times New Roman" w:hAnsi="Times New Roman" w:cs="Times New Roman"/>
          <w:sz w:val="24"/>
        </w:rPr>
      </w:pPr>
      <w:r>
        <w:rPr>
          <w:rFonts w:hint="default" w:ascii="Times New Roman" w:hAnsi="Times New Roman" w:cs="Times New Roman"/>
          <w:sz w:val="24"/>
        </w:rPr>
        <w:t>Table S2. Sensitivity analysis: forced-entry multinomial logistic regression results (reference: Good Overall profile)</w:t>
      </w:r>
    </w:p>
    <w:tbl>
      <w:tblPr>
        <w:tblStyle w:val="5"/>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27"/>
        <w:gridCol w:w="2257"/>
        <w:gridCol w:w="2432"/>
        <w:gridCol w:w="2387"/>
      </w:tblGrid>
      <w:tr w14:paraId="36424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auto" w:sz="12" w:space="0"/>
              <w:bottom w:val="single" w:color="auto" w:sz="4" w:space="0"/>
            </w:tcBorders>
            <w:shd w:val="clear" w:color="auto" w:fill="auto"/>
            <w:tcMar>
              <w:top w:w="120" w:type="dxa"/>
              <w:left w:w="0" w:type="dxa"/>
              <w:bottom w:w="120" w:type="dxa"/>
              <w:right w:w="192" w:type="dxa"/>
            </w:tcMar>
            <w:vAlign w:val="center"/>
          </w:tcPr>
          <w:p w14:paraId="70F057F2">
            <w:pPr>
              <w:rPr>
                <w:rFonts w:hint="default" w:ascii="Times New Roman" w:hAnsi="Times New Roman" w:cs="Times New Roman"/>
                <w:sz w:val="24"/>
              </w:rPr>
            </w:pPr>
            <w:r>
              <w:rPr>
                <w:rFonts w:hint="default" w:ascii="Times New Roman" w:hAnsi="Times New Roman" w:cs="Times New Roman"/>
                <w:sz w:val="24"/>
                <w:lang w:val="en-US" w:eastAsia="zh-CN"/>
              </w:rPr>
              <w:t>Variable</w:t>
            </w:r>
          </w:p>
        </w:tc>
        <w:tc>
          <w:tcPr>
            <w:tcW w:w="2257" w:type="dxa"/>
            <w:tcBorders>
              <w:top w:val="single" w:color="auto" w:sz="12" w:space="0"/>
              <w:bottom w:val="single" w:color="auto" w:sz="4" w:space="0"/>
            </w:tcBorders>
            <w:shd w:val="clear" w:color="auto" w:fill="auto"/>
            <w:tcMar>
              <w:top w:w="120" w:type="dxa"/>
              <w:left w:w="192" w:type="dxa"/>
              <w:bottom w:w="120" w:type="dxa"/>
              <w:right w:w="192" w:type="dxa"/>
            </w:tcMar>
            <w:vAlign w:val="center"/>
          </w:tcPr>
          <w:p w14:paraId="408FF7BD">
            <w:pPr>
              <w:rPr>
                <w:rFonts w:hint="default" w:ascii="Times New Roman" w:hAnsi="Times New Roman" w:cs="Times New Roman"/>
                <w:sz w:val="24"/>
              </w:rPr>
            </w:pPr>
            <w:r>
              <w:rPr>
                <w:rFonts w:hint="default" w:ascii="Times New Roman" w:hAnsi="Times New Roman" w:cs="Times New Roman"/>
                <w:sz w:val="24"/>
                <w:lang w:val="en-US" w:eastAsia="zh-CN"/>
              </w:rPr>
              <w:t>Basic Deficit vs. Good Overall</w:t>
            </w:r>
          </w:p>
        </w:tc>
        <w:tc>
          <w:tcPr>
            <w:tcW w:w="2432" w:type="dxa"/>
            <w:tcBorders>
              <w:top w:val="single" w:color="auto" w:sz="12" w:space="0"/>
              <w:bottom w:val="single" w:color="auto" w:sz="4" w:space="0"/>
            </w:tcBorders>
            <w:shd w:val="clear" w:color="auto" w:fill="auto"/>
            <w:tcMar>
              <w:top w:w="120" w:type="dxa"/>
              <w:left w:w="192" w:type="dxa"/>
              <w:bottom w:w="120" w:type="dxa"/>
              <w:right w:w="192" w:type="dxa"/>
            </w:tcMar>
            <w:vAlign w:val="center"/>
          </w:tcPr>
          <w:p w14:paraId="43AECFCA">
            <w:pPr>
              <w:rPr>
                <w:rFonts w:hint="default" w:ascii="Times New Roman" w:hAnsi="Times New Roman" w:cs="Times New Roman"/>
                <w:sz w:val="24"/>
              </w:rPr>
            </w:pPr>
            <w:r>
              <w:rPr>
                <w:rFonts w:hint="default" w:ascii="Times New Roman" w:hAnsi="Times New Roman" w:cs="Times New Roman"/>
                <w:sz w:val="24"/>
                <w:lang w:val="en-US" w:eastAsia="zh-CN"/>
              </w:rPr>
              <w:t>Inspection Neglect vs. Good Overall</w:t>
            </w:r>
          </w:p>
        </w:tc>
        <w:tc>
          <w:tcPr>
            <w:tcW w:w="0" w:type="auto"/>
            <w:tcBorders>
              <w:top w:val="single" w:color="auto" w:sz="12" w:space="0"/>
              <w:bottom w:val="single" w:color="auto" w:sz="4" w:space="0"/>
            </w:tcBorders>
            <w:shd w:val="clear" w:color="auto" w:fill="auto"/>
            <w:tcMar>
              <w:top w:w="120" w:type="dxa"/>
              <w:left w:w="192" w:type="dxa"/>
              <w:bottom w:w="120" w:type="dxa"/>
              <w:right w:w="192" w:type="dxa"/>
            </w:tcMar>
            <w:vAlign w:val="center"/>
          </w:tcPr>
          <w:p w14:paraId="65E74F0E">
            <w:pPr>
              <w:rPr>
                <w:rFonts w:hint="default" w:ascii="Times New Roman" w:hAnsi="Times New Roman" w:cs="Times New Roman"/>
                <w:sz w:val="24"/>
              </w:rPr>
            </w:pPr>
            <w:r>
              <w:rPr>
                <w:rFonts w:hint="default" w:ascii="Times New Roman" w:hAnsi="Times New Roman" w:cs="Times New Roman"/>
                <w:sz w:val="24"/>
                <w:lang w:val="en-US" w:eastAsia="zh-CN"/>
              </w:rPr>
              <w:t>Trimming Deficiency vs. Good Overall</w:t>
            </w:r>
          </w:p>
        </w:tc>
      </w:tr>
      <w:tr w14:paraId="01FD7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tcBorders>
            <w:shd w:val="clear" w:color="auto" w:fill="auto"/>
            <w:tcMar>
              <w:top w:w="120" w:type="dxa"/>
              <w:left w:w="0" w:type="dxa"/>
              <w:bottom w:w="120" w:type="dxa"/>
              <w:right w:w="192" w:type="dxa"/>
            </w:tcMar>
            <w:vAlign w:val="center"/>
          </w:tcPr>
          <w:p w14:paraId="70066D4B">
            <w:pPr>
              <w:rPr>
                <w:rFonts w:hint="default" w:ascii="Times New Roman" w:hAnsi="Times New Roman" w:cs="Times New Roman"/>
                <w:sz w:val="24"/>
              </w:rPr>
            </w:pPr>
            <w:r>
              <w:rPr>
                <w:rFonts w:hint="default" w:ascii="Times New Roman" w:hAnsi="Times New Roman" w:cs="Times New Roman"/>
                <w:sz w:val="24"/>
                <w:lang w:val="en-US" w:eastAsia="zh-CN"/>
              </w:rPr>
              <w:t>Self-efficacy</w:t>
            </w:r>
          </w:p>
        </w:tc>
        <w:tc>
          <w:tcPr>
            <w:tcW w:w="2257" w:type="dxa"/>
            <w:tcBorders>
              <w:top w:val="single" w:color="auto" w:sz="4" w:space="0"/>
            </w:tcBorders>
            <w:shd w:val="clear" w:color="auto" w:fill="auto"/>
            <w:tcMar>
              <w:top w:w="120" w:type="dxa"/>
              <w:left w:w="192" w:type="dxa"/>
              <w:bottom w:w="120" w:type="dxa"/>
              <w:right w:w="192" w:type="dxa"/>
            </w:tcMar>
            <w:vAlign w:val="center"/>
          </w:tcPr>
          <w:p w14:paraId="31E7DBA3">
            <w:pPr>
              <w:rPr>
                <w:rFonts w:hint="default" w:ascii="Times New Roman" w:hAnsi="Times New Roman" w:cs="Times New Roman"/>
                <w:sz w:val="24"/>
              </w:rPr>
            </w:pPr>
            <w:r>
              <w:rPr>
                <w:rFonts w:hint="default" w:ascii="Times New Roman" w:hAnsi="Times New Roman" w:cs="Times New Roman"/>
                <w:sz w:val="24"/>
                <w:lang w:val="en-US" w:eastAsia="zh-CN"/>
              </w:rPr>
              <w:t>0.76 (0.67–0.85)**</w:t>
            </w:r>
          </w:p>
        </w:tc>
        <w:tc>
          <w:tcPr>
            <w:tcW w:w="2432" w:type="dxa"/>
            <w:tcBorders>
              <w:top w:val="single" w:color="auto" w:sz="4" w:space="0"/>
            </w:tcBorders>
            <w:shd w:val="clear" w:color="auto" w:fill="auto"/>
            <w:tcMar>
              <w:top w:w="120" w:type="dxa"/>
              <w:left w:w="192" w:type="dxa"/>
              <w:bottom w:w="120" w:type="dxa"/>
              <w:right w:w="192" w:type="dxa"/>
            </w:tcMar>
            <w:vAlign w:val="center"/>
          </w:tcPr>
          <w:p w14:paraId="2278A7B2">
            <w:pPr>
              <w:rPr>
                <w:rFonts w:hint="default" w:ascii="Times New Roman" w:hAnsi="Times New Roman" w:cs="Times New Roman"/>
                <w:sz w:val="24"/>
              </w:rPr>
            </w:pPr>
            <w:r>
              <w:rPr>
                <w:rFonts w:hint="default" w:ascii="Times New Roman" w:hAnsi="Times New Roman" w:cs="Times New Roman"/>
                <w:sz w:val="24"/>
                <w:lang w:val="en-US" w:eastAsia="zh-CN"/>
              </w:rPr>
              <w:t>0.91 (0.81–1.02)</w:t>
            </w:r>
          </w:p>
        </w:tc>
        <w:tc>
          <w:tcPr>
            <w:tcW w:w="0" w:type="auto"/>
            <w:tcBorders>
              <w:top w:val="single" w:color="auto" w:sz="4" w:space="0"/>
            </w:tcBorders>
            <w:shd w:val="clear" w:color="auto" w:fill="auto"/>
            <w:tcMar>
              <w:top w:w="120" w:type="dxa"/>
              <w:left w:w="192" w:type="dxa"/>
              <w:bottom w:w="120" w:type="dxa"/>
              <w:right w:w="0" w:type="dxa"/>
            </w:tcMar>
            <w:vAlign w:val="center"/>
          </w:tcPr>
          <w:p w14:paraId="5E78DF3B">
            <w:pPr>
              <w:rPr>
                <w:rFonts w:hint="default" w:ascii="Times New Roman" w:hAnsi="Times New Roman" w:cs="Times New Roman"/>
                <w:sz w:val="24"/>
              </w:rPr>
            </w:pPr>
            <w:r>
              <w:rPr>
                <w:rFonts w:hint="default" w:ascii="Times New Roman" w:hAnsi="Times New Roman" w:cs="Times New Roman"/>
                <w:sz w:val="24"/>
                <w:lang w:val="en-US" w:eastAsia="zh-CN"/>
              </w:rPr>
              <w:t>0.89 (0.79–1.00)</w:t>
            </w:r>
          </w:p>
        </w:tc>
      </w:tr>
      <w:tr w14:paraId="1D29E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20" w:type="dxa"/>
              <w:left w:w="0" w:type="dxa"/>
              <w:bottom w:w="120" w:type="dxa"/>
              <w:right w:w="192" w:type="dxa"/>
            </w:tcMar>
            <w:vAlign w:val="center"/>
          </w:tcPr>
          <w:p w14:paraId="74AAA388">
            <w:pPr>
              <w:rPr>
                <w:rFonts w:hint="default" w:ascii="Times New Roman" w:hAnsi="Times New Roman" w:cs="Times New Roman"/>
                <w:sz w:val="24"/>
              </w:rPr>
            </w:pPr>
            <w:r>
              <w:rPr>
                <w:rFonts w:hint="default" w:ascii="Times New Roman" w:hAnsi="Times New Roman" w:cs="Times New Roman"/>
                <w:sz w:val="24"/>
                <w:lang w:val="en-US" w:eastAsia="zh-CN"/>
              </w:rPr>
              <w:t>Knowledge</w:t>
            </w:r>
          </w:p>
        </w:tc>
        <w:tc>
          <w:tcPr>
            <w:tcW w:w="2257" w:type="dxa"/>
            <w:shd w:val="clear" w:color="auto" w:fill="auto"/>
            <w:tcMar>
              <w:top w:w="120" w:type="dxa"/>
              <w:left w:w="192" w:type="dxa"/>
              <w:bottom w:w="120" w:type="dxa"/>
              <w:right w:w="192" w:type="dxa"/>
            </w:tcMar>
            <w:vAlign w:val="center"/>
          </w:tcPr>
          <w:p w14:paraId="2EC20C48">
            <w:pPr>
              <w:rPr>
                <w:rFonts w:hint="default" w:ascii="Times New Roman" w:hAnsi="Times New Roman" w:cs="Times New Roman"/>
                <w:sz w:val="24"/>
              </w:rPr>
            </w:pPr>
            <w:r>
              <w:rPr>
                <w:rFonts w:hint="default" w:ascii="Times New Roman" w:hAnsi="Times New Roman" w:cs="Times New Roman"/>
                <w:sz w:val="24"/>
                <w:lang w:val="en-US" w:eastAsia="zh-CN"/>
              </w:rPr>
              <w:t>0.90 (0.86–0.94)**</w:t>
            </w:r>
          </w:p>
        </w:tc>
        <w:tc>
          <w:tcPr>
            <w:tcW w:w="2432" w:type="dxa"/>
            <w:shd w:val="clear" w:color="auto" w:fill="auto"/>
            <w:tcMar>
              <w:top w:w="120" w:type="dxa"/>
              <w:left w:w="192" w:type="dxa"/>
              <w:bottom w:w="120" w:type="dxa"/>
              <w:right w:w="192" w:type="dxa"/>
            </w:tcMar>
            <w:vAlign w:val="center"/>
          </w:tcPr>
          <w:p w14:paraId="36B24BE3">
            <w:pPr>
              <w:rPr>
                <w:rFonts w:hint="default" w:ascii="Times New Roman" w:hAnsi="Times New Roman" w:cs="Times New Roman"/>
                <w:sz w:val="24"/>
              </w:rPr>
            </w:pPr>
            <w:r>
              <w:rPr>
                <w:rFonts w:hint="default" w:ascii="Times New Roman" w:hAnsi="Times New Roman" w:cs="Times New Roman"/>
                <w:sz w:val="24"/>
                <w:lang w:val="en-US" w:eastAsia="zh-CN"/>
              </w:rPr>
              <w:t>0.88 (0.84–0.91)**</w:t>
            </w:r>
          </w:p>
        </w:tc>
        <w:tc>
          <w:tcPr>
            <w:tcW w:w="0" w:type="auto"/>
            <w:shd w:val="clear" w:color="auto" w:fill="auto"/>
            <w:tcMar>
              <w:top w:w="120" w:type="dxa"/>
              <w:left w:w="192" w:type="dxa"/>
              <w:bottom w:w="120" w:type="dxa"/>
              <w:right w:w="0" w:type="dxa"/>
            </w:tcMar>
            <w:vAlign w:val="center"/>
          </w:tcPr>
          <w:p w14:paraId="1AAB8558">
            <w:pPr>
              <w:rPr>
                <w:rFonts w:hint="default" w:ascii="Times New Roman" w:hAnsi="Times New Roman" w:cs="Times New Roman"/>
                <w:sz w:val="24"/>
              </w:rPr>
            </w:pPr>
            <w:r>
              <w:rPr>
                <w:rFonts w:hint="default" w:ascii="Times New Roman" w:hAnsi="Times New Roman" w:cs="Times New Roman"/>
                <w:sz w:val="24"/>
                <w:lang w:val="en-US" w:eastAsia="zh-CN"/>
              </w:rPr>
              <w:t>0.91 (0.87–0.94)**</w:t>
            </w:r>
          </w:p>
        </w:tc>
      </w:tr>
      <w:tr w14:paraId="3C0E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20" w:type="dxa"/>
              <w:left w:w="0" w:type="dxa"/>
              <w:bottom w:w="120" w:type="dxa"/>
              <w:right w:w="192" w:type="dxa"/>
            </w:tcMar>
            <w:vAlign w:val="center"/>
          </w:tcPr>
          <w:p w14:paraId="2227545B">
            <w:pPr>
              <w:rPr>
                <w:rFonts w:hint="default" w:ascii="Times New Roman" w:hAnsi="Times New Roman" w:cs="Times New Roman"/>
                <w:sz w:val="24"/>
              </w:rPr>
            </w:pPr>
            <w:r>
              <w:rPr>
                <w:rFonts w:hint="default" w:ascii="Times New Roman" w:hAnsi="Times New Roman" w:cs="Times New Roman"/>
                <w:sz w:val="24"/>
                <w:lang w:val="en-US" w:eastAsia="zh-CN"/>
              </w:rPr>
              <w:t>Attitude</w:t>
            </w:r>
          </w:p>
        </w:tc>
        <w:tc>
          <w:tcPr>
            <w:tcW w:w="2257" w:type="dxa"/>
            <w:shd w:val="clear" w:color="auto" w:fill="auto"/>
            <w:tcMar>
              <w:top w:w="120" w:type="dxa"/>
              <w:left w:w="192" w:type="dxa"/>
              <w:bottom w:w="120" w:type="dxa"/>
              <w:right w:w="192" w:type="dxa"/>
            </w:tcMar>
            <w:vAlign w:val="center"/>
          </w:tcPr>
          <w:p w14:paraId="144EC093">
            <w:pPr>
              <w:rPr>
                <w:rFonts w:hint="default" w:ascii="Times New Roman" w:hAnsi="Times New Roman" w:cs="Times New Roman"/>
                <w:sz w:val="24"/>
              </w:rPr>
            </w:pPr>
            <w:r>
              <w:rPr>
                <w:rFonts w:hint="default" w:ascii="Times New Roman" w:hAnsi="Times New Roman" w:cs="Times New Roman"/>
                <w:sz w:val="24"/>
                <w:lang w:val="en-US" w:eastAsia="zh-CN"/>
              </w:rPr>
              <w:t>0.95 (0.91–0.99)**</w:t>
            </w:r>
          </w:p>
        </w:tc>
        <w:tc>
          <w:tcPr>
            <w:tcW w:w="2432" w:type="dxa"/>
            <w:shd w:val="clear" w:color="auto" w:fill="auto"/>
            <w:tcMar>
              <w:top w:w="120" w:type="dxa"/>
              <w:left w:w="192" w:type="dxa"/>
              <w:bottom w:w="120" w:type="dxa"/>
              <w:right w:w="192" w:type="dxa"/>
            </w:tcMar>
            <w:vAlign w:val="center"/>
          </w:tcPr>
          <w:p w14:paraId="7970F864">
            <w:pPr>
              <w:rPr>
                <w:rFonts w:hint="default" w:ascii="Times New Roman" w:hAnsi="Times New Roman" w:cs="Times New Roman"/>
                <w:sz w:val="24"/>
              </w:rPr>
            </w:pPr>
            <w:r>
              <w:rPr>
                <w:rFonts w:hint="default" w:ascii="Times New Roman" w:hAnsi="Times New Roman" w:cs="Times New Roman"/>
                <w:sz w:val="24"/>
                <w:lang w:val="en-US" w:eastAsia="zh-CN"/>
              </w:rPr>
              <w:t>1.07 (1.03–1.11)**</w:t>
            </w:r>
          </w:p>
        </w:tc>
        <w:tc>
          <w:tcPr>
            <w:tcW w:w="0" w:type="auto"/>
            <w:shd w:val="clear" w:color="auto" w:fill="auto"/>
            <w:tcMar>
              <w:top w:w="120" w:type="dxa"/>
              <w:left w:w="192" w:type="dxa"/>
              <w:bottom w:w="120" w:type="dxa"/>
              <w:right w:w="0" w:type="dxa"/>
            </w:tcMar>
            <w:vAlign w:val="center"/>
          </w:tcPr>
          <w:p w14:paraId="01CDC75A">
            <w:pPr>
              <w:rPr>
                <w:rFonts w:hint="default" w:ascii="Times New Roman" w:hAnsi="Times New Roman" w:cs="Times New Roman"/>
                <w:sz w:val="24"/>
              </w:rPr>
            </w:pPr>
            <w:r>
              <w:rPr>
                <w:rFonts w:hint="default" w:ascii="Times New Roman" w:hAnsi="Times New Roman" w:cs="Times New Roman"/>
                <w:sz w:val="24"/>
                <w:lang w:val="en-US" w:eastAsia="zh-CN"/>
              </w:rPr>
              <w:t>1.02 (0.98–1.05)</w:t>
            </w:r>
          </w:p>
        </w:tc>
      </w:tr>
      <w:tr w14:paraId="7189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top w:w="120" w:type="dxa"/>
              <w:left w:w="0" w:type="dxa"/>
              <w:bottom w:w="120" w:type="dxa"/>
              <w:right w:w="192" w:type="dxa"/>
            </w:tcMar>
            <w:vAlign w:val="center"/>
          </w:tcPr>
          <w:p w14:paraId="6332DE02">
            <w:pPr>
              <w:rPr>
                <w:rFonts w:hint="default" w:ascii="Times New Roman" w:hAnsi="Times New Roman" w:cs="Times New Roman"/>
                <w:sz w:val="24"/>
              </w:rPr>
            </w:pPr>
            <w:r>
              <w:rPr>
                <w:rFonts w:hint="default" w:ascii="Times New Roman" w:hAnsi="Times New Roman" w:cs="Times New Roman"/>
                <w:sz w:val="24"/>
                <w:lang w:val="en-US" w:eastAsia="zh-CN"/>
              </w:rPr>
              <w:t>Retinopathy</w:t>
            </w:r>
          </w:p>
        </w:tc>
        <w:tc>
          <w:tcPr>
            <w:tcW w:w="2257" w:type="dxa"/>
            <w:shd w:val="clear" w:color="auto" w:fill="auto"/>
            <w:tcMar>
              <w:top w:w="120" w:type="dxa"/>
              <w:left w:w="192" w:type="dxa"/>
              <w:bottom w:w="120" w:type="dxa"/>
              <w:right w:w="192" w:type="dxa"/>
            </w:tcMar>
            <w:vAlign w:val="center"/>
          </w:tcPr>
          <w:p w14:paraId="18EE88A4">
            <w:pPr>
              <w:rPr>
                <w:rFonts w:hint="default" w:ascii="Times New Roman" w:hAnsi="Times New Roman" w:cs="Times New Roman"/>
                <w:sz w:val="24"/>
              </w:rPr>
            </w:pPr>
            <w:r>
              <w:rPr>
                <w:rFonts w:hint="default" w:ascii="Times New Roman" w:hAnsi="Times New Roman" w:cs="Times New Roman"/>
                <w:sz w:val="24"/>
                <w:lang w:val="en-US" w:eastAsia="zh-CN"/>
              </w:rPr>
              <w:t>0.13 (0.04–0.47)**</w:t>
            </w:r>
          </w:p>
        </w:tc>
        <w:tc>
          <w:tcPr>
            <w:tcW w:w="2432" w:type="dxa"/>
            <w:shd w:val="clear" w:color="auto" w:fill="auto"/>
            <w:tcMar>
              <w:top w:w="120" w:type="dxa"/>
              <w:left w:w="192" w:type="dxa"/>
              <w:bottom w:w="120" w:type="dxa"/>
              <w:right w:w="192" w:type="dxa"/>
            </w:tcMar>
            <w:vAlign w:val="center"/>
          </w:tcPr>
          <w:p w14:paraId="5DEB15BC">
            <w:pPr>
              <w:rPr>
                <w:rFonts w:hint="default" w:ascii="Times New Roman" w:hAnsi="Times New Roman" w:cs="Times New Roman"/>
                <w:sz w:val="24"/>
              </w:rPr>
            </w:pPr>
            <w:r>
              <w:rPr>
                <w:rFonts w:hint="default" w:ascii="Times New Roman" w:hAnsi="Times New Roman" w:cs="Times New Roman"/>
                <w:sz w:val="24"/>
                <w:lang w:val="en-US" w:eastAsia="zh-CN"/>
              </w:rPr>
              <w:t>0.55 (0.20–1.50)</w:t>
            </w:r>
          </w:p>
        </w:tc>
        <w:tc>
          <w:tcPr>
            <w:tcW w:w="0" w:type="auto"/>
            <w:shd w:val="clear" w:color="auto" w:fill="auto"/>
            <w:tcMar>
              <w:top w:w="120" w:type="dxa"/>
              <w:left w:w="192" w:type="dxa"/>
              <w:bottom w:w="120" w:type="dxa"/>
              <w:right w:w="0" w:type="dxa"/>
            </w:tcMar>
            <w:vAlign w:val="center"/>
          </w:tcPr>
          <w:p w14:paraId="07D705FA">
            <w:pPr>
              <w:rPr>
                <w:rFonts w:hint="default" w:ascii="Times New Roman" w:hAnsi="Times New Roman" w:cs="Times New Roman"/>
                <w:sz w:val="24"/>
              </w:rPr>
            </w:pPr>
            <w:r>
              <w:rPr>
                <w:rFonts w:hint="default" w:ascii="Times New Roman" w:hAnsi="Times New Roman" w:cs="Times New Roman"/>
                <w:sz w:val="24"/>
                <w:lang w:val="en-US" w:eastAsia="zh-CN"/>
              </w:rPr>
              <w:t>0.58 (0.24–1.42)</w:t>
            </w:r>
          </w:p>
        </w:tc>
      </w:tr>
      <w:tr w14:paraId="09846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auto" w:sz="12" w:space="0"/>
            </w:tcBorders>
            <w:shd w:val="clear" w:color="auto" w:fill="auto"/>
            <w:tcMar>
              <w:top w:w="120" w:type="dxa"/>
              <w:left w:w="0" w:type="dxa"/>
              <w:bottom w:w="120" w:type="dxa"/>
              <w:right w:w="192" w:type="dxa"/>
            </w:tcMar>
            <w:vAlign w:val="center"/>
          </w:tcPr>
          <w:p w14:paraId="13E25379">
            <w:pPr>
              <w:rPr>
                <w:rFonts w:hint="default" w:ascii="Times New Roman" w:hAnsi="Times New Roman" w:cs="Times New Roman"/>
                <w:sz w:val="24"/>
              </w:rPr>
            </w:pPr>
            <w:r>
              <w:rPr>
                <w:rFonts w:hint="default" w:ascii="Times New Roman" w:hAnsi="Times New Roman" w:cs="Times New Roman"/>
                <w:sz w:val="24"/>
                <w:lang w:val="en-US" w:eastAsia="zh-CN"/>
              </w:rPr>
              <w:t>BMI</w:t>
            </w:r>
          </w:p>
        </w:tc>
        <w:tc>
          <w:tcPr>
            <w:tcW w:w="2257" w:type="dxa"/>
            <w:tcBorders>
              <w:bottom w:val="single" w:color="auto" w:sz="12" w:space="0"/>
            </w:tcBorders>
            <w:shd w:val="clear" w:color="auto" w:fill="auto"/>
            <w:tcMar>
              <w:top w:w="120" w:type="dxa"/>
              <w:left w:w="192" w:type="dxa"/>
              <w:bottom w:w="120" w:type="dxa"/>
              <w:right w:w="192" w:type="dxa"/>
            </w:tcMar>
            <w:vAlign w:val="center"/>
          </w:tcPr>
          <w:p w14:paraId="092EFE0D">
            <w:pPr>
              <w:rPr>
                <w:rFonts w:hint="default" w:ascii="Times New Roman" w:hAnsi="Times New Roman" w:cs="Times New Roman"/>
                <w:sz w:val="24"/>
              </w:rPr>
            </w:pPr>
            <w:r>
              <w:rPr>
                <w:rFonts w:hint="default" w:ascii="Times New Roman" w:hAnsi="Times New Roman" w:cs="Times New Roman"/>
                <w:sz w:val="24"/>
                <w:lang w:val="en-US" w:eastAsia="zh-CN"/>
              </w:rPr>
              <w:t>0.95 (0.84–1.08)</w:t>
            </w:r>
          </w:p>
        </w:tc>
        <w:tc>
          <w:tcPr>
            <w:tcW w:w="2432" w:type="dxa"/>
            <w:tcBorders>
              <w:bottom w:val="single" w:color="auto" w:sz="12" w:space="0"/>
            </w:tcBorders>
            <w:shd w:val="clear" w:color="auto" w:fill="auto"/>
            <w:tcMar>
              <w:top w:w="120" w:type="dxa"/>
              <w:left w:w="192" w:type="dxa"/>
              <w:bottom w:w="120" w:type="dxa"/>
              <w:right w:w="192" w:type="dxa"/>
            </w:tcMar>
            <w:vAlign w:val="center"/>
          </w:tcPr>
          <w:p w14:paraId="6FC7D10E">
            <w:pPr>
              <w:rPr>
                <w:rFonts w:hint="default" w:ascii="Times New Roman" w:hAnsi="Times New Roman" w:cs="Times New Roman"/>
                <w:sz w:val="24"/>
              </w:rPr>
            </w:pPr>
            <w:r>
              <w:rPr>
                <w:rFonts w:hint="default" w:ascii="Times New Roman" w:hAnsi="Times New Roman" w:cs="Times New Roman"/>
                <w:sz w:val="24"/>
                <w:lang w:val="en-US" w:eastAsia="zh-CN"/>
              </w:rPr>
              <w:t>1.05 (0.95–1.16)</w:t>
            </w:r>
          </w:p>
        </w:tc>
        <w:tc>
          <w:tcPr>
            <w:tcW w:w="0" w:type="auto"/>
            <w:tcBorders>
              <w:bottom w:val="single" w:color="auto" w:sz="12" w:space="0"/>
            </w:tcBorders>
            <w:shd w:val="clear" w:color="auto" w:fill="auto"/>
            <w:tcMar>
              <w:top w:w="120" w:type="dxa"/>
              <w:left w:w="192" w:type="dxa"/>
              <w:bottom w:w="120" w:type="dxa"/>
              <w:right w:w="0" w:type="dxa"/>
            </w:tcMar>
            <w:vAlign w:val="center"/>
          </w:tcPr>
          <w:p w14:paraId="56108867">
            <w:pPr>
              <w:rPr>
                <w:rFonts w:hint="default" w:ascii="Times New Roman" w:hAnsi="Times New Roman" w:cs="Times New Roman"/>
                <w:sz w:val="24"/>
              </w:rPr>
            </w:pPr>
            <w:r>
              <w:rPr>
                <w:rFonts w:hint="default" w:ascii="Times New Roman" w:hAnsi="Times New Roman" w:cs="Times New Roman"/>
                <w:sz w:val="24"/>
                <w:lang w:val="en-US" w:eastAsia="zh-CN"/>
              </w:rPr>
              <w:t>1.04 (0.94–1.15)</w:t>
            </w:r>
          </w:p>
        </w:tc>
      </w:tr>
    </w:tbl>
    <w:p w14:paraId="1CEE1FE2">
      <w:pPr>
        <w:rPr>
          <w:rFonts w:ascii="Times New Roman" w:hAnsi="Times New Roman" w:cs="Times New Roman"/>
          <w:sz w:val="24"/>
        </w:rPr>
      </w:pPr>
      <w:r>
        <w:rPr>
          <w:rFonts w:hint="default" w:ascii="Times New Roman" w:hAnsi="Times New Roman" w:cs="Times New Roman"/>
          <w:sz w:val="24"/>
        </w:rPr>
        <w:t>Data presented as OR (95% CI). Reference</w:t>
      </w:r>
      <w:bookmarkStart w:id="0" w:name="_GoBack"/>
      <w:bookmarkEnd w:id="0"/>
      <w:r>
        <w:rPr>
          <w:rFonts w:hint="default" w:ascii="Times New Roman" w:hAnsi="Times New Roman" w:cs="Times New Roman"/>
          <w:sz w:val="24"/>
        </w:rPr>
        <w:t xml:space="preserve"> group = Good Overall profile.</w:t>
      </w:r>
      <w:r>
        <w:rPr>
          <w:rFonts w:hint="default" w:ascii="Times New Roman" w:hAnsi="Times New Roman" w:cs="Times New Roman"/>
          <w:sz w:val="24"/>
        </w:rPr>
        <w:br w:type="textWrapping"/>
      </w:r>
      <w:r>
        <w:rPr>
          <w:rFonts w:hint="default" w:ascii="Times New Roman" w:hAnsi="Times New Roman" w:cs="Times New Roman"/>
          <w:sz w:val="24"/>
        </w:rPr>
        <w:t>**P &lt; 0.01.</w:t>
      </w:r>
    </w:p>
    <w:p w14:paraId="1E37A7BF">
      <w:pPr>
        <w:rPr>
          <w:rFonts w:ascii="Times New Roman" w:hAnsi="Times New Roman" w:cs="Times New Roman"/>
          <w:sz w:val="24"/>
        </w:rPr>
      </w:pPr>
      <w:r>
        <w:rPr>
          <w:rFonts w:hint="eastAsia" w:ascii="Times New Roman" w:hAnsi="Times New Roman" w:cs="Times New Roman"/>
          <w:sz w:val="24"/>
        </w:rPr>
        <w:t>Note: This sensitivity analysis was conducted to address concerns about potential overfitting associated with stepwise regression. All theoretically relevant variables (age, sex, BMI, duration, hyperlipidemia, retinopathy, knowledge, self-efficacy, attitude, and social support) were entered simultaneously into a multinomial logistic regression model based on Social Cognitive Theory. The direction and significance of associations for the key variables remained consistent with the stepwise model reported in the main text (see Table 8), supporting the robustness of the findings.</w:t>
      </w:r>
    </w:p>
    <w:p w14:paraId="4B31232C">
      <w:pPr>
        <w:rPr>
          <w:rFonts w:ascii="Times New Roman" w:hAnsi="Times New Roman" w:cs="Times New Roman"/>
          <w:sz w:val="24"/>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7EF5718"/>
    <w:rsid w:val="6D406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366</Words>
  <Characters>2263</Characters>
  <Lines>0</Lines>
  <Paragraphs>0</Paragraphs>
  <TotalTime>10</TotalTime>
  <ScaleCrop>false</ScaleCrop>
  <LinksUpToDate>false</LinksUpToDate>
  <CharactersWithSpaces>2575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2026-06-29T05:42:00Z</dcterms:created>
  <dc:creator>Administrator</dc:creator>
  <cp:lastModifiedBy>L</cp:lastModifiedBy>
  <dcterms:modified xsi:type="dcterms:W3CDTF">2026-06-29T05:57:37Z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eyJoZGlkIjoiMTgyY2Y5Y2UxZjkwY2NiYzg1MTM4ZmQzOTFhYWJhY2IiLCJ1c2VySWQiOiIzNDM2NDc5OTUifQ==</vt:lpwstr>
  </property>
  <property fmtid="{D5CDD505-2E9C-101B-9397-08002B2CF9AE}" pid="4" name="ICV">
    <vt:lpwstr>ED459589F029408FA16590E6F8965754_12</vt:lpwstr>
  </property>
</Properties>
</file>