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8C02F" w14:textId="77777777" w:rsidR="000F04E5" w:rsidRDefault="00000000">
      <w:pPr>
        <w:jc w:val="center"/>
      </w:pPr>
      <w:r>
        <w:rPr>
          <w:b/>
          <w:sz w:val="22"/>
        </w:rPr>
        <w:t>Supplementary Table S1. Construction and scoring of the study-specific modified Life’s Essential 8 (mLE8)</w:t>
      </w:r>
    </w:p>
    <w:p w14:paraId="0F71708B" w14:textId="1E2FA60C" w:rsidR="000F04E5" w:rsidRDefault="00000000">
      <w:pPr>
        <w:spacing w:after="80"/>
      </w:pPr>
      <w:r>
        <w:rPr>
          <w:b/>
        </w:rPr>
        <w:t xml:space="preserve">The mLE8 was a study-specific seven-domain adaptation of the AHA Life’s Essential 8 (LE8). </w:t>
      </w:r>
      <w:r>
        <w:t>The table below documents the variables, transformations, thresholds, and study-specific adaptations used in the analysis.</w:t>
      </w:r>
    </w:p>
    <w:tbl>
      <w:tblPr>
        <w:tblW w:w="15679" w:type="dxa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211"/>
        <w:gridCol w:w="3211"/>
        <w:gridCol w:w="3211"/>
        <w:gridCol w:w="3211"/>
      </w:tblGrid>
      <w:tr w:rsidR="000F04E5" w14:paraId="17D39722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</w:tcPr>
          <w:p w14:paraId="0DF73115" w14:textId="77777777" w:rsidR="000F04E5" w:rsidRDefault="5C91BF35" w:rsidP="19BC1ED6">
            <w:r w:rsidRPr="19BC1ED6">
              <w:rPr>
                <w:b/>
                <w:bCs/>
                <w:sz w:val="17"/>
                <w:szCs w:val="17"/>
              </w:rPr>
              <w:t>Domain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</w:tcPr>
          <w:p w14:paraId="5F22A906" w14:textId="77777777" w:rsidR="000F04E5" w:rsidRDefault="5C91BF35" w:rsidP="19BC1ED6">
            <w:r w:rsidRPr="19BC1ED6">
              <w:rPr>
                <w:b/>
                <w:bCs/>
                <w:sz w:val="17"/>
                <w:szCs w:val="17"/>
              </w:rPr>
              <w:t>Variable/source used in this study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</w:tcPr>
          <w:p w14:paraId="4FBB4670" w14:textId="77777777" w:rsidR="000F04E5" w:rsidRDefault="5C91BF35" w:rsidP="19BC1ED6">
            <w:r w:rsidRPr="19BC1ED6">
              <w:rPr>
                <w:b/>
                <w:bCs/>
                <w:sz w:val="17"/>
                <w:szCs w:val="17"/>
              </w:rPr>
              <w:t>Scoring rule used in this study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</w:tcPr>
          <w:p w14:paraId="5E8A08CF" w14:textId="77777777" w:rsidR="000F04E5" w:rsidRDefault="5C91BF35" w:rsidP="19BC1ED6">
            <w:r w:rsidRPr="19BC1ED6">
              <w:rPr>
                <w:b/>
                <w:bCs/>
                <w:sz w:val="17"/>
                <w:szCs w:val="17"/>
              </w:rPr>
              <w:t>Score (0–100)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D9E2F3"/>
          </w:tcPr>
          <w:p w14:paraId="7080CA08" w14:textId="77777777" w:rsidR="000F04E5" w:rsidRDefault="5C91BF35" w:rsidP="19BC1ED6">
            <w:r w:rsidRPr="19BC1ED6">
              <w:rPr>
                <w:b/>
                <w:bCs/>
                <w:sz w:val="17"/>
                <w:szCs w:val="17"/>
              </w:rPr>
              <w:t>Study-specific adaptation</w:t>
            </w:r>
          </w:p>
        </w:tc>
      </w:tr>
      <w:tr w:rsidR="000F04E5" w14:paraId="2B5F9C27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59C15A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Diet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D5B76E8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25-item FFQ adapted from the NHANES Dietary Screener Questionnaire [27]. Seven DASH-style components: fruits, vegetables, legumes, whole grains, dairy, red/processed meats, and sugar-sweetened beverages [28].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ED7AA0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Sex-specific quintiles were assigned to each component. Favorable components retained quintile scores (1–5); unfavorable components were reverse-scored (6 − quintile). Component scores were summed. The total DASH-style score was transformed using empirical percentiles: &lt;P25, P25–&lt;P50, P50–&lt;P75, P75–&lt;P95, and ≥P95.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9860585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0, 25, 50, 80, 100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58E9E66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Study-specific DASH-style adaptation based on available FFQ items; not equivalent to the AHA dietary metric.</w:t>
            </w:r>
          </w:p>
        </w:tc>
      </w:tr>
      <w:tr w:rsidR="000F04E5" w14:paraId="322F5E4E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F649A1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Physical activity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C736793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Short-form IPAQ [29,30]. Vigorous activity was converted to moderate-intensity-equivalent minutes using a 1:2 ratio.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259542F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Weekly moderate-intensity-equivalent activity: ≥150 min = 100; 120–149 = 90; 90–119 = 80; 60–89 = 60; 30–59 = 40; 1–29 = 20; 0 = 0.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7FF6A7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0, 20, 40, 60, 80, 90, 100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CA507F8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IPAQ-derived activity measure used to operationalize the LE8 physical-activity domain.</w:t>
            </w:r>
          </w:p>
        </w:tc>
      </w:tr>
      <w:tr w:rsidR="000F04E5" w14:paraId="652A0957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E41AC6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Nicotine exposure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80C67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Smoking status (TOBACCO)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F4B6AA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Never smoker = 100; former smoker = 50; current smoker = 0.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B482A58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0, 50, 100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A8D2DF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Simplified categorization based on available smoking information.</w:t>
            </w:r>
          </w:p>
        </w:tc>
      </w:tr>
      <w:tr w:rsidR="000F04E5" w14:paraId="1C53D8E2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B544EC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Body mass index (BMI)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21BDF0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Measured weight and height; BMI calculated as kg/m².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80A6D6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&lt;25 = 100; 25–&lt;30 = 70; 30–&lt;35 = 30; 35–&lt;40 = 15; ≥40 = 0.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C8D22F3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0, 15, 30, 70, 100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D82C1DB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AHA-derived thresholds.</w:t>
            </w:r>
          </w:p>
        </w:tc>
      </w:tr>
      <w:tr w:rsidR="000F04E5" w14:paraId="760DDF2A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7B42659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Blood lipids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53012C7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Total cholesterol (mg/dL).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04D2C18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&lt;170 = 100; 170–&lt;200 = 60; ≥200 = 0.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BA1595A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0, 60, 100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7EDBA38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Total cholesterol used as a study-specific substitute for non-HDL cholesterol; thresholds were study-specific.</w:t>
            </w:r>
          </w:p>
        </w:tc>
      </w:tr>
      <w:tr w:rsidR="000F04E5" w14:paraId="7FFAC600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D3752F6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Blood glucose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E764EDB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Fasting capillary glucose (mg/dL).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BBF6D5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&lt;100 = 100; 100–125 = 60; ≥126 = 40.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F929F6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40, 60, 100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CBA160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Based exclusively on fasting glucose because HbA1c was not collected.</w:t>
            </w:r>
          </w:p>
        </w:tc>
      </w:tr>
      <w:tr w:rsidR="000F04E5" w14:paraId="0B94D466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8ADDF1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Blood pressure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714EA1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Measured systolic and diastolic blood pressure.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E2356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SBP &lt;120 and DBP &lt;80 = 100; SBP 120–129 and DBP &lt;80 = 75; SBP 130–139 or DBP 80–89 = 50; SBP 140–159 or DBP 90–99 = 25; SBP ≥160 or DBP ≥100 = 0.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628869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0, 25, 50, 75, 100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BC12428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AHA-derived categorical thresholds.</w:t>
            </w:r>
          </w:p>
        </w:tc>
      </w:tr>
      <w:tr w:rsidR="000F04E5" w14:paraId="74D61C18" w14:textId="77777777" w:rsidTr="19BC1ED6">
        <w:trPr>
          <w:jc w:val="center"/>
        </w:trPr>
        <w:tc>
          <w:tcPr>
            <w:tcW w:w="283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7A4F391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Sleep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E20E974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Not collected.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A8D093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Not scored.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564B2D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>—</w:t>
            </w:r>
          </w:p>
        </w:tc>
        <w:tc>
          <w:tcPr>
            <w:tcW w:w="321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B8EEAE5" w14:textId="77777777" w:rsidR="000F04E5" w:rsidRDefault="5C91BF35" w:rsidP="19BC1ED6">
            <w:pPr>
              <w:spacing w:after="0" w:line="240" w:lineRule="auto"/>
            </w:pPr>
            <w:r w:rsidRPr="19BC1ED6">
              <w:rPr>
                <w:sz w:val="16"/>
                <w:szCs w:val="16"/>
              </w:rPr>
              <w:t xml:space="preserve">Excluded; </w:t>
            </w:r>
            <w:proofErr w:type="gramStart"/>
            <w:r w:rsidRPr="19BC1ED6">
              <w:rPr>
                <w:sz w:val="16"/>
                <w:szCs w:val="16"/>
              </w:rPr>
              <w:t>therefore</w:t>
            </w:r>
            <w:proofErr w:type="gramEnd"/>
            <w:r w:rsidRPr="19BC1ED6">
              <w:rPr>
                <w:sz w:val="16"/>
                <w:szCs w:val="16"/>
              </w:rPr>
              <w:t xml:space="preserve"> the score contains seven rather than eight LE8 domains.</w:t>
            </w:r>
          </w:p>
        </w:tc>
      </w:tr>
    </w:tbl>
    <w:p w14:paraId="5500BACE" w14:textId="77777777" w:rsidR="000F04E5" w:rsidRDefault="00000000">
      <w:pPr>
        <w:spacing w:before="120" w:after="40"/>
      </w:pPr>
      <w:r>
        <w:rPr>
          <w:b/>
        </w:rPr>
        <w:t>Composite score calculation</w:t>
      </w:r>
    </w:p>
    <w:p w14:paraId="180B54DE" w14:textId="77777777" w:rsidR="000F04E5" w:rsidRDefault="00000000">
      <w:pPr>
        <w:spacing w:after="20"/>
        <w:ind w:left="216"/>
      </w:pPr>
      <w:r>
        <w:rPr>
          <w:sz w:val="16"/>
        </w:rPr>
        <w:t xml:space="preserve">• The mLE8 was calculated as the unweighted arithmetic mean of the available domain scores when at least five of the seven domains were present: mLE8 = </w:t>
      </w:r>
      <w:proofErr w:type="gramStart"/>
      <w:r>
        <w:rPr>
          <w:sz w:val="16"/>
        </w:rPr>
        <w:t>Σ(</w:t>
      </w:r>
      <w:proofErr w:type="gramEnd"/>
      <w:r>
        <w:rPr>
          <w:sz w:val="16"/>
        </w:rPr>
        <w:t>domain scores) / number of available domains, with k ≥ 5.</w:t>
      </w:r>
    </w:p>
    <w:p w14:paraId="05C38EEF" w14:textId="77777777" w:rsidR="000F04E5" w:rsidRDefault="00000000">
      <w:pPr>
        <w:spacing w:after="20"/>
        <w:ind w:left="216"/>
      </w:pPr>
      <w:r>
        <w:rPr>
          <w:sz w:val="16"/>
        </w:rPr>
        <w:t>• The resulting score ranged from 0 to 100 and was categorized as ideal (80–100), moderate (50–&lt;80), or poor (&lt;50), using the categorical thresholds of the AHA LE8 framework [24].</w:t>
      </w:r>
    </w:p>
    <w:p w14:paraId="3A4F28D6" w14:textId="77777777" w:rsidR="000F04E5" w:rsidRDefault="00000000">
      <w:pPr>
        <w:spacing w:after="20"/>
        <w:ind w:left="216"/>
      </w:pPr>
      <w:r>
        <w:rPr>
          <w:sz w:val="16"/>
        </w:rPr>
        <w:t>• The dietary component in the original analysis was ranked separately within sex at each assessment. A baseline-anchored dietary scoring approach was additionally evaluated as a sensitivity analysis to improve longitudinal comparability.</w:t>
      </w:r>
    </w:p>
    <w:p w14:paraId="09DE748F" w14:textId="77777777" w:rsidR="000F04E5" w:rsidRDefault="00000000">
      <w:pPr>
        <w:spacing w:after="20"/>
        <w:ind w:left="216"/>
      </w:pPr>
      <w:r>
        <w:rPr>
          <w:sz w:val="16"/>
        </w:rPr>
        <w:t>• Values coded as &lt;100 mg/dL for total cholesterol were treated as missing in a separate data-quality sensitivity analysis; this did not form part of the original stored lipid-score calculation.</w:t>
      </w:r>
    </w:p>
    <w:p w14:paraId="362A4B1F" w14:textId="77777777" w:rsidR="000F04E5" w:rsidRDefault="00000000">
      <w:pPr>
        <w:spacing w:after="20"/>
        <w:ind w:left="216"/>
      </w:pPr>
      <w:r>
        <w:rPr>
          <w:sz w:val="16"/>
        </w:rPr>
        <w:t>• The study-specific mLE8 should not be interpreted as equivalent to the complete eight-domain AHA LE8 construct.</w:t>
      </w:r>
    </w:p>
    <w:p w14:paraId="0F90AE72" w14:textId="77777777" w:rsidR="000F04E5" w:rsidRDefault="5C91BF35">
      <w:pPr>
        <w:spacing w:before="100" w:after="0"/>
      </w:pPr>
      <w:r w:rsidRPr="19BC1ED6">
        <w:rPr>
          <w:b/>
          <w:bCs/>
          <w:sz w:val="16"/>
          <w:szCs w:val="16"/>
        </w:rPr>
        <w:t xml:space="preserve">Abbreviations: </w:t>
      </w:r>
      <w:r w:rsidRPr="19BC1ED6">
        <w:rPr>
          <w:sz w:val="16"/>
          <w:szCs w:val="16"/>
        </w:rPr>
        <w:t>AHA, American Heart Association; BMI, body mass index; DBP, diastolic blood pressure; DSQ, Dietary Screener Questionnaire; FFQ, food-frequency questionnaire; IPAQ, International Physical Activity Questionnaire; LE8, Life’s Essential 8; mLE8, modified Life’s Essential 8; NHANES, National Health and Nutrition Examination Survey; SBP, systolic blood pressure.</w:t>
      </w:r>
    </w:p>
    <w:p w14:paraId="25D5A1DD" w14:textId="4E3F663F" w:rsidR="19BC1ED6" w:rsidRDefault="19BC1ED6" w:rsidP="19BC1ED6">
      <w:pPr>
        <w:spacing w:before="100" w:after="0"/>
        <w:rPr>
          <w:sz w:val="16"/>
          <w:szCs w:val="16"/>
        </w:rPr>
      </w:pPr>
    </w:p>
    <w:p w14:paraId="7BAEFF3E" w14:textId="74EACAEB" w:rsidR="19BC1ED6" w:rsidRDefault="19BC1ED6" w:rsidP="19BC1ED6">
      <w:pPr>
        <w:spacing w:before="100" w:after="0"/>
        <w:rPr>
          <w:sz w:val="16"/>
          <w:szCs w:val="16"/>
        </w:rPr>
      </w:pPr>
    </w:p>
    <w:p w14:paraId="4B2547A5" w14:textId="3105A1B4" w:rsidR="19BC1ED6" w:rsidRDefault="19BC1ED6" w:rsidP="19BC1ED6">
      <w:pPr>
        <w:spacing w:before="100" w:after="0"/>
        <w:rPr>
          <w:sz w:val="16"/>
          <w:szCs w:val="16"/>
        </w:rPr>
      </w:pPr>
    </w:p>
    <w:p w14:paraId="1D4E8E06" w14:textId="6006AA97" w:rsidR="19BC1ED6" w:rsidRDefault="19BC1ED6" w:rsidP="19BC1ED6">
      <w:pPr>
        <w:spacing w:before="100" w:after="0"/>
        <w:rPr>
          <w:sz w:val="16"/>
          <w:szCs w:val="16"/>
        </w:rPr>
      </w:pPr>
    </w:p>
    <w:p w14:paraId="3F8BEC9C" w14:textId="408311BD" w:rsidR="19BC1ED6" w:rsidRDefault="19BC1ED6">
      <w:r>
        <w:br w:type="page"/>
      </w:r>
    </w:p>
    <w:p w14:paraId="62AF564A" w14:textId="05CB9997" w:rsidR="25BFD1B5" w:rsidRDefault="64BC3FE6" w:rsidP="54E2B045">
      <w:pPr>
        <w:spacing w:before="100" w:after="0"/>
        <w:jc w:val="center"/>
        <w:rPr>
          <w:b/>
          <w:bCs/>
          <w:sz w:val="22"/>
        </w:rPr>
      </w:pPr>
      <w:r w:rsidRPr="54E2B045">
        <w:rPr>
          <w:b/>
          <w:bCs/>
          <w:sz w:val="22"/>
        </w:rPr>
        <w:lastRenderedPageBreak/>
        <w:t>Supplementary Figure S1</w:t>
      </w:r>
      <w:r w:rsidR="0C65B05F" w:rsidRPr="54E2B045">
        <w:rPr>
          <w:b/>
          <w:bCs/>
          <w:sz w:val="22"/>
        </w:rPr>
        <w:t>. MLE8 individual components: T1 – T2 in completers</w:t>
      </w:r>
    </w:p>
    <w:p w14:paraId="536FBE49" w14:textId="7BCEBC9D" w:rsidR="25BFD1B5" w:rsidRDefault="25BFD1B5" w:rsidP="00122C3A">
      <w:pPr>
        <w:spacing w:before="100" w:after="0"/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329EEBEB" wp14:editId="29FAAF10">
            <wp:extent cx="9684510" cy="6162160"/>
            <wp:effectExtent l="0" t="0" r="0" b="0"/>
            <wp:docPr id="646198693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69904" name="Picture 38316990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84510" cy="616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25BFD1B5" w:rsidSect="00A97C65">
      <w:headerReference w:type="default" r:id="rId9"/>
      <w:footerReference w:type="default" r:id="rId10"/>
      <w:pgSz w:w="2016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4840CC" w14:textId="77777777" w:rsidR="00AD3A88" w:rsidRDefault="00AD3A88">
      <w:pPr>
        <w:spacing w:after="0" w:line="240" w:lineRule="auto"/>
      </w:pPr>
      <w:r>
        <w:separator/>
      </w:r>
    </w:p>
  </w:endnote>
  <w:endnote w:type="continuationSeparator" w:id="0">
    <w:p w14:paraId="31661FDD" w14:textId="77777777" w:rsidR="00AD3A88" w:rsidRDefault="00AD3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55A77F" w14:textId="738224F5" w:rsidR="5C91BF35" w:rsidRDefault="5C91BF35" w:rsidP="19BC1ED6">
    <w:pPr>
      <w:pStyle w:val="Piedepgina"/>
      <w:jc w:val="right"/>
    </w:pPr>
    <w:r w:rsidRPr="19BC1ED6">
      <w:rPr>
        <w:sz w:val="16"/>
        <w:szCs w:val="16"/>
      </w:rPr>
      <w:t xml:space="preserve">Supplementary </w:t>
    </w:r>
    <w:r w:rsidR="19BC1ED6" w:rsidRPr="19BC1ED6">
      <w:rPr>
        <w:sz w:val="16"/>
        <w:szCs w:val="16"/>
      </w:rPr>
      <w:t>Material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60B399" w14:textId="77777777" w:rsidR="00AD3A88" w:rsidRDefault="00AD3A88">
      <w:pPr>
        <w:spacing w:after="0" w:line="240" w:lineRule="auto"/>
      </w:pPr>
      <w:r>
        <w:separator/>
      </w:r>
    </w:p>
  </w:footnote>
  <w:footnote w:type="continuationSeparator" w:id="0">
    <w:p w14:paraId="30054196" w14:textId="77777777" w:rsidR="00AD3A88" w:rsidRDefault="00AD3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6190"/>
      <w:gridCol w:w="6190"/>
      <w:gridCol w:w="6190"/>
    </w:tblGrid>
    <w:tr w:rsidR="19BC1ED6" w14:paraId="3DE04C9C" w14:textId="77777777" w:rsidTr="19BC1ED6">
      <w:trPr>
        <w:trHeight w:val="300"/>
      </w:trPr>
      <w:tc>
        <w:tcPr>
          <w:tcW w:w="6190" w:type="dxa"/>
        </w:tcPr>
        <w:p w14:paraId="7BC5D00C" w14:textId="7796AB0C" w:rsidR="19BC1ED6" w:rsidRDefault="19BC1ED6" w:rsidP="19BC1ED6">
          <w:pPr>
            <w:pStyle w:val="Encabezado"/>
            <w:ind w:left="-115"/>
          </w:pPr>
        </w:p>
      </w:tc>
      <w:tc>
        <w:tcPr>
          <w:tcW w:w="6190" w:type="dxa"/>
        </w:tcPr>
        <w:p w14:paraId="7C487970" w14:textId="08816972" w:rsidR="19BC1ED6" w:rsidRDefault="19BC1ED6" w:rsidP="19BC1ED6">
          <w:pPr>
            <w:pStyle w:val="Encabezado"/>
            <w:jc w:val="center"/>
          </w:pPr>
        </w:p>
      </w:tc>
      <w:tc>
        <w:tcPr>
          <w:tcW w:w="6190" w:type="dxa"/>
        </w:tcPr>
        <w:p w14:paraId="03CF5C8B" w14:textId="1585AE35" w:rsidR="19BC1ED6" w:rsidRDefault="19BC1ED6" w:rsidP="19BC1ED6">
          <w:pPr>
            <w:pStyle w:val="Encabezado"/>
            <w:ind w:right="-115"/>
            <w:jc w:val="right"/>
          </w:pPr>
        </w:p>
      </w:tc>
    </w:tr>
  </w:tbl>
  <w:p w14:paraId="76E3518A" w14:textId="2CC719B8" w:rsidR="19BC1ED6" w:rsidRDefault="19BC1ED6" w:rsidP="19BC1E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1464660">
    <w:abstractNumId w:val="8"/>
  </w:num>
  <w:num w:numId="2" w16cid:durableId="243300816">
    <w:abstractNumId w:val="6"/>
  </w:num>
  <w:num w:numId="3" w16cid:durableId="220751985">
    <w:abstractNumId w:val="5"/>
  </w:num>
  <w:num w:numId="4" w16cid:durableId="623534874">
    <w:abstractNumId w:val="4"/>
  </w:num>
  <w:num w:numId="5" w16cid:durableId="1552418961">
    <w:abstractNumId w:val="7"/>
  </w:num>
  <w:num w:numId="6" w16cid:durableId="1014188643">
    <w:abstractNumId w:val="3"/>
  </w:num>
  <w:num w:numId="7" w16cid:durableId="1182822438">
    <w:abstractNumId w:val="2"/>
  </w:num>
  <w:num w:numId="8" w16cid:durableId="797458623">
    <w:abstractNumId w:val="1"/>
  </w:num>
  <w:num w:numId="9" w16cid:durableId="3163445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04E5"/>
    <w:rsid w:val="00122C3A"/>
    <w:rsid w:val="0015074B"/>
    <w:rsid w:val="0029639D"/>
    <w:rsid w:val="00326F90"/>
    <w:rsid w:val="00372E01"/>
    <w:rsid w:val="00515FE0"/>
    <w:rsid w:val="008430CC"/>
    <w:rsid w:val="00A97C65"/>
    <w:rsid w:val="00AA1D8D"/>
    <w:rsid w:val="00AD3A88"/>
    <w:rsid w:val="00B47730"/>
    <w:rsid w:val="00CB0664"/>
    <w:rsid w:val="00EF4E03"/>
    <w:rsid w:val="00FC693F"/>
    <w:rsid w:val="0C65B05F"/>
    <w:rsid w:val="15EBEE3A"/>
    <w:rsid w:val="1903ECFF"/>
    <w:rsid w:val="19BC1ED6"/>
    <w:rsid w:val="1BF985F6"/>
    <w:rsid w:val="23AB473D"/>
    <w:rsid w:val="23D0EC33"/>
    <w:rsid w:val="25BFD1B5"/>
    <w:rsid w:val="38DE1F52"/>
    <w:rsid w:val="420D2DE4"/>
    <w:rsid w:val="421D6126"/>
    <w:rsid w:val="43EE0DA7"/>
    <w:rsid w:val="52363964"/>
    <w:rsid w:val="54E2B045"/>
    <w:rsid w:val="5976D1F1"/>
    <w:rsid w:val="5C91BF35"/>
    <w:rsid w:val="61E670FF"/>
    <w:rsid w:val="64BC3FE6"/>
    <w:rsid w:val="749038D5"/>
    <w:rsid w:val="7F54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E5573A"/>
  <w14:defaultImageDpi w14:val="300"/>
  <w15:docId w15:val="{47970AAB-503D-4B4B-B0E8-0C7678E7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616</Words>
  <Characters>3390</Characters>
  <Application>Microsoft Office Word</Application>
  <DocSecurity>0</DocSecurity>
  <Lines>28</Lines>
  <Paragraphs>7</Paragraphs>
  <ScaleCrop>false</ScaleCrop>
  <Manager/>
  <Company/>
  <LinksUpToDate>false</LinksUpToDate>
  <CharactersWithSpaces>3999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Juan David Rodriguez Parra</cp:lastModifiedBy>
  <cp:revision>2</cp:revision>
  <dcterms:created xsi:type="dcterms:W3CDTF">2026-09-07T15:16:00Z</dcterms:created>
  <dcterms:modified xsi:type="dcterms:W3CDTF">2026-09-07T15:16:00Z</dcterms:modified>
  <cp:category/>
</cp:coreProperties>
</file>