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280" w:type="dxa"/>
        <w:tblInd w:w="-20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898"/>
        <w:gridCol w:w="12382"/>
      </w:tblGrid>
      <w:tr w14:paraId="6C8A2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0" w:hRule="atLeast"/>
        </w:trPr>
        <w:tc>
          <w:tcPr>
            <w:tcW w:w="14280" w:type="dxa"/>
            <w:gridSpan w:val="2"/>
            <w:tcBorders>
              <w:top w:val="single" w:color="DEE0E3" w:sz="4" w:space="0"/>
              <w:left w:val="single" w:color="DEE0E3" w:sz="4" w:space="0"/>
              <w:bottom w:val="single" w:color="000000" w:sz="8" w:space="0"/>
              <w:right w:val="single" w:color="DEE0E3" w:sz="4" w:space="0"/>
            </w:tcBorders>
            <w:shd w:val="clear" w:color="auto" w:fill="auto"/>
            <w:tcMar>
              <w:top w:w="96" w:type="dxa"/>
              <w:left w:w="96" w:type="dxa"/>
              <w:bottom w:w="96" w:type="dxa"/>
              <w:right w:w="96" w:type="dxa"/>
            </w:tcMar>
            <w:vAlign w:val="top"/>
          </w:tcPr>
          <w:p w14:paraId="09FBE73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s="宋体"/>
                <w:kern w:val="0"/>
                <w:sz w:val="21"/>
                <w:szCs w:val="21"/>
                <w:lang w:val="en-US" w:eastAsia="zh-CN" w:bidi="ar"/>
              </w:rPr>
            </w:pPr>
            <w:r>
              <w:rPr>
                <w:rFonts w:hint="eastAsia" w:ascii="Times New Roman" w:hAnsi="Times New Roman" w:eastAsia="宋体" w:cs="宋体"/>
                <w:b w:val="0"/>
                <w:bCs w:val="0"/>
                <w:kern w:val="0"/>
                <w:sz w:val="22"/>
                <w:szCs w:val="22"/>
                <w:lang w:val="en-US" w:eastAsia="zh-CN" w:bidi="ar"/>
              </w:rPr>
              <w:t>Additional file3: Summary of core variables in included studies</w:t>
            </w:r>
          </w:p>
        </w:tc>
      </w:tr>
      <w:tr w14:paraId="56C51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000000" w:sz="8" w:space="0"/>
              <w:left w:val="single" w:color="DEE0E3" w:sz="4" w:space="0"/>
              <w:bottom w:val="single" w:color="000000" w:sz="8" w:space="0"/>
              <w:right w:val="single" w:color="DEE0E3" w:sz="4" w:space="0"/>
            </w:tcBorders>
            <w:shd w:val="clear" w:color="auto" w:fill="auto"/>
            <w:tcMar>
              <w:top w:w="96" w:type="dxa"/>
              <w:left w:w="96" w:type="dxa"/>
              <w:bottom w:w="96" w:type="dxa"/>
              <w:right w:w="96" w:type="dxa"/>
            </w:tcMar>
            <w:vAlign w:val="top"/>
          </w:tcPr>
          <w:p w14:paraId="56A15B8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b/>
                <w:bCs/>
                <w:sz w:val="21"/>
                <w:szCs w:val="21"/>
              </w:rPr>
            </w:pPr>
            <w:r>
              <w:rPr>
                <w:rFonts w:hint="eastAsia" w:ascii="Times New Roman" w:hAnsi="Times New Roman" w:eastAsia="宋体" w:cs="宋体"/>
                <w:b/>
                <w:bCs/>
                <w:kern w:val="0"/>
                <w:sz w:val="21"/>
                <w:szCs w:val="21"/>
                <w:lang w:val="en-US" w:eastAsia="zh-CN" w:bidi="ar"/>
              </w:rPr>
              <w:t>Variables</w:t>
            </w:r>
          </w:p>
        </w:tc>
        <w:tc>
          <w:tcPr>
            <w:tcW w:w="12382" w:type="dxa"/>
            <w:tcBorders>
              <w:top w:val="single" w:color="000000" w:sz="8" w:space="0"/>
              <w:left w:val="single" w:color="DEE0E3" w:sz="4" w:space="0"/>
              <w:bottom w:val="single" w:color="000000" w:sz="8" w:space="0"/>
              <w:right w:val="single" w:color="DEE0E3" w:sz="4" w:space="0"/>
            </w:tcBorders>
            <w:shd w:val="clear" w:color="auto" w:fill="auto"/>
            <w:tcMar>
              <w:top w:w="96" w:type="dxa"/>
              <w:left w:w="96" w:type="dxa"/>
              <w:bottom w:w="96" w:type="dxa"/>
              <w:right w:w="96" w:type="dxa"/>
            </w:tcMar>
            <w:vAlign w:val="top"/>
          </w:tcPr>
          <w:p w14:paraId="3A1EEE3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b/>
                <w:bCs/>
                <w:sz w:val="21"/>
                <w:szCs w:val="21"/>
              </w:rPr>
            </w:pPr>
            <w:r>
              <w:rPr>
                <w:rFonts w:hint="eastAsia" w:ascii="Times New Roman" w:hAnsi="Times New Roman" w:eastAsia="宋体" w:cs="宋体"/>
                <w:b/>
                <w:bCs/>
                <w:kern w:val="0"/>
                <w:sz w:val="21"/>
                <w:szCs w:val="21"/>
                <w:lang w:val="en-US" w:eastAsia="zh-CN" w:bidi="ar"/>
              </w:rPr>
              <w:t>Definitions</w:t>
            </w:r>
          </w:p>
        </w:tc>
      </w:tr>
      <w:tr w14:paraId="3741D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8" w:hRule="atLeast"/>
        </w:trPr>
        <w:tc>
          <w:tcPr>
            <w:tcW w:w="1898" w:type="dxa"/>
            <w:tcBorders>
              <w:top w:val="single" w:color="000000" w:sz="8"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54446BE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宋体"/>
                <w:kern w:val="0"/>
                <w:sz w:val="21"/>
                <w:szCs w:val="21"/>
                <w:lang w:val="en-US" w:eastAsia="zh-CN" w:bidi="ar"/>
              </w:rPr>
            </w:pPr>
            <w:r>
              <w:rPr>
                <w:rFonts w:ascii="Times New Roman" w:hAnsi="Times New Roman" w:eastAsia="宋体" w:cs="宋体"/>
                <w:kern w:val="0"/>
                <w:sz w:val="21"/>
                <w:szCs w:val="21"/>
                <w:lang w:val="en-US" w:eastAsia="zh-CN" w:bidi="ar"/>
              </w:rPr>
              <w:t>WMSDs</w:t>
            </w:r>
          </w:p>
        </w:tc>
        <w:tc>
          <w:tcPr>
            <w:tcW w:w="12382" w:type="dxa"/>
            <w:tcBorders>
              <w:top w:val="single" w:color="000000" w:sz="8"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5A43519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宋体"/>
                <w:kern w:val="0"/>
                <w:sz w:val="21"/>
                <w:szCs w:val="21"/>
                <w:lang w:val="en-US" w:eastAsia="zh-CN" w:bidi="ar"/>
              </w:rPr>
            </w:pPr>
            <w:r>
              <w:rPr>
                <w:rFonts w:hint="eastAsia" w:ascii="Times New Roman" w:hAnsi="Times New Roman" w:eastAsia="宋体" w:cs="宋体"/>
                <w:kern w:val="0"/>
                <w:sz w:val="21"/>
                <w:szCs w:val="21"/>
                <w:lang w:val="en-US" w:eastAsia="zh-CN" w:bidi="ar"/>
              </w:rPr>
              <w:t>Pain, discomfort, or dysfunction of the musculoskeletal system (including muscles, bones, joints, tendons, etc.) occurring during teachers' work [6,7,20,34,35]</w:t>
            </w:r>
          </w:p>
        </w:tc>
      </w:tr>
      <w:tr w14:paraId="73709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01C082B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宋体"/>
                <w:kern w:val="0"/>
                <w:sz w:val="21"/>
                <w:szCs w:val="21"/>
                <w:lang w:val="en-US" w:eastAsia="zh-CN" w:bidi="ar"/>
              </w:rPr>
            </w:pPr>
            <w:r>
              <w:rPr>
                <w:rFonts w:ascii="Times New Roman" w:hAnsi="Times New Roman" w:eastAsia="宋体" w:cs="宋体"/>
                <w:kern w:val="0"/>
                <w:sz w:val="21"/>
                <w:szCs w:val="21"/>
                <w:lang w:val="en-US" w:eastAsia="zh-CN" w:bidi="ar"/>
              </w:rPr>
              <w:t xml:space="preserve">Neck </w:t>
            </w:r>
            <w:r>
              <w:rPr>
                <w:rFonts w:hint="eastAsia" w:ascii="Times New Roman" w:hAnsi="Times New Roman" w:eastAsia="宋体" w:cs="宋体"/>
                <w:kern w:val="0"/>
                <w:sz w:val="21"/>
                <w:szCs w:val="21"/>
                <w:lang w:val="en-US" w:eastAsia="zh-CN" w:bidi="ar"/>
              </w:rPr>
              <w:t>p</w:t>
            </w:r>
            <w:r>
              <w:rPr>
                <w:rFonts w:ascii="Times New Roman" w:hAnsi="Times New Roman" w:eastAsia="宋体" w:cs="宋体"/>
                <w:kern w:val="0"/>
                <w:sz w:val="21"/>
                <w:szCs w:val="21"/>
                <w:lang w:val="en-US" w:eastAsia="zh-CN" w:bidi="ar"/>
              </w:rPr>
              <w:t>ain</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2BCE2BF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宋体"/>
                <w:kern w:val="0"/>
                <w:sz w:val="21"/>
                <w:szCs w:val="21"/>
                <w:lang w:val="en-US" w:eastAsia="zh-CN" w:bidi="ar"/>
              </w:rPr>
            </w:pPr>
            <w:r>
              <w:rPr>
                <w:rFonts w:hint="eastAsia" w:ascii="Times New Roman" w:hAnsi="Times New Roman" w:eastAsia="宋体" w:cs="宋体"/>
                <w:kern w:val="0"/>
                <w:sz w:val="21"/>
                <w:szCs w:val="21"/>
                <w:lang w:val="en-US" w:eastAsia="zh-CN" w:bidi="ar"/>
              </w:rPr>
              <w:t>Pain, soreness, or discomfort in the neck area (including the cervical spine, surrounding muscles, and soft tissues). The painful area is defined by a human body model diagram in the questionnaire, and symptoms are self-reported by respondents in accordance with the recall period specified in the scales[16,27]</w:t>
            </w:r>
          </w:p>
        </w:tc>
      </w:tr>
      <w:tr w14:paraId="56F1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7164149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宋体"/>
                <w:kern w:val="0"/>
                <w:sz w:val="21"/>
                <w:szCs w:val="21"/>
                <w:lang w:val="en-US" w:eastAsia="zh-CN" w:bidi="ar"/>
              </w:rPr>
            </w:pPr>
            <w:r>
              <w:rPr>
                <w:rFonts w:ascii="Times New Roman" w:hAnsi="Times New Roman" w:eastAsia="宋体" w:cs="宋体"/>
                <w:kern w:val="0"/>
                <w:sz w:val="21"/>
                <w:szCs w:val="21"/>
                <w:lang w:val="en-US" w:eastAsia="zh-CN" w:bidi="ar"/>
              </w:rPr>
              <w:t xml:space="preserve">Shoulder </w:t>
            </w:r>
            <w:r>
              <w:rPr>
                <w:rFonts w:hint="eastAsia" w:ascii="Times New Roman" w:hAnsi="Times New Roman" w:eastAsia="宋体" w:cs="宋体"/>
                <w:kern w:val="0"/>
                <w:sz w:val="21"/>
                <w:szCs w:val="21"/>
                <w:lang w:val="en-US" w:eastAsia="zh-CN" w:bidi="ar"/>
              </w:rPr>
              <w:t>p</w:t>
            </w:r>
            <w:r>
              <w:rPr>
                <w:rFonts w:ascii="Times New Roman" w:hAnsi="Times New Roman" w:eastAsia="宋体" w:cs="宋体"/>
                <w:kern w:val="0"/>
                <w:sz w:val="21"/>
                <w:szCs w:val="21"/>
                <w:lang w:val="en-US" w:eastAsia="zh-CN" w:bidi="ar"/>
              </w:rPr>
              <w:t>ain</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7FBCFE6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宋体"/>
                <w:kern w:val="0"/>
                <w:sz w:val="21"/>
                <w:szCs w:val="21"/>
                <w:lang w:val="en-US" w:eastAsia="zh-CN" w:bidi="ar"/>
              </w:rPr>
            </w:pPr>
            <w:r>
              <w:rPr>
                <w:rFonts w:hint="eastAsia" w:ascii="Times New Roman" w:hAnsi="Times New Roman" w:eastAsia="宋体" w:cs="宋体"/>
                <w:kern w:val="0"/>
                <w:sz w:val="21"/>
                <w:szCs w:val="21"/>
                <w:lang w:val="en-US" w:eastAsia="zh-CN" w:bidi="ar"/>
              </w:rPr>
              <w:t>Pain, soreness, or discomfort in the shoulder joint and surrounding muscles, tendons, and other soft tissues. Symptoms are self-reported by respondents in accordance with the recall period specified in the scales[6]</w:t>
            </w:r>
          </w:p>
        </w:tc>
      </w:tr>
      <w:tr w14:paraId="138D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7D43804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宋体"/>
                <w:kern w:val="0"/>
                <w:sz w:val="21"/>
                <w:szCs w:val="21"/>
                <w:lang w:val="en-US" w:eastAsia="zh-CN" w:bidi="ar"/>
              </w:rPr>
            </w:pPr>
            <w:r>
              <w:rPr>
                <w:rFonts w:ascii="Times New Roman" w:hAnsi="Times New Roman" w:eastAsia="宋体" w:cs="宋体"/>
                <w:kern w:val="0"/>
                <w:sz w:val="21"/>
                <w:szCs w:val="21"/>
                <w:lang w:val="en-US" w:eastAsia="zh-CN" w:bidi="ar"/>
              </w:rPr>
              <w:t>Neck-</w:t>
            </w:r>
            <w:r>
              <w:rPr>
                <w:rFonts w:hint="eastAsia" w:ascii="Times New Roman" w:hAnsi="Times New Roman" w:eastAsia="宋体" w:cs="宋体"/>
                <w:kern w:val="0"/>
                <w:sz w:val="21"/>
                <w:szCs w:val="21"/>
                <w:lang w:val="en-US" w:eastAsia="zh-CN" w:bidi="ar"/>
              </w:rPr>
              <w:t>s</w:t>
            </w:r>
            <w:r>
              <w:rPr>
                <w:rFonts w:ascii="Times New Roman" w:hAnsi="Times New Roman" w:eastAsia="宋体" w:cs="宋体"/>
                <w:kern w:val="0"/>
                <w:sz w:val="21"/>
                <w:szCs w:val="21"/>
                <w:lang w:val="en-US" w:eastAsia="zh-CN" w:bidi="ar"/>
              </w:rPr>
              <w:t xml:space="preserve">houlder </w:t>
            </w:r>
            <w:r>
              <w:rPr>
                <w:rFonts w:hint="eastAsia" w:ascii="Times New Roman" w:hAnsi="Times New Roman" w:eastAsia="宋体" w:cs="宋体"/>
                <w:kern w:val="0"/>
                <w:sz w:val="21"/>
                <w:szCs w:val="21"/>
                <w:lang w:val="en-US" w:eastAsia="zh-CN" w:bidi="ar"/>
              </w:rPr>
              <w:t>p</w:t>
            </w:r>
            <w:r>
              <w:rPr>
                <w:rFonts w:ascii="Times New Roman" w:hAnsi="Times New Roman" w:eastAsia="宋体" w:cs="宋体"/>
                <w:kern w:val="0"/>
                <w:sz w:val="21"/>
                <w:szCs w:val="21"/>
                <w:lang w:val="en-US" w:eastAsia="zh-CN" w:bidi="ar"/>
              </w:rPr>
              <w:t>ain</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11D94AF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宋体"/>
                <w:kern w:val="0"/>
                <w:sz w:val="21"/>
                <w:szCs w:val="21"/>
                <w:lang w:val="en-US" w:eastAsia="zh-CN" w:bidi="ar"/>
              </w:rPr>
            </w:pPr>
            <w:r>
              <w:rPr>
                <w:rFonts w:hint="eastAsia" w:ascii="Times New Roman" w:hAnsi="Times New Roman" w:eastAsia="宋体" w:cs="宋体"/>
                <w:kern w:val="0"/>
                <w:sz w:val="21"/>
                <w:szCs w:val="21"/>
                <w:lang w:val="en-US" w:eastAsia="zh-CN" w:bidi="ar"/>
              </w:rPr>
              <w:t>Pain, soreness, or discomfort occurring in both the neck and shoulders simultaneously or sequentially within the recall period. The judgment is based on the respondent's self-report of "symptoms in both neck and shoulder areas"[19,23]</w:t>
            </w:r>
          </w:p>
        </w:tc>
      </w:tr>
      <w:tr w14:paraId="49747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699E6CB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宋体"/>
                <w:kern w:val="0"/>
                <w:sz w:val="21"/>
                <w:szCs w:val="21"/>
                <w:lang w:val="en-US" w:eastAsia="zh-CN" w:bidi="ar"/>
              </w:rPr>
            </w:pPr>
            <w:r>
              <w:rPr>
                <w:rFonts w:ascii="Times New Roman" w:hAnsi="Times New Roman" w:eastAsia="宋体" w:cs="宋体"/>
                <w:kern w:val="0"/>
                <w:sz w:val="21"/>
                <w:szCs w:val="21"/>
                <w:lang w:val="en-US" w:eastAsia="zh-CN" w:bidi="ar"/>
              </w:rPr>
              <w:t xml:space="preserve">Wrist </w:t>
            </w:r>
            <w:r>
              <w:rPr>
                <w:rFonts w:hint="eastAsia" w:ascii="Times New Roman" w:hAnsi="Times New Roman" w:eastAsia="宋体" w:cs="宋体"/>
                <w:kern w:val="0"/>
                <w:sz w:val="21"/>
                <w:szCs w:val="21"/>
                <w:lang w:val="en-US" w:eastAsia="zh-CN" w:bidi="ar"/>
              </w:rPr>
              <w:t>p</w:t>
            </w:r>
            <w:r>
              <w:rPr>
                <w:rFonts w:ascii="Times New Roman" w:hAnsi="Times New Roman" w:eastAsia="宋体" w:cs="宋体"/>
                <w:kern w:val="0"/>
                <w:sz w:val="21"/>
                <w:szCs w:val="21"/>
                <w:lang w:val="en-US" w:eastAsia="zh-CN" w:bidi="ar"/>
              </w:rPr>
              <w:t>ain</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04168A8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宋体"/>
                <w:kern w:val="0"/>
                <w:sz w:val="21"/>
                <w:szCs w:val="21"/>
                <w:lang w:val="en-US" w:eastAsia="zh-CN" w:bidi="ar"/>
              </w:rPr>
            </w:pPr>
            <w:r>
              <w:rPr>
                <w:rFonts w:hint="eastAsia" w:ascii="Times New Roman" w:hAnsi="Times New Roman" w:eastAsia="宋体" w:cs="宋体"/>
                <w:kern w:val="0"/>
                <w:sz w:val="21"/>
                <w:szCs w:val="21"/>
                <w:lang w:val="en-US" w:eastAsia="zh-CN" w:bidi="ar"/>
              </w:rPr>
              <w:t>Pain, soreness, or discomfort in the wrist joint and surrounding tendons and ligaments.Symptoms are self-reported by respondents in accordance with the recall period specified in the scales[7]</w:t>
            </w:r>
          </w:p>
        </w:tc>
      </w:tr>
      <w:tr w14:paraId="64B2D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5F9BDA6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宋体"/>
                <w:kern w:val="0"/>
                <w:sz w:val="21"/>
                <w:szCs w:val="21"/>
                <w:lang w:val="en-US" w:eastAsia="zh-CN" w:bidi="ar"/>
              </w:rPr>
            </w:pPr>
            <w:r>
              <w:rPr>
                <w:rFonts w:ascii="Times New Roman" w:hAnsi="Times New Roman" w:eastAsia="宋体" w:cs="宋体"/>
                <w:kern w:val="0"/>
                <w:sz w:val="21"/>
                <w:szCs w:val="21"/>
                <w:lang w:val="en-US" w:eastAsia="zh-CN" w:bidi="ar"/>
              </w:rPr>
              <w:t xml:space="preserve">Upper </w:t>
            </w:r>
            <w:r>
              <w:rPr>
                <w:rFonts w:hint="eastAsia" w:ascii="Times New Roman" w:hAnsi="Times New Roman" w:eastAsia="宋体" w:cs="宋体"/>
                <w:kern w:val="0"/>
                <w:sz w:val="21"/>
                <w:szCs w:val="21"/>
                <w:lang w:val="en-US" w:eastAsia="zh-CN" w:bidi="ar"/>
              </w:rPr>
              <w:t>l</w:t>
            </w:r>
            <w:r>
              <w:rPr>
                <w:rFonts w:ascii="Times New Roman" w:hAnsi="Times New Roman" w:eastAsia="宋体" w:cs="宋体"/>
                <w:kern w:val="0"/>
                <w:sz w:val="21"/>
                <w:szCs w:val="21"/>
                <w:lang w:val="en-US" w:eastAsia="zh-CN" w:bidi="ar"/>
              </w:rPr>
              <w:t xml:space="preserve">imb </w:t>
            </w:r>
            <w:r>
              <w:rPr>
                <w:rFonts w:hint="eastAsia" w:ascii="Times New Roman" w:hAnsi="Times New Roman" w:eastAsia="宋体" w:cs="宋体"/>
                <w:kern w:val="0"/>
                <w:sz w:val="21"/>
                <w:szCs w:val="21"/>
                <w:lang w:val="en-US" w:eastAsia="zh-CN" w:bidi="ar"/>
              </w:rPr>
              <w:t>p</w:t>
            </w:r>
            <w:r>
              <w:rPr>
                <w:rFonts w:ascii="Times New Roman" w:hAnsi="Times New Roman" w:eastAsia="宋体" w:cs="宋体"/>
                <w:kern w:val="0"/>
                <w:sz w:val="21"/>
                <w:szCs w:val="21"/>
                <w:lang w:val="en-US" w:eastAsia="zh-CN" w:bidi="ar"/>
              </w:rPr>
              <w:t>ain</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402C9D9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宋体"/>
                <w:kern w:val="0"/>
                <w:sz w:val="21"/>
                <w:szCs w:val="21"/>
                <w:lang w:val="en-US" w:eastAsia="zh-CN" w:bidi="ar"/>
              </w:rPr>
            </w:pPr>
            <w:r>
              <w:rPr>
                <w:rFonts w:hint="eastAsia" w:ascii="Times New Roman" w:hAnsi="Times New Roman" w:eastAsia="宋体" w:cs="宋体"/>
                <w:kern w:val="0"/>
                <w:sz w:val="21"/>
                <w:szCs w:val="21"/>
                <w:lang w:val="en-US" w:eastAsia="zh-CN" w:bidi="ar"/>
              </w:rPr>
              <w:t>A general term for pain, soreness, or discomfort in the upper limb area including shoulders, elbows, wrists, and hands. The judgment standard is the respondent's self-report of symptoms in any part of the upper limb within the recall period[16,34]</w:t>
            </w:r>
          </w:p>
        </w:tc>
      </w:tr>
      <w:tr w14:paraId="71CD0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484D5E4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宋体"/>
                <w:kern w:val="0"/>
                <w:sz w:val="21"/>
                <w:szCs w:val="21"/>
                <w:lang w:val="en-US" w:eastAsia="zh-CN" w:bidi="ar"/>
              </w:rPr>
            </w:pPr>
            <w:r>
              <w:rPr>
                <w:rFonts w:ascii="Times New Roman" w:hAnsi="Times New Roman" w:eastAsia="宋体" w:cs="宋体"/>
                <w:kern w:val="0"/>
                <w:sz w:val="21"/>
                <w:szCs w:val="21"/>
                <w:lang w:val="en-US" w:eastAsia="zh-CN" w:bidi="ar"/>
              </w:rPr>
              <w:t xml:space="preserve">Low </w:t>
            </w:r>
            <w:r>
              <w:rPr>
                <w:rFonts w:hint="eastAsia" w:ascii="Times New Roman" w:hAnsi="Times New Roman" w:eastAsia="宋体" w:cs="宋体"/>
                <w:kern w:val="0"/>
                <w:sz w:val="21"/>
                <w:szCs w:val="21"/>
                <w:lang w:val="en-US" w:eastAsia="zh-CN" w:bidi="ar"/>
              </w:rPr>
              <w:t>b</w:t>
            </w:r>
            <w:r>
              <w:rPr>
                <w:rFonts w:ascii="Times New Roman" w:hAnsi="Times New Roman" w:eastAsia="宋体" w:cs="宋体"/>
                <w:kern w:val="0"/>
                <w:sz w:val="21"/>
                <w:szCs w:val="21"/>
                <w:lang w:val="en-US" w:eastAsia="zh-CN" w:bidi="ar"/>
              </w:rPr>
              <w:t xml:space="preserve">ack </w:t>
            </w:r>
            <w:r>
              <w:rPr>
                <w:rFonts w:hint="eastAsia" w:ascii="Times New Roman" w:hAnsi="Times New Roman" w:eastAsia="宋体" w:cs="宋体"/>
                <w:kern w:val="0"/>
                <w:sz w:val="21"/>
                <w:szCs w:val="21"/>
                <w:lang w:val="en-US" w:eastAsia="zh-CN" w:bidi="ar"/>
              </w:rPr>
              <w:t>p</w:t>
            </w:r>
            <w:r>
              <w:rPr>
                <w:rFonts w:ascii="Times New Roman" w:hAnsi="Times New Roman" w:eastAsia="宋体" w:cs="宋体"/>
                <w:kern w:val="0"/>
                <w:sz w:val="21"/>
                <w:szCs w:val="21"/>
                <w:lang w:val="en-US" w:eastAsia="zh-CN" w:bidi="ar"/>
              </w:rPr>
              <w:t>ain</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208CA81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宋体"/>
                <w:kern w:val="0"/>
                <w:sz w:val="21"/>
                <w:szCs w:val="21"/>
                <w:lang w:val="en-US" w:eastAsia="zh-CN" w:bidi="ar"/>
              </w:rPr>
            </w:pPr>
            <w:r>
              <w:rPr>
                <w:rFonts w:hint="eastAsia" w:ascii="Times New Roman" w:hAnsi="Times New Roman" w:eastAsia="宋体" w:cs="宋体"/>
                <w:kern w:val="0"/>
                <w:sz w:val="21"/>
                <w:szCs w:val="21"/>
                <w:lang w:val="en-US" w:eastAsia="zh-CN" w:bidi="ar"/>
              </w:rPr>
              <w:t>Pain, soreness, or discomfort in the lumbosacral region, lower back, and sacroiliac joint, including specific (e.g., lumbar disc herniation) and non-specific types. The definition is based on the respondent's self-report of symptoms within the recall period, excluding acute trauma, tumors, and other clear organic lesions[17,18]</w:t>
            </w:r>
          </w:p>
        </w:tc>
      </w:tr>
      <w:tr w14:paraId="3CC48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4E2BEC0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宋体"/>
                <w:kern w:val="0"/>
                <w:sz w:val="21"/>
                <w:szCs w:val="21"/>
                <w:lang w:val="en-US" w:eastAsia="zh-CN" w:bidi="ar"/>
              </w:rPr>
            </w:pPr>
            <w:r>
              <w:rPr>
                <w:rFonts w:ascii="Times New Roman" w:hAnsi="Times New Roman" w:eastAsia="宋体" w:cs="宋体"/>
                <w:kern w:val="0"/>
                <w:sz w:val="21"/>
                <w:szCs w:val="21"/>
                <w:lang w:val="en-US" w:eastAsia="zh-CN" w:bidi="ar"/>
              </w:rPr>
              <w:t xml:space="preserve">Lower </w:t>
            </w:r>
            <w:r>
              <w:rPr>
                <w:rFonts w:hint="eastAsia" w:ascii="Times New Roman" w:hAnsi="Times New Roman" w:eastAsia="宋体" w:cs="宋体"/>
                <w:kern w:val="0"/>
                <w:sz w:val="21"/>
                <w:szCs w:val="21"/>
                <w:lang w:val="en-US" w:eastAsia="zh-CN" w:bidi="ar"/>
              </w:rPr>
              <w:t>l</w:t>
            </w:r>
            <w:r>
              <w:rPr>
                <w:rFonts w:ascii="Times New Roman" w:hAnsi="Times New Roman" w:eastAsia="宋体" w:cs="宋体"/>
                <w:kern w:val="0"/>
                <w:sz w:val="21"/>
                <w:szCs w:val="21"/>
                <w:lang w:val="en-US" w:eastAsia="zh-CN" w:bidi="ar"/>
              </w:rPr>
              <w:t>imb Pain</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1DBDA4B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宋体"/>
                <w:kern w:val="0"/>
                <w:sz w:val="21"/>
                <w:szCs w:val="21"/>
                <w:lang w:val="en-US" w:eastAsia="zh-CN" w:bidi="ar"/>
              </w:rPr>
            </w:pPr>
            <w:r>
              <w:rPr>
                <w:rFonts w:hint="eastAsia" w:ascii="Times New Roman" w:hAnsi="Times New Roman" w:eastAsia="宋体" w:cs="宋体"/>
                <w:kern w:val="0"/>
                <w:sz w:val="21"/>
                <w:szCs w:val="21"/>
                <w:lang w:val="en-US" w:eastAsia="zh-CN" w:bidi="ar"/>
              </w:rPr>
              <w:t>A general term for pain, soreness, or discomfort in the lower limb area including buttocks, thighs, calves, and feet. The judgment standard is the respondent's self-report of symptoms in any part of the lower limb within the recall period[6,35]</w:t>
            </w:r>
          </w:p>
        </w:tc>
      </w:tr>
      <w:tr w14:paraId="18F45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001EC87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宋体" w:cs="宋体"/>
                <w:kern w:val="0"/>
                <w:sz w:val="21"/>
                <w:szCs w:val="21"/>
                <w:lang w:val="en-US" w:eastAsia="zh-CN" w:bidi="ar"/>
              </w:rPr>
              <w:t>Teaching experience</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61F2416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sz w:val="21"/>
                <w:szCs w:val="21"/>
                <w:lang w:val="en-US"/>
              </w:rPr>
            </w:pPr>
            <w:r>
              <w:rPr>
                <w:rFonts w:hint="eastAsia" w:ascii="Times New Roman" w:hAnsi="Times New Roman" w:eastAsia="宋体" w:cs="宋体"/>
                <w:kern w:val="0"/>
                <w:sz w:val="21"/>
                <w:szCs w:val="21"/>
                <w:lang w:val="en-US" w:eastAsia="zh-CN" w:bidi="ar"/>
              </w:rPr>
              <w:t>The cumulative years of teachers' engagement in educational and teaching work (including continuous working hours, excluding periods of resignation and interruption)</w:t>
            </w:r>
            <w:r>
              <w:rPr>
                <w:rFonts w:hint="eastAsia" w:ascii="Times New Roman" w:hAnsi="Times New Roman" w:eastAsia="宋体"/>
                <w:szCs w:val="32"/>
                <w:lang w:val="en-US" w:eastAsia="zh-CN"/>
              </w:rPr>
              <w:t>[7,15]</w:t>
            </w:r>
          </w:p>
        </w:tc>
      </w:tr>
      <w:tr w14:paraId="30A3C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6CE04FC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theme="minorBidi"/>
                <w:kern w:val="2"/>
                <w:sz w:val="21"/>
                <w:szCs w:val="21"/>
                <w:lang w:val="en-US" w:eastAsia="zh-CN" w:bidi="ar-SA"/>
              </w:rPr>
            </w:pPr>
            <w:r>
              <w:rPr>
                <w:rFonts w:hint="eastAsia" w:ascii="Times New Roman" w:hAnsi="Times New Roman" w:eastAsia="宋体" w:cs="宋体"/>
                <w:kern w:val="0"/>
                <w:sz w:val="21"/>
                <w:szCs w:val="21"/>
                <w:lang w:val="en-US" w:eastAsia="zh-CN" w:bidi="ar"/>
              </w:rPr>
              <w:t>Past medical history</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400ABB60">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theme="minorBidi"/>
                <w:kern w:val="2"/>
                <w:sz w:val="21"/>
                <w:szCs w:val="21"/>
                <w:lang w:val="en-US" w:eastAsia="zh-CN" w:bidi="ar-SA"/>
              </w:rPr>
            </w:pPr>
            <w:r>
              <w:rPr>
                <w:rFonts w:hint="eastAsia" w:ascii="Times New Roman" w:hAnsi="Times New Roman" w:eastAsia="宋体" w:cs="宋体"/>
                <w:kern w:val="0"/>
                <w:sz w:val="21"/>
                <w:szCs w:val="21"/>
                <w:lang w:val="en-US" w:eastAsia="zh-CN" w:bidi="ar"/>
              </w:rPr>
              <w:t>Whether teachers have a history of musculoskeletal injuries or diseases (e.g., previous low back pain, joint injuries)[17,21,30]</w:t>
            </w:r>
          </w:p>
        </w:tc>
      </w:tr>
      <w:tr w14:paraId="42962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5316E99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ascii="Times New Roman" w:hAnsi="Times New Roman" w:eastAsia="宋体" w:cs="宋体"/>
                <w:kern w:val="0"/>
                <w:sz w:val="21"/>
                <w:szCs w:val="21"/>
                <w:lang w:val="en-US" w:eastAsia="zh-CN" w:bidi="ar"/>
              </w:rPr>
              <w:t>Educational level</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5F94095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宋体" w:cs="宋体"/>
                <w:kern w:val="0"/>
                <w:sz w:val="21"/>
                <w:szCs w:val="21"/>
                <w:lang w:val="en-US" w:eastAsia="zh-CN" w:bidi="ar"/>
              </w:rPr>
              <w:t>Teachers' highest educational attainment (e.g., junior college, undergraduate, master's degree and above)</w:t>
            </w:r>
            <w:r>
              <w:rPr>
                <w:rFonts w:hint="eastAsia" w:ascii="Times New Roman" w:hAnsi="Times New Roman" w:eastAsia="宋体"/>
                <w:szCs w:val="32"/>
                <w:lang w:val="en-US" w:eastAsia="zh-CN"/>
              </w:rPr>
              <w:t>[17,18]</w:t>
            </w:r>
          </w:p>
        </w:tc>
      </w:tr>
      <w:tr w14:paraId="43641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6822CCF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ascii="Times New Roman" w:hAnsi="Times New Roman" w:eastAsia="宋体" w:cs="宋体"/>
                <w:kern w:val="0"/>
                <w:sz w:val="21"/>
                <w:szCs w:val="21"/>
                <w:lang w:val="en-US" w:eastAsia="zh-CN" w:bidi="ar"/>
              </w:rPr>
              <w:t>Ethnicity</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3038D0D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宋体" w:cs="宋体"/>
                <w:kern w:val="0"/>
                <w:sz w:val="21"/>
                <w:szCs w:val="21"/>
                <w:lang w:val="en-US" w:eastAsia="zh-CN" w:bidi="ar"/>
              </w:rPr>
              <w:t>Teachers' ethnic affiliation (e.g., Han nationality, ethnic minorities)</w:t>
            </w:r>
            <w:r>
              <w:rPr>
                <w:rFonts w:hint="eastAsia" w:ascii="Times New Roman" w:hAnsi="Times New Roman" w:eastAsia="宋体"/>
                <w:szCs w:val="32"/>
                <w:lang w:val="en-US" w:eastAsia="zh-CN"/>
              </w:rPr>
              <w:t>[19,23]</w:t>
            </w:r>
          </w:p>
        </w:tc>
      </w:tr>
      <w:tr w14:paraId="23887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0181ED9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theme="minorBidi"/>
                <w:kern w:val="2"/>
                <w:sz w:val="21"/>
                <w:szCs w:val="21"/>
                <w:lang w:val="en-US" w:eastAsia="zh-CN" w:bidi="ar-SA"/>
              </w:rPr>
            </w:pPr>
            <w:r>
              <w:rPr>
                <w:rFonts w:ascii="Times New Roman" w:hAnsi="Times New Roman" w:eastAsia="宋体" w:cs="宋体"/>
                <w:kern w:val="0"/>
                <w:sz w:val="21"/>
                <w:szCs w:val="21"/>
                <w:lang w:val="en-US" w:eastAsia="zh-CN" w:bidi="ar"/>
              </w:rPr>
              <w:t>Physical activity</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0C163F9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cstheme="minorBidi"/>
                <w:kern w:val="2"/>
                <w:sz w:val="21"/>
                <w:szCs w:val="21"/>
                <w:lang w:val="en-US" w:eastAsia="zh-CN" w:bidi="ar-SA"/>
              </w:rPr>
            </w:pPr>
            <w:r>
              <w:rPr>
                <w:rFonts w:hint="eastAsia" w:ascii="Times New Roman" w:hAnsi="Times New Roman" w:eastAsia="宋体" w:cs="宋体"/>
                <w:kern w:val="0"/>
                <w:sz w:val="21"/>
                <w:szCs w:val="21"/>
                <w:lang w:val="en-US" w:eastAsia="zh-CN" w:bidi="ar"/>
              </w:rPr>
              <w:t>Teachers' participation in physical exercise [17,21]</w:t>
            </w:r>
          </w:p>
        </w:tc>
      </w:tr>
      <w:tr w14:paraId="212CD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7736837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ascii="Times New Roman" w:hAnsi="Times New Roman" w:eastAsia="宋体" w:cs="宋体"/>
                <w:kern w:val="0"/>
                <w:sz w:val="21"/>
                <w:szCs w:val="21"/>
                <w:lang w:val="en-US" w:eastAsia="zh-CN" w:bidi="ar"/>
              </w:rPr>
              <w:t xml:space="preserve">Prolonged </w:t>
            </w:r>
            <w:r>
              <w:rPr>
                <w:rFonts w:hint="eastAsia" w:ascii="Times New Roman" w:hAnsi="Times New Roman" w:eastAsia="等线" w:cs="Times New Roman"/>
                <w:bCs/>
                <w:color w:val="auto"/>
                <w:sz w:val="20"/>
                <w:szCs w:val="20"/>
              </w:rPr>
              <w:t xml:space="preserve">static </w:t>
            </w:r>
            <w:r>
              <w:rPr>
                <w:rFonts w:ascii="Times New Roman" w:hAnsi="Times New Roman" w:eastAsia="宋体" w:cs="宋体"/>
                <w:kern w:val="0"/>
                <w:sz w:val="21"/>
                <w:szCs w:val="21"/>
                <w:lang w:val="en-US" w:eastAsia="zh-CN" w:bidi="ar"/>
              </w:rPr>
              <w:t xml:space="preserve"> posture</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5725DC6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宋体" w:cs="宋体"/>
                <w:kern w:val="0"/>
                <w:sz w:val="21"/>
                <w:szCs w:val="21"/>
                <w:lang w:val="en-US" w:eastAsia="zh-CN" w:bidi="ar"/>
              </w:rPr>
              <w:t xml:space="preserve">Teachers' maintenance of a specific posture during work </w:t>
            </w:r>
            <w:r>
              <w:rPr>
                <w:rFonts w:hint="eastAsia" w:ascii="Times New Roman" w:hAnsi="Times New Roman" w:eastAsia="宋体"/>
                <w:szCs w:val="32"/>
              </w:rPr>
              <w:t>[17,27]</w:t>
            </w:r>
          </w:p>
        </w:tc>
      </w:tr>
      <w:tr w14:paraId="20AA4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22A7795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ascii="Times New Roman" w:hAnsi="Times New Roman" w:eastAsia="宋体" w:cs="宋体"/>
                <w:kern w:val="0"/>
                <w:sz w:val="21"/>
                <w:szCs w:val="21"/>
                <w:lang w:val="en-US" w:eastAsia="zh-CN" w:bidi="ar"/>
              </w:rPr>
              <w:t>Workload</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7971F47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Times New Roman" w:hAnsi="Times New Roman" w:eastAsia="宋体"/>
                <w:sz w:val="21"/>
                <w:szCs w:val="21"/>
                <w:lang w:val="en-US"/>
              </w:rPr>
            </w:pPr>
            <w:r>
              <w:rPr>
                <w:rFonts w:hint="eastAsia" w:ascii="Times New Roman" w:hAnsi="Times New Roman" w:eastAsia="宋体" w:cs="宋体"/>
                <w:kern w:val="0"/>
                <w:sz w:val="21"/>
                <w:szCs w:val="21"/>
                <w:lang w:val="en-US" w:eastAsia="zh-CN" w:bidi="ar"/>
              </w:rPr>
              <w:t xml:space="preserve">Core indicators reflecting the intensity of teachers' work, including but not limited to weekly class hours, number of students in the class, and additional workload (e.g., teaching research, administrative tasks). Specific indicators are based on the report in the included literature </w:t>
            </w:r>
            <w:r>
              <w:rPr>
                <w:rFonts w:hint="eastAsia" w:ascii="Times New Roman" w:hAnsi="Times New Roman" w:eastAsia="宋体"/>
                <w:szCs w:val="32"/>
                <w:lang w:val="en-US" w:eastAsia="zh-CN"/>
              </w:rPr>
              <w:t>[34,35]</w:t>
            </w:r>
          </w:p>
        </w:tc>
      </w:tr>
      <w:tr w14:paraId="210A2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379A366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等线" w:cs="Times New Roman"/>
                <w:bCs/>
                <w:color w:val="auto"/>
                <w:sz w:val="20"/>
                <w:szCs w:val="20"/>
                <w:lang w:val="en-US" w:eastAsia="zh-CN"/>
              </w:rPr>
              <w:t>S</w:t>
            </w:r>
            <w:r>
              <w:rPr>
                <w:rFonts w:hint="eastAsia" w:ascii="Times New Roman" w:hAnsi="Times New Roman" w:eastAsia="等线" w:cs="Times New Roman"/>
                <w:bCs/>
                <w:color w:val="auto"/>
                <w:sz w:val="20"/>
                <w:szCs w:val="20"/>
              </w:rPr>
              <w:t>tudent</w:t>
            </w:r>
            <w:r>
              <w:rPr>
                <w:rFonts w:hint="eastAsia" w:ascii="Times New Roman" w:hAnsi="Times New Roman" w:eastAsia="等线" w:cs="Times New Roman"/>
                <w:bCs/>
                <w:color w:val="auto"/>
                <w:sz w:val="20"/>
                <w:szCs w:val="20"/>
                <w:lang w:val="en-US" w:eastAsia="zh-CN"/>
              </w:rPr>
              <w:t xml:space="preserve"> </w:t>
            </w:r>
            <w:r>
              <w:rPr>
                <w:rFonts w:hint="eastAsia" w:ascii="Times New Roman" w:hAnsi="Times New Roman" w:eastAsia="等线" w:cs="Times New Roman"/>
                <w:bCs/>
                <w:color w:val="auto"/>
                <w:sz w:val="20"/>
                <w:szCs w:val="20"/>
              </w:rPr>
              <w:t>care requirements</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2134A0C0">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宋体" w:cs="宋体"/>
                <w:kern w:val="0"/>
                <w:sz w:val="21"/>
                <w:szCs w:val="21"/>
                <w:lang w:val="en-US" w:eastAsia="zh-CN" w:bidi="ar"/>
              </w:rPr>
              <w:t xml:space="preserve">Students' ability to take care of themselves and independently complete relevant activities in daily life and study </w:t>
            </w:r>
            <w:r>
              <w:rPr>
                <w:rFonts w:hint="eastAsia" w:ascii="Times New Roman" w:hAnsi="Times New Roman" w:eastAsia="宋体"/>
                <w:szCs w:val="32"/>
                <w:lang w:val="en-US" w:eastAsia="zh-CN"/>
              </w:rPr>
              <w:t>[7]</w:t>
            </w:r>
          </w:p>
        </w:tc>
      </w:tr>
      <w:tr w14:paraId="438F4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7D70275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等线" w:cs="Times New Roman"/>
                <w:bCs/>
                <w:color w:val="auto"/>
                <w:sz w:val="20"/>
                <w:szCs w:val="20"/>
                <w:lang w:val="en-US" w:eastAsia="zh-CN"/>
              </w:rPr>
              <w:t>R</w:t>
            </w:r>
            <w:r>
              <w:rPr>
                <w:rFonts w:hint="eastAsia" w:ascii="Times New Roman" w:hAnsi="Times New Roman" w:eastAsia="等线" w:cs="Times New Roman"/>
                <w:bCs/>
                <w:color w:val="auto"/>
                <w:sz w:val="20"/>
                <w:szCs w:val="20"/>
              </w:rPr>
              <w:t>est breaks</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489F0BA0">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宋体" w:cs="宋体"/>
                <w:kern w:val="0"/>
                <w:sz w:val="21"/>
                <w:szCs w:val="21"/>
                <w:lang w:val="en-US" w:eastAsia="zh-CN" w:bidi="ar"/>
              </w:rPr>
              <w:t xml:space="preserve">Teachers' rest status during work (including the number of rest breaks / total rest duration) </w:t>
            </w:r>
            <w:r>
              <w:rPr>
                <w:rFonts w:hint="eastAsia" w:ascii="Times New Roman" w:hAnsi="Times New Roman" w:eastAsia="宋体"/>
                <w:szCs w:val="32"/>
                <w:lang w:val="en-US" w:eastAsia="zh-CN"/>
              </w:rPr>
              <w:t>[7,16,33,34]</w:t>
            </w:r>
          </w:p>
        </w:tc>
      </w:tr>
      <w:tr w14:paraId="13946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5CD4911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等线" w:cs="Times New Roman"/>
                <w:bCs/>
                <w:color w:val="auto"/>
                <w:sz w:val="20"/>
                <w:szCs w:val="20"/>
                <w:lang w:val="en-US" w:eastAsia="zh-CN"/>
              </w:rPr>
              <w:t>E</w:t>
            </w:r>
            <w:r>
              <w:rPr>
                <w:rFonts w:hint="eastAsia" w:ascii="Times New Roman" w:hAnsi="Times New Roman" w:eastAsia="等线" w:cs="Times New Roman"/>
                <w:bCs/>
                <w:color w:val="auto"/>
                <w:sz w:val="20"/>
                <w:szCs w:val="20"/>
              </w:rPr>
              <w:t>rgonomic aids</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18C8FDE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宋体" w:cs="宋体"/>
                <w:kern w:val="0"/>
                <w:sz w:val="21"/>
                <w:szCs w:val="21"/>
                <w:lang w:val="en-US" w:eastAsia="zh-CN" w:bidi="ar"/>
              </w:rPr>
              <w:t xml:space="preserve">Ergonomic equipment used by teachers in their work to improve working postures and reduce musculoskeletal load, such as ergonomic desks and chairs, lumbar support cushions, and wrist rests </w:t>
            </w:r>
            <w:r>
              <w:rPr>
                <w:rFonts w:hint="eastAsia" w:ascii="Times New Roman" w:hAnsi="Times New Roman" w:eastAsia="宋体"/>
                <w:szCs w:val="32"/>
                <w:lang w:val="en-US" w:eastAsia="zh-CN"/>
              </w:rPr>
              <w:t>[7,33,34,36]</w:t>
            </w:r>
          </w:p>
        </w:tc>
      </w:tr>
      <w:tr w14:paraId="09FB4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5DE6F15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ascii="Times New Roman" w:hAnsi="Times New Roman" w:eastAsia="宋体" w:cs="宋体"/>
                <w:kern w:val="0"/>
                <w:sz w:val="21"/>
                <w:szCs w:val="21"/>
                <w:lang w:val="en-US" w:eastAsia="zh-CN" w:bidi="ar"/>
              </w:rPr>
              <w:t>Teaching level</w:t>
            </w:r>
          </w:p>
        </w:tc>
        <w:tc>
          <w:tcPr>
            <w:tcW w:w="12382" w:type="dxa"/>
            <w:tcBorders>
              <w:top w:val="single" w:color="DEE0E3" w:sz="4" w:space="0"/>
              <w:left w:val="single" w:color="DEE0E3" w:sz="4" w:space="0"/>
              <w:bottom w:val="single" w:color="DEE0E3" w:sz="4" w:space="0"/>
              <w:right w:val="single" w:color="DEE0E3" w:sz="4" w:space="0"/>
            </w:tcBorders>
            <w:shd w:val="clear" w:color="auto" w:fill="auto"/>
            <w:tcMar>
              <w:top w:w="96" w:type="dxa"/>
              <w:left w:w="96" w:type="dxa"/>
              <w:bottom w:w="96" w:type="dxa"/>
              <w:right w:w="96" w:type="dxa"/>
            </w:tcMar>
            <w:vAlign w:val="top"/>
          </w:tcPr>
          <w:p w14:paraId="1877FCD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宋体" w:cs="宋体"/>
                <w:kern w:val="0"/>
                <w:sz w:val="21"/>
                <w:szCs w:val="21"/>
                <w:lang w:val="en-US" w:eastAsia="zh-CN" w:bidi="ar"/>
              </w:rPr>
              <w:t xml:space="preserve">he educational stage where teachers are engaged (e.g., kindergarten, primary school, junior high school, senior high school, university, special education, etc.), consistent with the dimension of "Teacher Type", and used for stratified correlation analysis </w:t>
            </w:r>
            <w:r>
              <w:rPr>
                <w:rFonts w:hint="eastAsia" w:ascii="Times New Roman" w:hAnsi="Times New Roman" w:eastAsia="宋体"/>
                <w:szCs w:val="32"/>
                <w:lang w:val="en-US" w:eastAsia="zh-CN"/>
              </w:rPr>
              <w:t>[6,19]</w:t>
            </w:r>
          </w:p>
        </w:tc>
      </w:tr>
      <w:tr w14:paraId="6CD0B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000000" w:themeColor="text1" w:sz="8" w:space="0"/>
              <w:right w:val="single" w:color="DEE0E3" w:sz="4" w:space="0"/>
            </w:tcBorders>
            <w:shd w:val="clear" w:color="auto" w:fill="auto"/>
            <w:tcMar>
              <w:top w:w="96" w:type="dxa"/>
              <w:left w:w="96" w:type="dxa"/>
              <w:bottom w:w="96" w:type="dxa"/>
              <w:right w:w="96" w:type="dxa"/>
            </w:tcMar>
            <w:vAlign w:val="top"/>
          </w:tcPr>
          <w:p w14:paraId="590CB9C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ascii="Times New Roman" w:hAnsi="Times New Roman" w:eastAsia="宋体" w:cs="宋体"/>
                <w:kern w:val="0"/>
                <w:sz w:val="21"/>
                <w:szCs w:val="21"/>
                <w:lang w:val="en-US" w:eastAsia="zh-CN" w:bidi="ar"/>
              </w:rPr>
              <w:t>Mental health</w:t>
            </w:r>
          </w:p>
        </w:tc>
        <w:tc>
          <w:tcPr>
            <w:tcW w:w="12382" w:type="dxa"/>
            <w:tcBorders>
              <w:top w:val="single" w:color="DEE0E3" w:sz="4" w:space="0"/>
              <w:left w:val="single" w:color="DEE0E3" w:sz="4" w:space="0"/>
              <w:bottom w:val="single" w:color="000000" w:themeColor="text1" w:sz="8" w:space="0"/>
              <w:right w:val="single" w:color="DEE0E3" w:sz="4" w:space="0"/>
            </w:tcBorders>
            <w:shd w:val="clear" w:color="auto" w:fill="auto"/>
            <w:tcMar>
              <w:top w:w="96" w:type="dxa"/>
              <w:left w:w="96" w:type="dxa"/>
              <w:bottom w:w="96" w:type="dxa"/>
              <w:right w:w="96" w:type="dxa"/>
            </w:tcMar>
            <w:vAlign w:val="top"/>
          </w:tcPr>
          <w:p w14:paraId="660F541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sz w:val="21"/>
                <w:szCs w:val="21"/>
              </w:rPr>
            </w:pPr>
            <w:r>
              <w:rPr>
                <w:rFonts w:hint="eastAsia" w:ascii="Times New Roman" w:hAnsi="Times New Roman" w:eastAsia="宋体" w:cs="宋体"/>
                <w:kern w:val="0"/>
                <w:sz w:val="21"/>
                <w:szCs w:val="21"/>
                <w:lang w:val="en-US" w:eastAsia="zh-CN" w:bidi="ar"/>
              </w:rPr>
              <w:t>Teachers' psychological status, with core evaluation dimensions including anxiety, depression, stress, etc.</w:t>
            </w:r>
            <w:r>
              <w:rPr>
                <w:rFonts w:hint="eastAsia" w:ascii="Times New Roman" w:hAnsi="Times New Roman" w:eastAsia="宋体"/>
                <w:szCs w:val="32"/>
              </w:rPr>
              <w:t>[16,20,22]</w:t>
            </w:r>
          </w:p>
        </w:tc>
      </w:tr>
    </w:tbl>
    <w:p w14:paraId="656DA0A7">
      <w:pPr>
        <w:rPr>
          <w:b w:val="0"/>
          <w:bCs w:val="0"/>
        </w:rPr>
      </w:pPr>
      <w:r>
        <w:rPr>
          <w:rFonts w:hint="eastAsia" w:ascii="Times New Roman" w:hAnsi="Times New Roman" w:eastAsiaTheme="minorEastAsia"/>
          <w:sz w:val="22"/>
          <w:szCs w:val="28"/>
        </w:rPr>
        <w:t xml:space="preserve">Abbreviations: </w:t>
      </w:r>
      <w:r>
        <w:rPr>
          <w:rFonts w:ascii="Times New Roman" w:hAnsi="Times New Roman" w:eastAsia="宋体" w:cs="宋体"/>
          <w:kern w:val="0"/>
          <w:sz w:val="21"/>
          <w:szCs w:val="21"/>
          <w:lang w:val="en-US" w:eastAsia="zh-CN" w:bidi="ar"/>
        </w:rPr>
        <w:t>WMSD</w:t>
      </w:r>
      <w:r>
        <w:rPr>
          <w:rFonts w:ascii="Times New Roman" w:hAnsi="Times New Roman" w:eastAsia="宋体" w:cs="宋体"/>
          <w:b w:val="0"/>
          <w:bCs w:val="0"/>
          <w:kern w:val="0"/>
          <w:sz w:val="21"/>
          <w:szCs w:val="21"/>
          <w:lang w:val="en-US" w:eastAsia="zh-CN" w:bidi="ar"/>
        </w:rPr>
        <w:t>s</w:t>
      </w:r>
      <w:r>
        <w:rPr>
          <w:rFonts w:hint="eastAsia" w:ascii="Times New Roman" w:hAnsi="Times New Roman" w:eastAsia="宋体" w:cs="宋体"/>
          <w:b w:val="0"/>
          <w:bCs w:val="0"/>
          <w:kern w:val="0"/>
          <w:sz w:val="21"/>
          <w:szCs w:val="21"/>
          <w:lang w:val="en-US" w:eastAsia="zh-CN" w:bidi="ar"/>
        </w:rPr>
        <w:t xml:space="preserve"> = </w:t>
      </w:r>
      <w:r>
        <w:rPr>
          <w:rFonts w:hint="eastAsia" w:ascii="Times New Roman" w:hAnsi="Times New Roman" w:eastAsia="等线" w:cs="Times New Roman"/>
          <w:b w:val="0"/>
          <w:bCs w:val="0"/>
          <w:szCs w:val="21"/>
        </w:rPr>
        <w:t>Work-related musculoske</w:t>
      </w:r>
      <w:bookmarkStart w:id="0" w:name="_GoBack"/>
      <w:bookmarkEnd w:id="0"/>
      <w:r>
        <w:rPr>
          <w:rFonts w:hint="eastAsia" w:ascii="Times New Roman" w:hAnsi="Times New Roman" w:eastAsia="等线" w:cs="Times New Roman"/>
          <w:b w:val="0"/>
          <w:bCs w:val="0"/>
          <w:szCs w:val="21"/>
        </w:rPr>
        <w:t>letal disorders</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134FA"/>
    <w:rsid w:val="0F601A19"/>
    <w:rsid w:val="2865205E"/>
    <w:rsid w:val="2D4E4762"/>
    <w:rsid w:val="340B78F6"/>
    <w:rsid w:val="37060F75"/>
    <w:rsid w:val="39E05162"/>
    <w:rsid w:val="3AF713F1"/>
    <w:rsid w:val="40EF4827"/>
    <w:rsid w:val="42B36291"/>
    <w:rsid w:val="51D02B32"/>
    <w:rsid w:val="51DF413C"/>
    <w:rsid w:val="54596730"/>
    <w:rsid w:val="59851D75"/>
    <w:rsid w:val="5BFC2F8C"/>
    <w:rsid w:val="5FCB21BA"/>
    <w:rsid w:val="627E7362"/>
    <w:rsid w:val="63BF7C32"/>
    <w:rsid w:val="677E58B5"/>
    <w:rsid w:val="67DD0FCE"/>
    <w:rsid w:val="6CC12DFE"/>
    <w:rsid w:val="6DFF1C9E"/>
    <w:rsid w:val="71265794"/>
    <w:rsid w:val="72F71FD0"/>
    <w:rsid w:val="78362761"/>
    <w:rsid w:val="79BF6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566</Words>
  <Characters>3547</Characters>
  <Lines>0</Lines>
  <Paragraphs>0</Paragraphs>
  <TotalTime>0</TotalTime>
  <ScaleCrop>false</ScaleCrop>
  <LinksUpToDate>false</LinksUpToDate>
  <CharactersWithSpaces>4069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2026-01-05T12:06:00Z</dcterms:created>
  <dc:creator>奇衡三</dc:creator>
  <cp:lastModifiedBy>奇衡三</cp:lastModifiedBy>
  <dcterms:modified xsi:type="dcterms:W3CDTF">2026-01-12T15:01:45Z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eyJoZGlkIjoiODViY2JkMjU3NGYzZTEwMzZmMGFkZWViYmNkYWU3NDIiLCJ1c2VySWQiOiIyMTAzNzU5ODUifQ==</vt:lpwstr>
  </property>
  <property fmtid="{D5CDD505-2E9C-101B-9397-08002B2CF9AE}" pid="4" name="ICV">
    <vt:lpwstr>BFB88E0E02134E85AEB56A4C1309A770_12</vt:lpwstr>
  </property>
</Properties>
</file>