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280" w:type="dxa"/>
        <w:tblInd w:w="-207" w:type="dxa"/>
        <w:tblLayout w:type="fixed"/>
        <w:tblCellMar>
          <w:top w:w="15" w:type="dxa"/>
          <w:left w:w="15" w:type="dxa"/>
          <w:bottom w:w="15" w:type="dxa"/>
          <w:right w:w="15" w:type="dxa"/>
        </w:tblCellMar>
      </w:tblPr>
      <w:tblGrid>
        <w:gridCol w:w="1898"/>
        <w:gridCol w:w="12382"/>
      </w:tblGrid>
      <w:tr w14:paraId="6C8A2624">
        <w:tblPrEx>
          <w:tblCellMar>
            <w:top w:w="15" w:type="dxa"/>
            <w:left w:w="15" w:type="dxa"/>
            <w:bottom w:w="15" w:type="dxa"/>
            <w:right w:w="15" w:type="dxa"/>
          </w:tblCellMar>
        </w:tblPrEx>
        <w:trPr>
          <w:trHeight w:val="430" w:hRule="atLeast"/>
        </w:trPr>
        <w:tc>
          <w:tcPr>
            <w:tcW w:w="14280" w:type="dxa"/>
            <w:gridSpan w:val="2"/>
            <w:tcBorders>
              <w:top w:val="single" w:color="DEE0E3" w:sz="4" w:space="0"/>
              <w:left w:val="single" w:color="DEE0E3" w:sz="4" w:space="0"/>
              <w:bottom w:val="single" w:color="000000" w:sz="8" w:space="0"/>
              <w:right w:val="single" w:color="DEE0E3" w:sz="4" w:space="0"/>
            </w:tcBorders>
            <w:tcMar>
              <w:top w:w="96" w:type="dxa"/>
              <w:left w:w="96" w:type="dxa"/>
              <w:bottom w:w="96" w:type="dxa"/>
              <w:right w:w="96" w:type="dxa"/>
            </w:tcMar>
          </w:tcPr>
          <w:p w14:paraId="09FBE732">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 w:val="22"/>
                <w:szCs w:val="22"/>
                <w:lang w:bidi="ar"/>
              </w:rPr>
              <w:t>Supplementary file2: Summary of core variables in included studies</w:t>
            </w:r>
          </w:p>
        </w:tc>
      </w:tr>
      <w:tr w14:paraId="56C512F1">
        <w:tblPrEx>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000000" w:sz="8" w:space="0"/>
              <w:right w:val="single" w:color="DEE0E3" w:sz="4" w:space="0"/>
            </w:tcBorders>
            <w:tcMar>
              <w:top w:w="96" w:type="dxa"/>
              <w:left w:w="96" w:type="dxa"/>
              <w:bottom w:w="96" w:type="dxa"/>
              <w:right w:w="96" w:type="dxa"/>
            </w:tcMar>
          </w:tcPr>
          <w:p w14:paraId="56A15B84">
            <w:pPr>
              <w:widowControl/>
              <w:jc w:val="left"/>
              <w:textAlignment w:val="top"/>
              <w:rPr>
                <w:rFonts w:ascii="Times New Roman" w:hAnsi="Times New Roman" w:eastAsia="宋体"/>
                <w:b/>
                <w:bCs/>
                <w:szCs w:val="21"/>
              </w:rPr>
            </w:pPr>
            <w:r>
              <w:rPr>
                <w:rFonts w:hint="eastAsia" w:ascii="Times New Roman" w:hAnsi="Times New Roman" w:eastAsia="宋体" w:cs="宋体"/>
                <w:b/>
                <w:bCs/>
                <w:kern w:val="0"/>
                <w:szCs w:val="21"/>
                <w:lang w:bidi="ar"/>
              </w:rPr>
              <w:t>Variables</w:t>
            </w:r>
          </w:p>
        </w:tc>
        <w:tc>
          <w:tcPr>
            <w:tcW w:w="12382" w:type="dxa"/>
            <w:tcBorders>
              <w:top w:val="single" w:color="000000" w:sz="8" w:space="0"/>
              <w:left w:val="single" w:color="DEE0E3" w:sz="4" w:space="0"/>
              <w:bottom w:val="single" w:color="000000" w:sz="8" w:space="0"/>
              <w:right w:val="single" w:color="DEE0E3" w:sz="4" w:space="0"/>
            </w:tcBorders>
            <w:tcMar>
              <w:top w:w="96" w:type="dxa"/>
              <w:left w:w="96" w:type="dxa"/>
              <w:bottom w:w="96" w:type="dxa"/>
              <w:right w:w="96" w:type="dxa"/>
            </w:tcMar>
          </w:tcPr>
          <w:p w14:paraId="3A1EEE3C">
            <w:pPr>
              <w:widowControl/>
              <w:jc w:val="left"/>
              <w:textAlignment w:val="top"/>
              <w:rPr>
                <w:rFonts w:ascii="Times New Roman" w:hAnsi="Times New Roman" w:eastAsia="宋体"/>
                <w:b/>
                <w:bCs/>
                <w:szCs w:val="21"/>
              </w:rPr>
            </w:pPr>
            <w:r>
              <w:rPr>
                <w:rFonts w:hint="eastAsia" w:ascii="Times New Roman" w:hAnsi="Times New Roman" w:eastAsia="宋体" w:cs="宋体"/>
                <w:b/>
                <w:bCs/>
                <w:kern w:val="0"/>
                <w:szCs w:val="21"/>
                <w:lang w:bidi="ar"/>
              </w:rPr>
              <w:t>Definitions</w:t>
            </w:r>
          </w:p>
        </w:tc>
      </w:tr>
      <w:tr w14:paraId="3741DDBD">
        <w:tblPrEx>
          <w:tblCellMar>
            <w:top w:w="15" w:type="dxa"/>
            <w:left w:w="15" w:type="dxa"/>
            <w:bottom w:w="15" w:type="dxa"/>
            <w:right w:w="15" w:type="dxa"/>
          </w:tblCellMar>
        </w:tblPrEx>
        <w:trPr>
          <w:trHeight w:val="468" w:hRule="atLeast"/>
        </w:trPr>
        <w:tc>
          <w:tcPr>
            <w:tcW w:w="1898" w:type="dxa"/>
            <w:tcBorders>
              <w:top w:val="single" w:color="000000" w:sz="8" w:space="0"/>
              <w:left w:val="single" w:color="DEE0E3" w:sz="4" w:space="0"/>
              <w:bottom w:val="single" w:color="DEE0E3" w:sz="4" w:space="0"/>
              <w:right w:val="single" w:color="DEE0E3" w:sz="4" w:space="0"/>
            </w:tcBorders>
            <w:tcMar>
              <w:top w:w="96" w:type="dxa"/>
              <w:left w:w="96" w:type="dxa"/>
              <w:bottom w:w="96" w:type="dxa"/>
              <w:right w:w="96" w:type="dxa"/>
            </w:tcMar>
          </w:tcPr>
          <w:p w14:paraId="54446BEB">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WMSDs</w:t>
            </w:r>
          </w:p>
        </w:tc>
        <w:tc>
          <w:tcPr>
            <w:tcW w:w="12382" w:type="dxa"/>
            <w:tcBorders>
              <w:top w:val="single" w:color="000000" w:sz="8" w:space="0"/>
              <w:left w:val="single" w:color="DEE0E3" w:sz="4" w:space="0"/>
              <w:bottom w:val="single" w:color="DEE0E3" w:sz="4" w:space="0"/>
              <w:right w:val="single" w:color="DEE0E3" w:sz="4" w:space="0"/>
            </w:tcBorders>
            <w:tcMar>
              <w:top w:w="96" w:type="dxa"/>
              <w:left w:w="96" w:type="dxa"/>
              <w:bottom w:w="96" w:type="dxa"/>
              <w:right w:w="96" w:type="dxa"/>
            </w:tcMar>
          </w:tcPr>
          <w:p w14:paraId="5A43519E">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discomfort, or dysfunction of the musculoskeletal system (including muscles, bones, joints, tendons, etc.) occurring during teachers' work [6,7,20,34,35]</w:t>
            </w:r>
          </w:p>
        </w:tc>
      </w:tr>
      <w:tr w14:paraId="73709A0B">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1C082BF">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Neck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BCE2BF4">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neck area (including the cervical spine, surrounding muscles, and soft tissues). The painful area is defined by a human body model diagram in the questionnaire, and symptoms are self-reported by respondents in accordance with the recall period specified in the scales [16,27]</w:t>
            </w:r>
          </w:p>
        </w:tc>
      </w:tr>
      <w:tr w14:paraId="56F18BFE">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1641498">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Shoulder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FBCFE69">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shoulder joint and surrounding muscles, tendons, and other soft tissues. Symptoms are self-reported by respondents in accordance with the recall period specified in the scales [6]</w:t>
            </w:r>
          </w:p>
        </w:tc>
      </w:tr>
      <w:tr w14:paraId="138DCC4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D438043">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Neck-</w:t>
            </w:r>
            <w:r>
              <w:rPr>
                <w:rFonts w:hint="eastAsia" w:ascii="Times New Roman" w:hAnsi="Times New Roman" w:eastAsia="宋体" w:cs="宋体"/>
                <w:kern w:val="0"/>
                <w:szCs w:val="21"/>
                <w:lang w:bidi="ar"/>
              </w:rPr>
              <w:t>s</w:t>
            </w:r>
            <w:r>
              <w:rPr>
                <w:rFonts w:ascii="Times New Roman" w:hAnsi="Times New Roman" w:eastAsia="宋体" w:cs="宋体"/>
                <w:kern w:val="0"/>
                <w:szCs w:val="21"/>
                <w:lang w:bidi="ar"/>
              </w:rPr>
              <w:t xml:space="preserve">houlder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1D94AF5">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occurring in both the neck and shoulders simultaneously or sequentially within the recall period. The judgment is based on the respondent's self-report of "symptoms in both neck and shoulder areas"[19,23]</w:t>
            </w:r>
          </w:p>
        </w:tc>
      </w:tr>
      <w:tr w14:paraId="49747AF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99E6CBF">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Wrist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4168A86">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wrist joint and surrounding tendons and ligaments. Symptoms are self-reported by respondents in accordance with the recall period specified in the scales [7]</w:t>
            </w:r>
          </w:p>
        </w:tc>
      </w:tr>
      <w:tr w14:paraId="64B2D4A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F9BDA6B">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Upper </w:t>
            </w:r>
            <w:r>
              <w:rPr>
                <w:rFonts w:hint="eastAsia" w:ascii="Times New Roman" w:hAnsi="Times New Roman" w:eastAsia="宋体" w:cs="宋体"/>
                <w:kern w:val="0"/>
                <w:szCs w:val="21"/>
                <w:lang w:bidi="ar"/>
              </w:rPr>
              <w:t>l</w:t>
            </w:r>
            <w:r>
              <w:rPr>
                <w:rFonts w:ascii="Times New Roman" w:hAnsi="Times New Roman" w:eastAsia="宋体" w:cs="宋体"/>
                <w:kern w:val="0"/>
                <w:szCs w:val="21"/>
                <w:lang w:bidi="ar"/>
              </w:rPr>
              <w:t xml:space="preserve">imb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02C9D93">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A general term for pain, soreness, or discomfort in the upper limb area including shoulders, elbows, wrists, and hands. The judgment standard is the respondent's self-report of symptoms in any part of the upper limb within the recall period [16,34]</w:t>
            </w:r>
          </w:p>
        </w:tc>
      </w:tr>
      <w:tr w14:paraId="71CD03B7">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84D5E4A">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Low </w:t>
            </w:r>
            <w:r>
              <w:rPr>
                <w:rFonts w:hint="eastAsia" w:ascii="Times New Roman" w:hAnsi="Times New Roman" w:eastAsia="宋体" w:cs="宋体"/>
                <w:kern w:val="0"/>
                <w:szCs w:val="21"/>
                <w:lang w:bidi="ar"/>
              </w:rPr>
              <w:t>b</w:t>
            </w:r>
            <w:r>
              <w:rPr>
                <w:rFonts w:ascii="Times New Roman" w:hAnsi="Times New Roman" w:eastAsia="宋体" w:cs="宋体"/>
                <w:kern w:val="0"/>
                <w:szCs w:val="21"/>
                <w:lang w:bidi="ar"/>
              </w:rPr>
              <w:t xml:space="preserve">ack </w:t>
            </w:r>
            <w:r>
              <w:rPr>
                <w:rFonts w:hint="eastAsia" w:ascii="Times New Roman" w:hAnsi="Times New Roman" w:eastAsia="宋体" w:cs="宋体"/>
                <w:kern w:val="0"/>
                <w:szCs w:val="21"/>
                <w:lang w:bidi="ar"/>
              </w:rPr>
              <w:t>p</w:t>
            </w:r>
            <w:r>
              <w:rPr>
                <w:rFonts w:ascii="Times New Roman" w:hAnsi="Times New Roman" w:eastAsia="宋体" w:cs="宋体"/>
                <w:kern w:val="0"/>
                <w:szCs w:val="21"/>
                <w:lang w:bidi="ar"/>
              </w:rPr>
              <w:t>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08CA81C">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Pain, soreness, or discomfort in the lumbosacral region, lower back, and sacroiliac joint, including specific (e.g., lumbar disc herniation) and non-specific types. The definition is based on the respondent's self-report of symptoms within the recall period, excluding acute trauma, tumors, and other clear organic lesions [17,18]</w:t>
            </w:r>
          </w:p>
        </w:tc>
      </w:tr>
      <w:tr w14:paraId="3CC48D9F">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E2BEC0A">
            <w:pPr>
              <w:widowControl/>
              <w:jc w:val="left"/>
              <w:textAlignment w:val="top"/>
              <w:rPr>
                <w:rFonts w:ascii="Times New Roman" w:hAnsi="Times New Roman" w:eastAsia="宋体" w:cs="宋体"/>
                <w:kern w:val="0"/>
                <w:szCs w:val="21"/>
                <w:lang w:bidi="ar"/>
              </w:rPr>
            </w:pPr>
            <w:r>
              <w:rPr>
                <w:rFonts w:ascii="Times New Roman" w:hAnsi="Times New Roman" w:eastAsia="宋体" w:cs="宋体"/>
                <w:kern w:val="0"/>
                <w:szCs w:val="21"/>
                <w:lang w:bidi="ar"/>
              </w:rPr>
              <w:t xml:space="preserve">Lower </w:t>
            </w:r>
            <w:r>
              <w:rPr>
                <w:rFonts w:hint="eastAsia" w:ascii="Times New Roman" w:hAnsi="Times New Roman" w:eastAsia="宋体" w:cs="宋体"/>
                <w:kern w:val="0"/>
                <w:szCs w:val="21"/>
                <w:lang w:bidi="ar"/>
              </w:rPr>
              <w:t>l</w:t>
            </w:r>
            <w:r>
              <w:rPr>
                <w:rFonts w:ascii="Times New Roman" w:hAnsi="Times New Roman" w:eastAsia="宋体" w:cs="宋体"/>
                <w:kern w:val="0"/>
                <w:szCs w:val="21"/>
                <w:lang w:bidi="ar"/>
              </w:rPr>
              <w:t>imb Pain</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DBDA4B2">
            <w:pPr>
              <w:widowControl/>
              <w:jc w:val="left"/>
              <w:textAlignment w:val="top"/>
              <w:rPr>
                <w:rFonts w:ascii="Times New Roman" w:hAnsi="Times New Roman" w:eastAsia="宋体" w:cs="宋体"/>
                <w:kern w:val="0"/>
                <w:szCs w:val="21"/>
                <w:lang w:bidi="ar"/>
              </w:rPr>
            </w:pPr>
            <w:r>
              <w:rPr>
                <w:rFonts w:hint="eastAsia" w:ascii="Times New Roman" w:hAnsi="Times New Roman" w:eastAsia="宋体" w:cs="宋体"/>
                <w:kern w:val="0"/>
                <w:szCs w:val="21"/>
                <w:lang w:bidi="ar"/>
              </w:rPr>
              <w:t>A general term for pain, soreness, or discomfort in the lower limb area including buttocks, thighs, calves, and feet. The judgment standard is the respondent's self-report of symptoms in any part of the lower limb within the recall period [6,35]</w:t>
            </w:r>
          </w:p>
        </w:tc>
      </w:tr>
      <w:tr w14:paraId="18F453C5">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01EC87B">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Teaching experience</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1F2416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The cumulative years of teachers' engagement in educational and teaching work (including continuous working hours, excluding periods of resignation and interruption) </w:t>
            </w:r>
            <w:r>
              <w:rPr>
                <w:rFonts w:hint="eastAsia" w:ascii="Times New Roman" w:hAnsi="Times New Roman" w:eastAsia="宋体"/>
                <w:szCs w:val="32"/>
              </w:rPr>
              <w:t>[7,15]</w:t>
            </w:r>
          </w:p>
        </w:tc>
      </w:tr>
      <w:tr w14:paraId="30A3CFC4">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CE04FC4">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Past medical history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00ABB6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Whether teachers have a history of musculoskeletal injuries or diseases (e.g., previous low back pain, joint injuries) [17,21,30]</w:t>
            </w:r>
          </w:p>
        </w:tc>
      </w:tr>
      <w:tr w14:paraId="42962698">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316E99A">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Educational level</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F94095E">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highest educational attainment (e.g., junior college, undergraduate, master's degree and above) </w:t>
            </w:r>
            <w:r>
              <w:rPr>
                <w:rFonts w:hint="eastAsia" w:ascii="Times New Roman" w:hAnsi="Times New Roman" w:eastAsia="宋体"/>
                <w:szCs w:val="32"/>
              </w:rPr>
              <w:t>[17,18]</w:t>
            </w:r>
          </w:p>
        </w:tc>
      </w:tr>
      <w:tr w14:paraId="43641984">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6822CCF6">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Ethnicity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3038D0DD">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ethnic affiliation (e.g., Han nationality, ethnic minorities) </w:t>
            </w:r>
            <w:r>
              <w:rPr>
                <w:rFonts w:hint="eastAsia" w:ascii="Times New Roman" w:hAnsi="Times New Roman" w:eastAsia="宋体"/>
                <w:szCs w:val="32"/>
              </w:rPr>
              <w:t>[19,23]</w:t>
            </w:r>
          </w:p>
        </w:tc>
      </w:tr>
      <w:tr w14:paraId="23887386">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181ED91">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Physical activity</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0C163F93">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Teachers' participation in physical exercise [17,21]</w:t>
            </w:r>
          </w:p>
        </w:tc>
      </w:tr>
      <w:tr w14:paraId="212CD7C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7368378">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 xml:space="preserve">Prolonged </w:t>
            </w:r>
            <w:r>
              <w:rPr>
                <w:rFonts w:hint="eastAsia" w:ascii="Times New Roman" w:hAnsi="Times New Roman" w:eastAsia="等线" w:cs="Times New Roman"/>
                <w:bCs/>
                <w:sz w:val="20"/>
                <w:szCs w:val="20"/>
              </w:rPr>
              <w:t xml:space="preserve">static </w:t>
            </w:r>
            <w:r>
              <w:rPr>
                <w:rFonts w:ascii="Times New Roman" w:hAnsi="Times New Roman" w:eastAsia="宋体" w:cs="宋体"/>
                <w:kern w:val="0"/>
                <w:szCs w:val="21"/>
                <w:lang w:bidi="ar"/>
              </w:rPr>
              <w:t xml:space="preserve"> posture</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725DC63">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maintenance of a specific posture during work </w:t>
            </w:r>
            <w:r>
              <w:rPr>
                <w:rFonts w:hint="eastAsia" w:ascii="Times New Roman" w:hAnsi="Times New Roman" w:eastAsia="宋体"/>
                <w:szCs w:val="32"/>
              </w:rPr>
              <w:t>[17,27]</w:t>
            </w:r>
          </w:p>
        </w:tc>
      </w:tr>
      <w:tr w14:paraId="20AA45D1">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2A7795B">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Workload</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971F47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Core indicators reflecting the intensity of teachers' work, including but not limited to weekly class hours, number of students in the class, and additional workload (e.g., teaching research, administrative tasks). Specific indicators are based on the report in the included literature </w:t>
            </w:r>
            <w:r>
              <w:rPr>
                <w:rFonts w:hint="eastAsia" w:ascii="Times New Roman" w:hAnsi="Times New Roman" w:eastAsia="宋体"/>
                <w:szCs w:val="32"/>
              </w:rPr>
              <w:t>[34,35]</w:t>
            </w:r>
          </w:p>
        </w:tc>
      </w:tr>
      <w:tr w14:paraId="210A2DB9">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379A3662">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Student care requirements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2134A0C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Students' ability to take care of themselves and independently complete relevant activities in daily life and study </w:t>
            </w:r>
            <w:r>
              <w:rPr>
                <w:rFonts w:hint="eastAsia" w:ascii="Times New Roman" w:hAnsi="Times New Roman" w:eastAsia="宋体"/>
                <w:szCs w:val="32"/>
              </w:rPr>
              <w:t>[7]</w:t>
            </w:r>
          </w:p>
        </w:tc>
      </w:tr>
      <w:tr w14:paraId="438F4B2A">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7D70275D">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Rest breaks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489F0BA0">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rest status during work (including the number of rest breaks / total rest duration) </w:t>
            </w:r>
            <w:r>
              <w:rPr>
                <w:rFonts w:hint="eastAsia" w:ascii="Times New Roman" w:hAnsi="Times New Roman" w:eastAsia="宋体"/>
                <w:szCs w:val="32"/>
              </w:rPr>
              <w:t>[7,16,33,34]</w:t>
            </w:r>
          </w:p>
        </w:tc>
      </w:tr>
      <w:tr w14:paraId="13946FAF">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CD4911C">
            <w:pPr>
              <w:widowControl/>
              <w:jc w:val="left"/>
              <w:textAlignment w:val="top"/>
              <w:rPr>
                <w:rFonts w:ascii="Times New Roman" w:hAnsi="Times New Roman" w:eastAsia="宋体"/>
                <w:szCs w:val="21"/>
              </w:rPr>
            </w:pPr>
            <w:r>
              <w:rPr>
                <w:rFonts w:hint="eastAsia" w:ascii="Times New Roman" w:hAnsi="Times New Roman" w:eastAsia="等线" w:cs="Times New Roman"/>
                <w:bCs/>
                <w:sz w:val="20"/>
                <w:szCs w:val="20"/>
              </w:rPr>
              <w:t>Ergonomic aids</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8C8FDEA">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Ergonomic equipment used by teachers in their work to improve working postures and reduce musculoskeletal load, such as ergonomic desks and chairs, lumbar support cushions, and wrist rests </w:t>
            </w:r>
            <w:r>
              <w:rPr>
                <w:rFonts w:hint="eastAsia" w:ascii="Times New Roman" w:hAnsi="Times New Roman" w:eastAsia="宋体"/>
                <w:szCs w:val="32"/>
              </w:rPr>
              <w:t>[7,33,34,36]</w:t>
            </w:r>
          </w:p>
        </w:tc>
      </w:tr>
      <w:tr w14:paraId="09FB4571">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5DE6F15D">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Teaching level</w:t>
            </w:r>
          </w:p>
        </w:tc>
        <w:tc>
          <w:tcPr>
            <w:tcW w:w="12382" w:type="dxa"/>
            <w:tcBorders>
              <w:top w:val="single" w:color="DEE0E3" w:sz="4" w:space="0"/>
              <w:left w:val="single" w:color="DEE0E3" w:sz="4" w:space="0"/>
              <w:bottom w:val="single" w:color="DEE0E3" w:sz="4" w:space="0"/>
              <w:right w:val="single" w:color="DEE0E3" w:sz="4" w:space="0"/>
            </w:tcBorders>
            <w:tcMar>
              <w:top w:w="96" w:type="dxa"/>
              <w:left w:w="96" w:type="dxa"/>
              <w:bottom w:w="96" w:type="dxa"/>
              <w:right w:w="96" w:type="dxa"/>
            </w:tcMar>
          </w:tcPr>
          <w:p w14:paraId="1877FCDE">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he educational stage where teachers are engaged (e.g., kindergarten, primary school, junior high school, senior high school, university, special education, etc.), consistent with the dimension of "Teacher Type", and used for stratified correlation analysis </w:t>
            </w:r>
            <w:r>
              <w:rPr>
                <w:rFonts w:hint="eastAsia" w:ascii="Times New Roman" w:hAnsi="Times New Roman" w:eastAsia="宋体"/>
                <w:szCs w:val="32"/>
              </w:rPr>
              <w:t>[6,19]</w:t>
            </w:r>
          </w:p>
        </w:tc>
      </w:tr>
      <w:tr w14:paraId="6CD0B12D">
        <w:tblPrEx>
          <w:tblCellMar>
            <w:top w:w="15" w:type="dxa"/>
            <w:left w:w="15" w:type="dxa"/>
            <w:bottom w:w="15" w:type="dxa"/>
            <w:right w:w="15" w:type="dxa"/>
          </w:tblCellMar>
        </w:tblPrEx>
        <w:trPr>
          <w:trHeight w:val="468" w:hRule="atLeast"/>
        </w:trPr>
        <w:tc>
          <w:tcPr>
            <w:tcW w:w="1898" w:type="dxa"/>
            <w:tcBorders>
              <w:top w:val="single" w:color="DEE0E3" w:sz="4" w:space="0"/>
              <w:left w:val="single" w:color="DEE0E3" w:sz="4" w:space="0"/>
              <w:bottom w:val="single" w:color="000000" w:themeColor="text1" w:sz="8" w:space="0"/>
              <w:right w:val="single" w:color="DEE0E3" w:sz="4" w:space="0"/>
            </w:tcBorders>
            <w:tcMar>
              <w:top w:w="96" w:type="dxa"/>
              <w:left w:w="96" w:type="dxa"/>
              <w:bottom w:w="96" w:type="dxa"/>
              <w:right w:w="96" w:type="dxa"/>
            </w:tcMar>
          </w:tcPr>
          <w:p w14:paraId="590CB9C2">
            <w:pPr>
              <w:widowControl/>
              <w:jc w:val="left"/>
              <w:textAlignment w:val="top"/>
              <w:rPr>
                <w:rFonts w:ascii="Times New Roman" w:hAnsi="Times New Roman" w:eastAsia="宋体"/>
                <w:szCs w:val="21"/>
              </w:rPr>
            </w:pPr>
            <w:r>
              <w:rPr>
                <w:rFonts w:ascii="Times New Roman" w:hAnsi="Times New Roman" w:eastAsia="宋体" w:cs="宋体"/>
                <w:kern w:val="0"/>
                <w:szCs w:val="21"/>
                <w:lang w:bidi="ar"/>
              </w:rPr>
              <w:t>Mental health</w:t>
            </w:r>
          </w:p>
        </w:tc>
        <w:tc>
          <w:tcPr>
            <w:tcW w:w="12382" w:type="dxa"/>
            <w:tcBorders>
              <w:top w:val="single" w:color="DEE0E3" w:sz="4" w:space="0"/>
              <w:left w:val="single" w:color="DEE0E3" w:sz="4" w:space="0"/>
              <w:bottom w:val="single" w:color="000000" w:themeColor="text1" w:sz="8" w:space="0"/>
              <w:right w:val="single" w:color="DEE0E3" w:sz="4" w:space="0"/>
            </w:tcBorders>
            <w:tcMar>
              <w:top w:w="96" w:type="dxa"/>
              <w:left w:w="96" w:type="dxa"/>
              <w:bottom w:w="96" w:type="dxa"/>
              <w:right w:w="96" w:type="dxa"/>
            </w:tcMar>
          </w:tcPr>
          <w:p w14:paraId="660F5412">
            <w:pPr>
              <w:widowControl/>
              <w:jc w:val="left"/>
              <w:textAlignment w:val="top"/>
              <w:rPr>
                <w:rFonts w:ascii="Times New Roman" w:hAnsi="Times New Roman" w:eastAsia="宋体"/>
                <w:szCs w:val="21"/>
              </w:rPr>
            </w:pPr>
            <w:r>
              <w:rPr>
                <w:rFonts w:hint="eastAsia" w:ascii="Times New Roman" w:hAnsi="Times New Roman" w:eastAsia="宋体" w:cs="宋体"/>
                <w:kern w:val="0"/>
                <w:szCs w:val="21"/>
                <w:lang w:bidi="ar"/>
              </w:rPr>
              <w:t xml:space="preserve">Teachers' psychological status, with core evaluation dimensions including anxiety, depression, stress, etc. </w:t>
            </w:r>
            <w:r>
              <w:rPr>
                <w:rFonts w:hint="eastAsia" w:ascii="Times New Roman" w:hAnsi="Times New Roman" w:eastAsia="宋体"/>
                <w:szCs w:val="32"/>
              </w:rPr>
              <w:t>[16,20,22]</w:t>
            </w:r>
          </w:p>
        </w:tc>
      </w:tr>
    </w:tbl>
    <w:p w14:paraId="656DA0A7">
      <w:r>
        <w:rPr>
          <w:rFonts w:hint="eastAsia" w:ascii="Times New Roman" w:hAnsi="Times New Roman"/>
          <w:sz w:val="22"/>
          <w:szCs w:val="28"/>
        </w:rPr>
        <w:t xml:space="preserve">Abbreviations: </w:t>
      </w:r>
      <w:r>
        <w:rPr>
          <w:rFonts w:ascii="Times New Roman" w:hAnsi="Times New Roman" w:eastAsia="宋体" w:cs="宋体"/>
          <w:kern w:val="0"/>
          <w:szCs w:val="21"/>
          <w:lang w:bidi="ar"/>
        </w:rPr>
        <w:t>WMSDs</w:t>
      </w:r>
      <w:r>
        <w:rPr>
          <w:rFonts w:hint="eastAsia" w:ascii="Times New Roman" w:hAnsi="Times New Roman" w:eastAsia="宋体" w:cs="宋体"/>
          <w:kern w:val="0"/>
          <w:szCs w:val="21"/>
          <w:lang w:val="en-US" w:eastAsia="zh-CN" w:bidi="ar"/>
        </w:rPr>
        <w:t xml:space="preserve">, </w:t>
      </w:r>
      <w:r>
        <w:rPr>
          <w:rFonts w:hint="eastAsia" w:ascii="Times New Roman" w:hAnsi="Times New Roman" w:eastAsia="等线" w:cs="Times New Roman"/>
          <w:szCs w:val="21"/>
          <w:lang w:val="en-US" w:eastAsia="zh-CN"/>
        </w:rPr>
        <w:t>w</w:t>
      </w:r>
      <w:r>
        <w:rPr>
          <w:rFonts w:hint="eastAsia" w:ascii="Times New Roman" w:hAnsi="Times New Roman" w:eastAsia="等线" w:cs="Times New Roman"/>
          <w:szCs w:val="21"/>
        </w:rPr>
        <w:t>ork-r</w:t>
      </w:r>
      <w:bookmarkStart w:id="0" w:name="_GoBack"/>
      <w:bookmarkEnd w:id="0"/>
      <w:r>
        <w:rPr>
          <w:rFonts w:hint="eastAsia" w:ascii="Times New Roman" w:hAnsi="Times New Roman" w:eastAsia="等线" w:cs="Times New Roman"/>
          <w:szCs w:val="21"/>
        </w:rPr>
        <w:t>elated musculoskeletal disorders</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75E"/>
    <w:rsid w:val="00031AD0"/>
    <w:rsid w:val="001B3DA7"/>
    <w:rsid w:val="00593616"/>
    <w:rsid w:val="006E7DC8"/>
    <w:rsid w:val="00BB175E"/>
    <w:rsid w:val="00DD1EE3"/>
    <w:rsid w:val="00E94246"/>
    <w:rsid w:val="01D134FA"/>
    <w:rsid w:val="0F601A19"/>
    <w:rsid w:val="108A34B4"/>
    <w:rsid w:val="2865205E"/>
    <w:rsid w:val="2D4E4762"/>
    <w:rsid w:val="340B78F6"/>
    <w:rsid w:val="37060F75"/>
    <w:rsid w:val="39A63017"/>
    <w:rsid w:val="39E05162"/>
    <w:rsid w:val="3AF713F1"/>
    <w:rsid w:val="3DD2216C"/>
    <w:rsid w:val="40EF4827"/>
    <w:rsid w:val="41331D64"/>
    <w:rsid w:val="42B36291"/>
    <w:rsid w:val="51D02B32"/>
    <w:rsid w:val="51DF413C"/>
    <w:rsid w:val="54596730"/>
    <w:rsid w:val="59851D75"/>
    <w:rsid w:val="5BFC2F8C"/>
    <w:rsid w:val="5FCB21BA"/>
    <w:rsid w:val="627E7362"/>
    <w:rsid w:val="63BF7C32"/>
    <w:rsid w:val="677E58B5"/>
    <w:rsid w:val="67DD0FCE"/>
    <w:rsid w:val="6CC12DFE"/>
    <w:rsid w:val="6DFF1C9E"/>
    <w:rsid w:val="71265794"/>
    <w:rsid w:val="72F71FD0"/>
    <w:rsid w:val="78362761"/>
    <w:rsid w:val="79BF6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0"/>
    <w:rPr>
      <w:rFonts w:asciiTheme="minorHAnsi" w:hAnsiTheme="minorHAnsi" w:eastAsiaTheme="minorEastAsia" w:cstheme="minorBidi"/>
      <w:kern w:val="2"/>
      <w:sz w:val="18"/>
      <w:szCs w:val="18"/>
    </w:rPr>
  </w:style>
  <w:style w:type="character" w:customStyle="1" w:styleId="8">
    <w:name w:val="页脚 字符"/>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578</Words>
  <Characters>3548</Characters>
  <Lines>61</Lines>
  <Paragraphs>51</Paragraphs>
  <TotalTime>3</TotalTime>
  <ScaleCrop>false</ScaleCrop>
  <LinksUpToDate>false</LinksUpToDate>
  <CharactersWithSpaces>4083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2026-01-05T12:06:00Z</dcterms:created>
  <dc:creator>奇衡三</dc:creator>
  <cp:lastModifiedBy>奇衡三</cp:lastModifiedBy>
  <dcterms:modified xsi:type="dcterms:W3CDTF">2026-04-05T16:35:35Z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eyJoZGlkIjoiODViY2JkMjU3NGYzZTEwMzZmMGFkZWViYmNkYWU3NDIiLCJ1c2VySWQiOiIyMTAzNzU5ODUifQ==</vt:lpwstr>
  </property>
  <property fmtid="{D5CDD505-2E9C-101B-9397-08002B2CF9AE}" pid="4" name="ICV">
    <vt:lpwstr>BFB88E0E02134E85AEB56A4C1309A770_12</vt:lpwstr>
  </property>
</Properties>
</file>