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89D320">
      <w:pPr>
        <w:pStyle w:val="2"/>
        <w:keepNext w:val="0"/>
        <w:keepLines w:val="0"/>
        <w:widowControl/>
        <w:suppressLineNumbers w:val="0"/>
        <w:rPr>
          <w:color w:val="000000" w:themeColor="text1"/>
          <w14:textFill>
            <w14:solidFill>
              <w14:schemeClr w14:val="tx1"/>
            </w14:solidFill>
          </w14:textFill>
        </w:rPr>
      </w:pPr>
      <w:r>
        <w:rPr>
          <w:rFonts w:hint="eastAsia" w:ascii="Times New Roman" w:hAnsi="Times New Roman" w:eastAsia="宋体" w:cs="Times New Roman"/>
          <w:b/>
          <w:bCs/>
          <w:i/>
          <w:iCs/>
          <w:color w:val="000000" w:themeColor="text1"/>
          <w:kern w:val="2"/>
          <w:sz w:val="24"/>
          <w:szCs w:val="24"/>
          <w:highlight w:val="none"/>
          <w:lang w:val="en-US" w:eastAsia="zh-CN" w:bidi="ar-SA"/>
          <w14:textFill>
            <w14:solidFill>
              <w14:schemeClr w14:val="tx1"/>
            </w14:solidFill>
          </w14:textFill>
        </w:rPr>
        <w:t>Table S</w:t>
      </w:r>
      <w:r>
        <w:rPr>
          <w:rFonts w:hint="eastAsia" w:ascii="Times New Roman" w:hAnsi="Times New Roman" w:cs="Times New Roman"/>
          <w:b/>
          <w:bCs/>
          <w:i/>
          <w:iCs/>
          <w:color w:val="000000" w:themeColor="text1"/>
          <w:kern w:val="2"/>
          <w:sz w:val="24"/>
          <w:szCs w:val="24"/>
          <w:highlight w:val="none"/>
          <w:lang w:val="en-US" w:eastAsia="zh-CN" w:bidi="ar-SA"/>
          <w14:textFill>
            <w14:solidFill>
              <w14:schemeClr w14:val="tx1"/>
            </w14:solidFill>
          </w14:textFill>
        </w:rPr>
        <w:t>1</w:t>
      </w:r>
      <w:r>
        <w:rPr>
          <w:rFonts w:hint="eastAsia" w:ascii="Times New Roman" w:hAnsi="Times New Roman" w:eastAsia="宋体" w:cs="Times New Roman"/>
          <w:b/>
          <w:bCs/>
          <w:i/>
          <w:iCs/>
          <w:color w:val="000000" w:themeColor="text1"/>
          <w:kern w:val="2"/>
          <w:sz w:val="24"/>
          <w:szCs w:val="24"/>
          <w:highlight w:val="none"/>
          <w:lang w:val="en-US" w:eastAsia="zh-CN" w:bidi="ar-SA"/>
          <w14:textFill>
            <w14:solidFill>
              <w14:schemeClr w14:val="tx1"/>
            </w14:solidFill>
          </w14:textFill>
        </w:rPr>
        <w:t>. Quantitative content-validity assessment of the study questionnaire</w:t>
      </w:r>
    </w:p>
    <w:tbl>
      <w:tblPr>
        <w:tblStyle w:val="5"/>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59"/>
        <w:gridCol w:w="1188"/>
        <w:gridCol w:w="2136"/>
        <w:gridCol w:w="2028"/>
        <w:gridCol w:w="1411"/>
      </w:tblGrid>
      <w:tr w14:paraId="258FD0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59" w:type="dxa"/>
            <w:tcBorders>
              <w:bottom w:val="single" w:color="auto" w:sz="4" w:space="0"/>
            </w:tcBorders>
            <w:vAlign w:val="center"/>
          </w:tcPr>
          <w:p w14:paraId="72E54B4C">
            <w:pPr>
              <w:jc w:val="left"/>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t>Assessment component</w:t>
            </w:r>
          </w:p>
        </w:tc>
        <w:tc>
          <w:tcPr>
            <w:tcW w:w="1188" w:type="dxa"/>
            <w:tcBorders>
              <w:bottom w:val="single" w:color="auto" w:sz="4" w:space="0"/>
            </w:tcBorders>
            <w:vAlign w:val="center"/>
          </w:tcPr>
          <w:p w14:paraId="6B05163A">
            <w:pPr>
              <w:jc w:val="left"/>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t>No. evaluated</w:t>
            </w:r>
          </w:p>
        </w:tc>
        <w:tc>
          <w:tcPr>
            <w:tcW w:w="2136" w:type="dxa"/>
            <w:tcBorders>
              <w:bottom w:val="single" w:color="auto" w:sz="4" w:space="0"/>
            </w:tcBorders>
            <w:vAlign w:val="center"/>
          </w:tcPr>
          <w:p w14:paraId="0B546734">
            <w:pPr>
              <w:jc w:val="left"/>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t>Relevance</w:t>
            </w:r>
          </w:p>
        </w:tc>
        <w:tc>
          <w:tcPr>
            <w:tcW w:w="2028" w:type="dxa"/>
            <w:tcBorders>
              <w:bottom w:val="single" w:color="auto" w:sz="4" w:space="0"/>
            </w:tcBorders>
            <w:vAlign w:val="center"/>
          </w:tcPr>
          <w:p w14:paraId="6FEA7D60">
            <w:pPr>
              <w:jc w:val="left"/>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t>Clarity</w:t>
            </w:r>
          </w:p>
        </w:tc>
        <w:tc>
          <w:tcPr>
            <w:tcW w:w="1411" w:type="dxa"/>
            <w:tcBorders>
              <w:bottom w:val="single" w:color="auto" w:sz="4" w:space="0"/>
            </w:tcBorders>
            <w:vAlign w:val="center"/>
          </w:tcPr>
          <w:p w14:paraId="7E90799E">
            <w:pPr>
              <w:jc w:val="left"/>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t>Content coverage</w:t>
            </w:r>
          </w:p>
        </w:tc>
      </w:tr>
      <w:tr w14:paraId="7AC7B8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59" w:type="dxa"/>
            <w:tcBorders>
              <w:top w:val="single" w:color="auto" w:sz="4" w:space="0"/>
            </w:tcBorders>
            <w:vAlign w:val="center"/>
          </w:tcPr>
          <w:p w14:paraId="7F83BF15">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Core questionnaire items</w:t>
            </w:r>
          </w:p>
        </w:tc>
        <w:tc>
          <w:tcPr>
            <w:tcW w:w="1188" w:type="dxa"/>
            <w:tcBorders>
              <w:top w:val="single" w:color="auto" w:sz="4" w:space="0"/>
            </w:tcBorders>
            <w:vAlign w:val="center"/>
          </w:tcPr>
          <w:p w14:paraId="75EB0052">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10 items</w:t>
            </w:r>
          </w:p>
        </w:tc>
        <w:tc>
          <w:tcPr>
            <w:tcW w:w="2136" w:type="dxa"/>
            <w:tcBorders>
              <w:top w:val="single" w:color="auto" w:sz="4" w:space="0"/>
            </w:tcBorders>
            <w:vAlign w:val="center"/>
          </w:tcPr>
          <w:p w14:paraId="6E815DAA">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I-CVI range = 0.833–1.000; 7/10 items = 1.000; B4 and D3 = 0.917; D2 = 0.833; S-CVI/Ave = 0.967</w:t>
            </w:r>
          </w:p>
        </w:tc>
        <w:tc>
          <w:tcPr>
            <w:tcW w:w="2028" w:type="dxa"/>
            <w:tcBorders>
              <w:top w:val="single" w:color="auto" w:sz="4" w:space="0"/>
            </w:tcBorders>
            <w:vAlign w:val="center"/>
          </w:tcPr>
          <w:p w14:paraId="73636F3D">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I-CVI range = 0.833–1.000; 8/10 items = 1.000; B4 and C3 = 0.833; S-CVI/Ave = 0.967</w:t>
            </w:r>
          </w:p>
        </w:tc>
        <w:tc>
          <w:tcPr>
            <w:tcW w:w="1411" w:type="dxa"/>
            <w:tcBorders>
              <w:top w:val="single" w:color="auto" w:sz="4" w:space="0"/>
            </w:tcBorders>
            <w:vAlign w:val="center"/>
          </w:tcPr>
          <w:p w14:paraId="37EC3A82">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w:t>
            </w:r>
          </w:p>
        </w:tc>
      </w:tr>
      <w:tr w14:paraId="5F8AF0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59" w:type="dxa"/>
            <w:vAlign w:val="center"/>
          </w:tcPr>
          <w:p w14:paraId="0496850D">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Questionnaire domains</w:t>
            </w:r>
          </w:p>
        </w:tc>
        <w:tc>
          <w:tcPr>
            <w:tcW w:w="1188" w:type="dxa"/>
            <w:vAlign w:val="center"/>
          </w:tcPr>
          <w:p w14:paraId="2BF6BFC8">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3 domains</w:t>
            </w:r>
          </w:p>
        </w:tc>
        <w:tc>
          <w:tcPr>
            <w:tcW w:w="2136" w:type="dxa"/>
            <w:vAlign w:val="center"/>
          </w:tcPr>
          <w:p w14:paraId="3D8A6487">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S-CVI/Ave: Violence exposure = 0.979; Risk perception and behavioral responses = 1.000; Occupational attitudes = 0.917</w:t>
            </w:r>
          </w:p>
        </w:tc>
        <w:tc>
          <w:tcPr>
            <w:tcW w:w="2028" w:type="dxa"/>
            <w:vAlign w:val="center"/>
          </w:tcPr>
          <w:p w14:paraId="4A1A0007">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S-CVI/Ave: Violence exposure = 0.958; Risk perception and behavioral responses = 0.944; Occupational attitudes = 1.000</w:t>
            </w:r>
          </w:p>
        </w:tc>
        <w:tc>
          <w:tcPr>
            <w:tcW w:w="1411" w:type="dxa"/>
            <w:vAlign w:val="center"/>
          </w:tcPr>
          <w:p w14:paraId="4E004C06">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Adequate for all three domains (12/12 experts for each domain)</w:t>
            </w:r>
          </w:p>
        </w:tc>
      </w:tr>
      <w:tr w14:paraId="5FC724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59" w:type="dxa"/>
            <w:vAlign w:val="center"/>
          </w:tcPr>
          <w:p w14:paraId="70063D6E">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Digital-violence content elements embedded within item B3</w:t>
            </w:r>
          </w:p>
        </w:tc>
        <w:tc>
          <w:tcPr>
            <w:tcW w:w="1188" w:type="dxa"/>
            <w:vAlign w:val="center"/>
          </w:tcPr>
          <w:p w14:paraId="5B0B2B27">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5 elements</w:t>
            </w:r>
          </w:p>
        </w:tc>
        <w:tc>
          <w:tcPr>
            <w:tcW w:w="2136" w:type="dxa"/>
            <w:vAlign w:val="center"/>
          </w:tcPr>
          <w:p w14:paraId="65F7DDFF">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I-CVI = 1.000 for all elements; S-CVI/Ave = 1.000</w:t>
            </w:r>
          </w:p>
        </w:tc>
        <w:tc>
          <w:tcPr>
            <w:tcW w:w="2028" w:type="dxa"/>
            <w:vAlign w:val="center"/>
          </w:tcPr>
          <w:p w14:paraId="6AB9CD4A">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I-CVI = 1.000 for all elements; S-CVI/Ave = 1.000</w:t>
            </w:r>
          </w:p>
        </w:tc>
        <w:tc>
          <w:tcPr>
            <w:tcW w:w="1411" w:type="dxa"/>
            <w:vAlign w:val="center"/>
          </w:tcPr>
          <w:p w14:paraId="16714880">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w:t>
            </w:r>
          </w:p>
        </w:tc>
      </w:tr>
    </w:tbl>
    <w:p w14:paraId="57D6EFE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eastAsia" w:ascii="Times New Roman" w:hAnsi="Times New Roman" w:eastAsia="宋体" w:cs="Times New Roman"/>
          <w:b w:val="0"/>
          <w:bCs w:val="0"/>
          <w:i w:val="0"/>
          <w:i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i w:val="0"/>
          <w:iCs w:val="0"/>
          <w:color w:val="000000" w:themeColor="text1"/>
          <w:kern w:val="2"/>
          <w:sz w:val="21"/>
          <w:szCs w:val="21"/>
          <w:highlight w:val="none"/>
          <w:lang w:val="en-US" w:eastAsia="zh-CN" w:bidi="ar-SA"/>
          <w14:textFill>
            <w14:solidFill>
              <w14:schemeClr w14:val="tx1"/>
            </w14:solidFill>
          </w14:textFill>
        </w:rPr>
        <w:t>Notes:</w:t>
      </w:r>
      <w:r>
        <w:rPr>
          <w:rFonts w:hint="eastAsia" w:ascii="Times New Roman" w:hAnsi="Times New Roman" w:eastAsia="宋体" w:cs="Times New Roman"/>
          <w:b w:val="0"/>
          <w:bCs w:val="0"/>
          <w:i w:val="0"/>
          <w:iCs w:val="0"/>
          <w:color w:val="000000" w:themeColor="text1"/>
          <w:kern w:val="2"/>
          <w:sz w:val="21"/>
          <w:szCs w:val="21"/>
          <w:highlight w:val="none"/>
          <w:lang w:val="en-US" w:eastAsia="zh-CN" w:bidi="ar-SA"/>
          <w14:textFill>
            <w14:solidFill>
              <w14:schemeClr w14:val="tx1"/>
            </w14:solidFill>
          </w14:textFill>
        </w:rPr>
        <w:t xml:space="preserve"> I-CVI, item-level content validity index; S-CVI/Ave, scale-level content validity index calculated using the average method. The expert panel comprised 12 experts from health management (n = 2), nursing (n = 2), hospital administration (n = 6), and public health (n = 2). Relevance and clarity were rated using four-point scales, with ratings of 3 or 4 considered content-valid. Content coverage was assessed at the questionnaire-domain level. The five digital-violence behaviors embedded within item B3 were evaluated as content elements and were not administered as five se</w:t>
      </w:r>
      <w:bookmarkStart w:id="0" w:name="_GoBack"/>
      <w:bookmarkEnd w:id="0"/>
      <w:r>
        <w:rPr>
          <w:rFonts w:hint="eastAsia" w:ascii="Times New Roman" w:hAnsi="Times New Roman" w:eastAsia="宋体" w:cs="Times New Roman"/>
          <w:b w:val="0"/>
          <w:bCs w:val="0"/>
          <w:i w:val="0"/>
          <w:iCs w:val="0"/>
          <w:color w:val="000000" w:themeColor="text1"/>
          <w:kern w:val="2"/>
          <w:sz w:val="21"/>
          <w:szCs w:val="21"/>
          <w:highlight w:val="none"/>
          <w:lang w:val="en-US" w:eastAsia="zh-CN" w:bidi="ar-SA"/>
          <w14:textFill>
            <w14:solidFill>
              <w14:schemeClr w14:val="tx1"/>
            </w14:solidFill>
          </w14:textFill>
        </w:rPr>
        <w:t>parate questionnaire items in the main survey.</w:t>
      </w:r>
    </w:p>
    <w:p w14:paraId="65CE8529">
      <w:pPr>
        <w:rPr>
          <w:color w:val="000000" w:themeColor="text1"/>
          <w14:textFill>
            <w14:solidFill>
              <w14:schemeClr w14:val="tx1"/>
            </w14:solidFill>
          </w14:textFill>
        </w:rPr>
      </w:pPr>
    </w:p>
    <w:p w14:paraId="21CA7B9F">
      <w:pPr>
        <w:rPr>
          <w:color w:val="000000" w:themeColor="text1"/>
          <w14:textFill>
            <w14:solidFill>
              <w14:schemeClr w14:val="tx1"/>
            </w14:solidFill>
          </w14:textFill>
        </w:rPr>
      </w:pPr>
    </w:p>
    <w:p w14:paraId="01C2F6B7">
      <w:pPr>
        <w:pStyle w:val="2"/>
        <w:keepNext w:val="0"/>
        <w:keepLines w:val="0"/>
        <w:widowControl/>
        <w:suppressLineNumbers w:val="0"/>
        <w:rPr>
          <w:rFonts w:hint="eastAsia" w:ascii="Times New Roman" w:hAnsi="Times New Roman" w:eastAsia="宋体" w:cs="Times New Roman"/>
          <w:b/>
          <w:bCs/>
          <w:i/>
          <w:iCs/>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i/>
          <w:iCs/>
          <w:color w:val="000000" w:themeColor="text1"/>
          <w:kern w:val="2"/>
          <w:sz w:val="24"/>
          <w:szCs w:val="24"/>
          <w:highlight w:val="none"/>
          <w:lang w:val="en-US" w:eastAsia="zh-CN" w:bidi="ar-SA"/>
          <w14:textFill>
            <w14:solidFill>
              <w14:schemeClr w14:val="tx1"/>
            </w14:solidFill>
          </w14:textFill>
        </w:rPr>
        <w:t>Table S</w:t>
      </w:r>
      <w:r>
        <w:rPr>
          <w:rFonts w:hint="eastAsia" w:ascii="Times New Roman" w:hAnsi="Times New Roman" w:cs="Times New Roman"/>
          <w:b/>
          <w:bCs/>
          <w:i/>
          <w:iCs/>
          <w:color w:val="000000" w:themeColor="text1"/>
          <w:kern w:val="2"/>
          <w:sz w:val="24"/>
          <w:szCs w:val="24"/>
          <w:highlight w:val="none"/>
          <w:lang w:val="en-US" w:eastAsia="zh-CN" w:bidi="ar-SA"/>
          <w14:textFill>
            <w14:solidFill>
              <w14:schemeClr w14:val="tx1"/>
            </w14:solidFill>
          </w14:textFill>
        </w:rPr>
        <w:t>2</w:t>
      </w:r>
      <w:r>
        <w:rPr>
          <w:rFonts w:hint="eastAsia" w:ascii="Times New Roman" w:hAnsi="Times New Roman" w:eastAsia="宋体" w:cs="Times New Roman"/>
          <w:b/>
          <w:bCs/>
          <w:i/>
          <w:iCs/>
          <w:color w:val="000000" w:themeColor="text1"/>
          <w:kern w:val="2"/>
          <w:sz w:val="24"/>
          <w:szCs w:val="24"/>
          <w:highlight w:val="none"/>
          <w:lang w:val="en-US" w:eastAsia="zh-CN" w:bidi="ar-SA"/>
          <w14:textFill>
            <w14:solidFill>
              <w14:schemeClr w14:val="tx1"/>
            </w14:solidFill>
          </w14:textFill>
        </w:rPr>
        <w:t>. Operational criteria for the classification of participating cities according to healthcare resource availability and socioeconomic development.</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7"/>
        <w:gridCol w:w="1752"/>
        <w:gridCol w:w="2004"/>
        <w:gridCol w:w="2124"/>
        <w:gridCol w:w="1675"/>
      </w:tblGrid>
      <w:tr w14:paraId="14799A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Borders>
              <w:bottom w:val="single" w:color="auto" w:sz="4" w:space="0"/>
            </w:tcBorders>
            <w:vAlign w:val="center"/>
          </w:tcPr>
          <w:p w14:paraId="27F30D95">
            <w:pPr>
              <w:jc w:val="left"/>
              <w:rPr>
                <w:rFonts w:hint="eastAsia"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t>Level</w:t>
            </w:r>
          </w:p>
        </w:tc>
        <w:tc>
          <w:tcPr>
            <w:tcW w:w="1752" w:type="dxa"/>
            <w:tcBorders>
              <w:bottom w:val="single" w:color="auto" w:sz="4" w:space="0"/>
            </w:tcBorders>
            <w:vAlign w:val="center"/>
          </w:tcPr>
          <w:p w14:paraId="3E927BAE">
            <w:pPr>
              <w:jc w:val="left"/>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t>Health-institution beds</w:t>
            </w:r>
            <w:r>
              <w:rPr>
                <w:rFonts w:hint="eastAsia"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t xml:space="preserve"> (bed)</w:t>
            </w:r>
          </w:p>
        </w:tc>
        <w:tc>
          <w:tcPr>
            <w:tcW w:w="2004" w:type="dxa"/>
            <w:tcBorders>
              <w:bottom w:val="single" w:color="auto" w:sz="4" w:space="0"/>
            </w:tcBorders>
            <w:vAlign w:val="center"/>
          </w:tcPr>
          <w:p w14:paraId="4E1DE083">
            <w:pPr>
              <w:jc w:val="left"/>
              <w:rPr>
                <w:rFonts w:hint="eastAsia"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t>Medical technical personnel</w:t>
            </w:r>
            <w:r>
              <w:rPr>
                <w:rFonts w:hint="eastAsia"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t xml:space="preserve"> (person)</w:t>
            </w:r>
          </w:p>
        </w:tc>
        <w:tc>
          <w:tcPr>
            <w:tcW w:w="2124" w:type="dxa"/>
            <w:tcBorders>
              <w:bottom w:val="single" w:color="auto" w:sz="4" w:space="0"/>
            </w:tcBorders>
            <w:vAlign w:val="center"/>
          </w:tcPr>
          <w:p w14:paraId="57DB50F8">
            <w:pPr>
              <w:jc w:val="left"/>
              <w:rPr>
                <w:rFonts w:hint="eastAsia"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t>Gross regional product (</w:t>
            </w:r>
            <w:r>
              <w:rPr>
                <w:rFonts w:hint="eastAsia"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t>100 million yuan</w:t>
            </w:r>
            <w:r>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t>)</w:t>
            </w:r>
          </w:p>
        </w:tc>
        <w:tc>
          <w:tcPr>
            <w:tcW w:w="1675" w:type="dxa"/>
            <w:tcBorders>
              <w:bottom w:val="single" w:color="auto" w:sz="4" w:space="0"/>
            </w:tcBorders>
            <w:vAlign w:val="center"/>
          </w:tcPr>
          <w:p w14:paraId="1A1E6994">
            <w:pPr>
              <w:jc w:val="left"/>
              <w:rPr>
                <w:rFonts w:hint="eastAsia"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bCs w:val="0"/>
                <w:strike w:val="0"/>
                <w:dstrike w:val="0"/>
                <w:color w:val="000000" w:themeColor="text1"/>
                <w:szCs w:val="21"/>
                <w:highlight w:val="none"/>
                <w:lang w:val="en-US" w:eastAsia="zh-CN"/>
                <w14:textFill>
                  <w14:solidFill>
                    <w14:schemeClr w14:val="tx1"/>
                  </w14:solidFill>
                </w14:textFill>
              </w:rPr>
              <w:t>No. of participating cities</w:t>
            </w:r>
          </w:p>
        </w:tc>
      </w:tr>
      <w:tr w14:paraId="3E2076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Borders>
              <w:top w:val="single" w:color="auto" w:sz="4" w:space="0"/>
            </w:tcBorders>
            <w:vAlign w:val="center"/>
          </w:tcPr>
          <w:p w14:paraId="6B0ED466">
            <w:pPr>
              <w:jc w:val="left"/>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High</w:t>
            </w:r>
          </w:p>
        </w:tc>
        <w:tc>
          <w:tcPr>
            <w:tcW w:w="1752" w:type="dxa"/>
            <w:tcBorders>
              <w:top w:val="single" w:color="auto" w:sz="4" w:space="0"/>
            </w:tcBorders>
            <w:vAlign w:val="center"/>
          </w:tcPr>
          <w:p w14:paraId="519CDAF7">
            <w:pPr>
              <w:jc w:val="left"/>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≥50000</w:t>
            </w:r>
          </w:p>
        </w:tc>
        <w:tc>
          <w:tcPr>
            <w:tcW w:w="2004" w:type="dxa"/>
            <w:tcBorders>
              <w:top w:val="single" w:color="auto" w:sz="4" w:space="0"/>
            </w:tcBorders>
            <w:vAlign w:val="center"/>
          </w:tcPr>
          <w:p w14:paraId="65C8C9D2">
            <w:pPr>
              <w:jc w:val="left"/>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≥50000</w:t>
            </w:r>
          </w:p>
        </w:tc>
        <w:tc>
          <w:tcPr>
            <w:tcW w:w="2124" w:type="dxa"/>
            <w:tcBorders>
              <w:top w:val="single" w:color="auto" w:sz="4" w:space="0"/>
            </w:tcBorders>
            <w:vAlign w:val="center"/>
          </w:tcPr>
          <w:p w14:paraId="22BBFCCD">
            <w:pPr>
              <w:jc w:val="left"/>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≥3000</w:t>
            </w:r>
          </w:p>
        </w:tc>
        <w:tc>
          <w:tcPr>
            <w:tcW w:w="1675" w:type="dxa"/>
            <w:tcBorders>
              <w:top w:val="single" w:color="auto" w:sz="4" w:space="0"/>
            </w:tcBorders>
            <w:vAlign w:val="center"/>
          </w:tcPr>
          <w:p w14:paraId="755B1A49">
            <w:pPr>
              <w:jc w:val="left"/>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1</w:t>
            </w:r>
          </w:p>
        </w:tc>
      </w:tr>
      <w:tr w14:paraId="4918B0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vAlign w:val="center"/>
          </w:tcPr>
          <w:p w14:paraId="6C45CAF7">
            <w:pPr>
              <w:jc w:val="left"/>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Medium</w:t>
            </w:r>
          </w:p>
        </w:tc>
        <w:tc>
          <w:tcPr>
            <w:tcW w:w="1752" w:type="dxa"/>
            <w:vAlign w:val="center"/>
          </w:tcPr>
          <w:p w14:paraId="6675DE58">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1</w:t>
            </w:r>
            <w:r>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5</w:t>
            </w: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000</w:t>
            </w:r>
            <w:r>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&lt;50000</w:t>
            </w:r>
          </w:p>
        </w:tc>
        <w:tc>
          <w:tcPr>
            <w:tcW w:w="2004" w:type="dxa"/>
            <w:vAlign w:val="center"/>
          </w:tcPr>
          <w:p w14:paraId="7A67F53C">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1</w:t>
            </w:r>
            <w:r>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5</w:t>
            </w: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,000</w:t>
            </w:r>
            <w:r>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&lt;50000</w:t>
            </w:r>
          </w:p>
        </w:tc>
        <w:tc>
          <w:tcPr>
            <w:tcW w:w="2124" w:type="dxa"/>
            <w:vAlign w:val="center"/>
          </w:tcPr>
          <w:p w14:paraId="60BED9C7">
            <w:pPr>
              <w:jc w:val="left"/>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800</w:t>
            </w:r>
            <w:r>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&lt;3000</w:t>
            </w:r>
          </w:p>
        </w:tc>
        <w:tc>
          <w:tcPr>
            <w:tcW w:w="1675" w:type="dxa"/>
            <w:vAlign w:val="center"/>
          </w:tcPr>
          <w:p w14:paraId="2D42791D">
            <w:pPr>
              <w:jc w:val="left"/>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4</w:t>
            </w:r>
          </w:p>
        </w:tc>
      </w:tr>
      <w:tr w14:paraId="2EC2D4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vAlign w:val="center"/>
          </w:tcPr>
          <w:p w14:paraId="2FEDFA6D">
            <w:pPr>
              <w:jc w:val="left"/>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Low</w:t>
            </w:r>
          </w:p>
        </w:tc>
        <w:tc>
          <w:tcPr>
            <w:tcW w:w="1752" w:type="dxa"/>
            <w:vAlign w:val="center"/>
          </w:tcPr>
          <w:p w14:paraId="1460260B">
            <w:pPr>
              <w:jc w:val="left"/>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1</w:t>
            </w:r>
            <w:r>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5</w:t>
            </w: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000</w:t>
            </w:r>
          </w:p>
        </w:tc>
        <w:tc>
          <w:tcPr>
            <w:tcW w:w="2004" w:type="dxa"/>
            <w:vAlign w:val="center"/>
          </w:tcPr>
          <w:p w14:paraId="37EE788F">
            <w:pPr>
              <w:jc w:val="left"/>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1</w:t>
            </w:r>
            <w:r>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5</w:t>
            </w: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000</w:t>
            </w:r>
          </w:p>
        </w:tc>
        <w:tc>
          <w:tcPr>
            <w:tcW w:w="2124" w:type="dxa"/>
            <w:vAlign w:val="center"/>
          </w:tcPr>
          <w:p w14:paraId="10536152">
            <w:pPr>
              <w:jc w:val="left"/>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800</w:t>
            </w:r>
          </w:p>
        </w:tc>
        <w:tc>
          <w:tcPr>
            <w:tcW w:w="1675" w:type="dxa"/>
            <w:vAlign w:val="center"/>
          </w:tcPr>
          <w:p w14:paraId="0E73A690">
            <w:pPr>
              <w:jc w:val="left"/>
              <w:rPr>
                <w:rFonts w:hint="eastAsia"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val="0"/>
                <w:bCs/>
                <w:strike w:val="0"/>
                <w:dstrike w:val="0"/>
                <w:color w:val="000000" w:themeColor="text1"/>
                <w:szCs w:val="21"/>
                <w:highlight w:val="none"/>
                <w:lang w:val="en-US" w:eastAsia="zh-CN"/>
                <w14:textFill>
                  <w14:solidFill>
                    <w14:schemeClr w14:val="tx1"/>
                  </w14:solidFill>
                </w14:textFill>
              </w:rPr>
              <w:t>4</w:t>
            </w:r>
          </w:p>
        </w:tc>
      </w:tr>
    </w:tbl>
    <w:p w14:paraId="249C6819">
      <w:pPr>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b/>
          <w:bCs/>
          <w:i w:val="0"/>
          <w:iCs w:val="0"/>
          <w:color w:val="000000" w:themeColor="text1"/>
          <w:kern w:val="2"/>
          <w:sz w:val="21"/>
          <w:szCs w:val="21"/>
          <w:highlight w:val="none"/>
          <w:lang w:val="en-US" w:eastAsia="zh-CN" w:bidi="ar-SA"/>
          <w14:textFill>
            <w14:solidFill>
              <w14:schemeClr w14:val="tx1"/>
            </w14:solidFill>
          </w14:textFill>
        </w:rPr>
        <w:t xml:space="preserve">Note: </w:t>
      </w:r>
      <w:r>
        <w:rPr>
          <w:rFonts w:hint="eastAsia" w:ascii="Times New Roman" w:hAnsi="Times New Roman" w:eastAsia="宋体" w:cs="Times New Roman"/>
          <w:b w:val="0"/>
          <w:bCs w:val="0"/>
          <w:i w:val="0"/>
          <w:iCs w:val="0"/>
          <w:color w:val="000000" w:themeColor="text1"/>
          <w:kern w:val="2"/>
          <w:sz w:val="21"/>
          <w:szCs w:val="21"/>
          <w:highlight w:val="none"/>
          <w:lang w:val="en-US" w:eastAsia="zh-CN" w:bidi="ar-SA"/>
          <w14:textFill>
            <w14:solidFill>
              <w14:schemeClr w14:val="tx1"/>
            </w14:solidFill>
          </w14:textFill>
        </w:rPr>
        <w:t>Healthcare resource availability was assessed using the number of beds in health institutions and medical technical personnel, while socioeconomic development was assessed using gross regional product (GRP). City resource level was assigned according to the category indicated by at least two of the three indicators (majority rule). Cutoffs were study-specific and based on observed gaps among the nine participating cities rather than official classification standards. City names are omitted to reduce the risk of institutional identification.</w:t>
      </w:r>
    </w:p>
    <w:p w14:paraId="312C3A60">
      <w:pPr>
        <w:rPr>
          <w:rFonts w:hint="eastAsia" w:ascii="Times New Roman" w:hAnsi="Times New Roman" w:eastAsia="宋体" w:cs="Times New Roman"/>
          <w:b w:val="0"/>
          <w:bCs w:val="0"/>
          <w:i w:val="0"/>
          <w:iCs w:val="0"/>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i w:val="0"/>
          <w:iCs w:val="0"/>
          <w:color w:val="000000" w:themeColor="text1"/>
          <w:kern w:val="2"/>
          <w:sz w:val="21"/>
          <w:szCs w:val="21"/>
          <w:highlight w:val="none"/>
          <w:lang w:val="en-US" w:eastAsia="zh-CN" w:bidi="ar-SA"/>
          <w14:textFill>
            <w14:solidFill>
              <w14:schemeClr w14:val="tx1"/>
            </w14:solidFill>
          </w14:textFill>
        </w:rPr>
        <w:t xml:space="preserve">Source: </w:t>
      </w:r>
      <w:r>
        <w:rPr>
          <w:rFonts w:hint="eastAsia" w:ascii="Times New Roman" w:hAnsi="Times New Roman" w:eastAsia="宋体" w:cs="Times New Roman"/>
          <w:b w:val="0"/>
          <w:bCs w:val="0"/>
          <w:i w:val="0"/>
          <w:iCs w:val="0"/>
          <w:color w:val="000000" w:themeColor="text1"/>
          <w:kern w:val="2"/>
          <w:sz w:val="21"/>
          <w:szCs w:val="21"/>
          <w:highlight w:val="none"/>
          <w:lang w:val="en-US" w:eastAsia="zh-CN" w:bidi="ar-SA"/>
          <w14:textFill>
            <w14:solidFill>
              <w14:schemeClr w14:val="tx1"/>
            </w14:solidFill>
          </w14:textFill>
        </w:rPr>
        <w:t>Heilongjiang Statistical Yearbook 2024, Tables 18-24 and 3-7 (2023 data).</w:t>
      </w:r>
    </w:p>
    <w:p w14:paraId="6D6E2A6F"/>
    <w:p w14:paraId="5AA52F5F"/>
    <w:p w14:paraId="242198B0">
      <w:pPr>
        <w:pStyle w:val="2"/>
        <w:keepNext w:val="0"/>
        <w:keepLines w:val="0"/>
        <w:widowControl/>
        <w:suppressLineNumbers w:val="0"/>
        <w:rPr>
          <w:rFonts w:hint="eastAsia" w:ascii="Times New Roman" w:hAnsi="Times New Roman" w:eastAsia="宋体" w:cs="Times New Roman"/>
          <w:b/>
          <w:bCs/>
          <w:i/>
          <w:iCs/>
          <w:color w:val="auto"/>
          <w:kern w:val="2"/>
          <w:sz w:val="24"/>
          <w:szCs w:val="24"/>
          <w:highlight w:val="none"/>
          <w:lang w:val="en-US" w:eastAsia="zh-CN" w:bidi="ar-SA"/>
        </w:rPr>
      </w:pPr>
      <w:r>
        <w:rPr>
          <w:rFonts w:hint="eastAsia" w:ascii="Times New Roman" w:hAnsi="Times New Roman" w:eastAsia="宋体" w:cs="Times New Roman"/>
          <w:b/>
          <w:bCs/>
          <w:i/>
          <w:iCs/>
          <w:color w:val="auto"/>
          <w:kern w:val="2"/>
          <w:sz w:val="24"/>
          <w:szCs w:val="24"/>
          <w:highlight w:val="none"/>
          <w:lang w:val="en-US" w:eastAsia="zh-CN" w:bidi="ar-SA"/>
        </w:rPr>
        <w:t>Table S</w:t>
      </w:r>
      <w:r>
        <w:rPr>
          <w:rFonts w:hint="eastAsia" w:ascii="Times New Roman" w:hAnsi="Times New Roman" w:cs="Times New Roman"/>
          <w:b/>
          <w:bCs/>
          <w:i/>
          <w:iCs/>
          <w:color w:val="auto"/>
          <w:kern w:val="2"/>
          <w:sz w:val="24"/>
          <w:szCs w:val="24"/>
          <w:highlight w:val="none"/>
          <w:lang w:val="en-US" w:eastAsia="zh-CN" w:bidi="ar-SA"/>
        </w:rPr>
        <w:t>3</w:t>
      </w:r>
      <w:r>
        <w:rPr>
          <w:rFonts w:hint="eastAsia" w:ascii="Times New Roman" w:hAnsi="Times New Roman" w:eastAsia="宋体" w:cs="Times New Roman"/>
          <w:b/>
          <w:bCs/>
          <w:i/>
          <w:iCs/>
          <w:color w:val="auto"/>
          <w:kern w:val="2"/>
          <w:sz w:val="24"/>
          <w:szCs w:val="24"/>
          <w:highlight w:val="none"/>
          <w:lang w:val="en-US" w:eastAsia="zh-CN" w:bidi="ar-SA"/>
        </w:rPr>
        <w:t>. Collinearity diagnostics for work experience and professional title</w:t>
      </w:r>
    </w:p>
    <w:tbl>
      <w:tblPr>
        <w:tblStyle w:val="5"/>
        <w:tblW w:w="8295"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62"/>
        <w:gridCol w:w="733"/>
        <w:gridCol w:w="2227"/>
        <w:gridCol w:w="973"/>
      </w:tblGrid>
      <w:tr w14:paraId="42D69D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2" w:type="dxa"/>
            <w:tcBorders>
              <w:bottom w:val="single" w:color="auto" w:sz="4" w:space="0"/>
            </w:tcBorders>
            <w:vAlign w:val="center"/>
          </w:tcPr>
          <w:p w14:paraId="4725657D">
            <w:pPr>
              <w:jc w:val="left"/>
              <w:rPr>
                <w:rFonts w:hint="eastAsia" w:ascii="Times New Roman" w:hAnsi="Times New Roman" w:eastAsia="宋体" w:cs="Times New Roman"/>
                <w:b/>
                <w:bCs w:val="0"/>
                <w:color w:val="auto"/>
                <w:szCs w:val="21"/>
                <w:highlight w:val="none"/>
                <w:lang w:val="en-US" w:eastAsia="zh-CN"/>
              </w:rPr>
            </w:pPr>
            <w:r>
              <w:rPr>
                <w:rFonts w:hint="default" w:ascii="Times New Roman" w:hAnsi="Times New Roman" w:eastAsia="宋体" w:cs="Times New Roman"/>
                <w:b/>
                <w:bCs w:val="0"/>
                <w:color w:val="auto"/>
                <w:szCs w:val="21"/>
                <w:highlight w:val="none"/>
                <w:lang w:val="en-US" w:eastAsia="zh-CN"/>
              </w:rPr>
              <w:t>Analysis</w:t>
            </w:r>
          </w:p>
        </w:tc>
        <w:tc>
          <w:tcPr>
            <w:tcW w:w="733" w:type="dxa"/>
            <w:tcBorders>
              <w:bottom w:val="single" w:color="auto" w:sz="4" w:space="0"/>
            </w:tcBorders>
            <w:vAlign w:val="center"/>
          </w:tcPr>
          <w:p w14:paraId="285BE3E9">
            <w:pPr>
              <w:jc w:val="left"/>
              <w:rPr>
                <w:rFonts w:hint="eastAsia" w:ascii="Times New Roman" w:hAnsi="Times New Roman" w:eastAsia="宋体" w:cs="Times New Roman"/>
                <w:b/>
                <w:bCs w:val="0"/>
                <w:color w:val="auto"/>
                <w:szCs w:val="21"/>
                <w:highlight w:val="none"/>
                <w:lang w:val="en-US" w:eastAsia="zh-CN"/>
              </w:rPr>
            </w:pPr>
            <w:r>
              <w:rPr>
                <w:rFonts w:hint="default" w:ascii="Times New Roman" w:hAnsi="Times New Roman" w:eastAsia="宋体" w:cs="Times New Roman"/>
                <w:b/>
                <w:bCs w:val="0"/>
                <w:color w:val="auto"/>
                <w:szCs w:val="21"/>
                <w:highlight w:val="none"/>
                <w:lang w:val="en-US" w:eastAsia="zh-CN"/>
              </w:rPr>
              <w:t>N</w:t>
            </w:r>
          </w:p>
        </w:tc>
        <w:tc>
          <w:tcPr>
            <w:tcW w:w="2227" w:type="dxa"/>
            <w:tcBorders>
              <w:bottom w:val="single" w:color="auto" w:sz="4" w:space="0"/>
            </w:tcBorders>
            <w:vAlign w:val="center"/>
          </w:tcPr>
          <w:p w14:paraId="40EF4CF7">
            <w:pPr>
              <w:jc w:val="left"/>
              <w:rPr>
                <w:rFonts w:hint="eastAsia" w:ascii="Times New Roman" w:hAnsi="Times New Roman" w:eastAsia="宋体" w:cs="Times New Roman"/>
                <w:b/>
                <w:bCs w:val="0"/>
                <w:color w:val="auto"/>
                <w:szCs w:val="21"/>
                <w:highlight w:val="none"/>
                <w:lang w:val="en-US" w:eastAsia="zh-CN"/>
              </w:rPr>
            </w:pPr>
            <w:r>
              <w:rPr>
                <w:rFonts w:hint="default" w:ascii="Times New Roman" w:hAnsi="Times New Roman" w:eastAsia="宋体" w:cs="Times New Roman"/>
                <w:b/>
                <w:bCs w:val="0"/>
                <w:color w:val="auto"/>
                <w:szCs w:val="21"/>
                <w:highlight w:val="none"/>
                <w:lang w:val="en-US" w:eastAsia="zh-CN"/>
              </w:rPr>
              <w:t>Statistic</w:t>
            </w:r>
          </w:p>
        </w:tc>
        <w:tc>
          <w:tcPr>
            <w:tcW w:w="973" w:type="dxa"/>
            <w:tcBorders>
              <w:bottom w:val="single" w:color="auto" w:sz="4" w:space="0"/>
            </w:tcBorders>
            <w:vAlign w:val="center"/>
          </w:tcPr>
          <w:p w14:paraId="619EA86F">
            <w:pPr>
              <w:jc w:val="left"/>
              <w:rPr>
                <w:rFonts w:hint="eastAsia" w:ascii="Times New Roman" w:hAnsi="Times New Roman" w:eastAsia="宋体" w:cs="Times New Roman"/>
                <w:b/>
                <w:bCs w:val="0"/>
                <w:color w:val="auto"/>
                <w:szCs w:val="21"/>
                <w:highlight w:val="none"/>
                <w:lang w:val="en-US" w:eastAsia="zh-CN"/>
              </w:rPr>
            </w:pPr>
            <w:r>
              <w:rPr>
                <w:rFonts w:hint="default" w:ascii="Times New Roman" w:hAnsi="Times New Roman" w:eastAsia="宋体" w:cs="Times New Roman"/>
                <w:b/>
                <w:bCs w:val="0"/>
                <w:color w:val="auto"/>
                <w:szCs w:val="21"/>
                <w:highlight w:val="none"/>
                <w:lang w:val="en-US" w:eastAsia="zh-CN"/>
              </w:rPr>
              <w:t>P value</w:t>
            </w:r>
          </w:p>
        </w:tc>
      </w:tr>
      <w:tr w14:paraId="06FF33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2" w:type="dxa"/>
            <w:tcBorders>
              <w:top w:val="single" w:color="auto" w:sz="4" w:space="0"/>
            </w:tcBorders>
            <w:vAlign w:val="center"/>
          </w:tcPr>
          <w:p w14:paraId="4A098694">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Spearman correlation between categorized work experience and professional title</w:t>
            </w:r>
          </w:p>
        </w:tc>
        <w:tc>
          <w:tcPr>
            <w:tcW w:w="733" w:type="dxa"/>
            <w:tcBorders>
              <w:top w:val="single" w:color="auto" w:sz="4" w:space="0"/>
            </w:tcBorders>
            <w:vAlign w:val="center"/>
          </w:tcPr>
          <w:p w14:paraId="398C4845">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3,305</w:t>
            </w:r>
          </w:p>
        </w:tc>
        <w:tc>
          <w:tcPr>
            <w:tcW w:w="2227" w:type="dxa"/>
            <w:tcBorders>
              <w:top w:val="single" w:color="auto" w:sz="4" w:space="0"/>
            </w:tcBorders>
            <w:vAlign w:val="center"/>
          </w:tcPr>
          <w:p w14:paraId="71EFD7E9">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ρ = 0.675</w:t>
            </w:r>
          </w:p>
        </w:tc>
        <w:tc>
          <w:tcPr>
            <w:tcW w:w="973" w:type="dxa"/>
            <w:tcBorders>
              <w:top w:val="single" w:color="auto" w:sz="4" w:space="0"/>
            </w:tcBorders>
            <w:vAlign w:val="center"/>
          </w:tcPr>
          <w:p w14:paraId="3110D209">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&lt;0.001</w:t>
            </w:r>
          </w:p>
        </w:tc>
      </w:tr>
      <w:tr w14:paraId="368AC5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2" w:type="dxa"/>
            <w:vAlign w:val="center"/>
          </w:tcPr>
          <w:p w14:paraId="0E294986">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Maximum VIF across indicator terms</w:t>
            </w:r>
          </w:p>
        </w:tc>
        <w:tc>
          <w:tcPr>
            <w:tcW w:w="733" w:type="dxa"/>
            <w:vAlign w:val="center"/>
          </w:tcPr>
          <w:p w14:paraId="48AB2535">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3,408</w:t>
            </w:r>
          </w:p>
        </w:tc>
        <w:tc>
          <w:tcPr>
            <w:tcW w:w="2227" w:type="dxa"/>
            <w:vAlign w:val="center"/>
          </w:tcPr>
          <w:p w14:paraId="6BBACCAF">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Work experience: 3.27; professional title: 2.44</w:t>
            </w:r>
          </w:p>
        </w:tc>
        <w:tc>
          <w:tcPr>
            <w:tcW w:w="973" w:type="dxa"/>
            <w:vAlign w:val="center"/>
          </w:tcPr>
          <w:p w14:paraId="5D6B83AD">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w:t>
            </w:r>
          </w:p>
        </w:tc>
      </w:tr>
      <w:tr w14:paraId="114E0C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2" w:type="dxa"/>
            <w:vAlign w:val="center"/>
          </w:tcPr>
          <w:p w14:paraId="5A8D6E0D">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Model excluding work experience vs full model</w:t>
            </w:r>
          </w:p>
        </w:tc>
        <w:tc>
          <w:tcPr>
            <w:tcW w:w="733" w:type="dxa"/>
            <w:vAlign w:val="center"/>
          </w:tcPr>
          <w:p w14:paraId="1B43C733">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3,408</w:t>
            </w:r>
          </w:p>
        </w:tc>
        <w:tc>
          <w:tcPr>
            <w:tcW w:w="2227" w:type="dxa"/>
            <w:vAlign w:val="center"/>
          </w:tcPr>
          <w:p w14:paraId="6C716497">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LR χ²(3) = 3.35</w:t>
            </w:r>
          </w:p>
        </w:tc>
        <w:tc>
          <w:tcPr>
            <w:tcW w:w="973" w:type="dxa"/>
            <w:vAlign w:val="center"/>
          </w:tcPr>
          <w:p w14:paraId="43CABB27">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0.340</w:t>
            </w:r>
          </w:p>
        </w:tc>
      </w:tr>
      <w:tr w14:paraId="37CEBA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2" w:type="dxa"/>
            <w:vAlign w:val="center"/>
          </w:tcPr>
          <w:p w14:paraId="36237632">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Model excluding professional title vs full model</w:t>
            </w:r>
          </w:p>
        </w:tc>
        <w:tc>
          <w:tcPr>
            <w:tcW w:w="733" w:type="dxa"/>
            <w:vAlign w:val="center"/>
          </w:tcPr>
          <w:p w14:paraId="7C039AFD">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3,408</w:t>
            </w:r>
          </w:p>
        </w:tc>
        <w:tc>
          <w:tcPr>
            <w:tcW w:w="2227" w:type="dxa"/>
            <w:vAlign w:val="center"/>
          </w:tcPr>
          <w:p w14:paraId="0F66F6A1">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LR χ²(4) = 10.14</w:t>
            </w:r>
          </w:p>
        </w:tc>
        <w:tc>
          <w:tcPr>
            <w:tcW w:w="973" w:type="dxa"/>
            <w:vAlign w:val="center"/>
          </w:tcPr>
          <w:p w14:paraId="184D35AC">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0.038</w:t>
            </w:r>
          </w:p>
        </w:tc>
      </w:tr>
    </w:tbl>
    <w:p w14:paraId="64D2582B">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eastAsia" w:ascii="Times New Roman" w:hAnsi="Times New Roman" w:eastAsia="宋体" w:cs="Times New Roman"/>
          <w:b w:val="0"/>
          <w:bCs w:val="0"/>
          <w:i w:val="0"/>
          <w:iCs w:val="0"/>
          <w:color w:val="auto"/>
          <w:kern w:val="2"/>
          <w:sz w:val="21"/>
          <w:szCs w:val="21"/>
          <w:highlight w:val="none"/>
          <w:lang w:val="en-US" w:eastAsia="zh-CN" w:bidi="ar-SA"/>
        </w:rPr>
      </w:pPr>
      <w:r>
        <w:rPr>
          <w:rFonts w:hint="eastAsia" w:ascii="Times New Roman" w:hAnsi="Times New Roman" w:eastAsia="宋体" w:cs="Times New Roman"/>
          <w:b/>
          <w:bCs/>
          <w:i w:val="0"/>
          <w:iCs w:val="0"/>
          <w:color w:val="auto"/>
          <w:kern w:val="2"/>
          <w:sz w:val="21"/>
          <w:szCs w:val="21"/>
          <w:highlight w:val="none"/>
          <w:lang w:val="en-US" w:eastAsia="zh-CN" w:bidi="ar-SA"/>
        </w:rPr>
        <w:t xml:space="preserve">Notes: </w:t>
      </w:r>
      <w:r>
        <w:rPr>
          <w:rFonts w:hint="eastAsia" w:ascii="Times New Roman" w:hAnsi="Times New Roman" w:eastAsia="宋体" w:cs="Times New Roman"/>
          <w:b w:val="0"/>
          <w:bCs w:val="0"/>
          <w:i w:val="0"/>
          <w:iCs w:val="0"/>
          <w:color w:val="auto"/>
          <w:kern w:val="2"/>
          <w:sz w:val="21"/>
          <w:szCs w:val="21"/>
          <w:highlight w:val="none"/>
          <w:lang w:val="en-US" w:eastAsia="zh-CN" w:bidi="ar-SA"/>
        </w:rPr>
        <w:t xml:space="preserve">Work experience and professional title were entered as categorical variables using indicator coding. The adjusted GVIFs were 1.18 for work experience and 1.16 for professional title, indicating limited variance inflation. The </w:t>
      </w:r>
      <w:r>
        <w:rPr>
          <w:rFonts w:hint="default" w:ascii="Times New Roman" w:hAnsi="Times New Roman" w:eastAsia="宋体" w:cs="Times New Roman"/>
          <w:b w:val="0"/>
          <w:bCs w:val="0"/>
          <w:i w:val="0"/>
          <w:iCs w:val="0"/>
          <w:color w:val="auto"/>
          <w:kern w:val="2"/>
          <w:sz w:val="21"/>
          <w:szCs w:val="21"/>
          <w:highlight w:val="none"/>
          <w:lang w:val="en-US" w:eastAsia="zh-CN" w:bidi="ar-SA"/>
        </w:rPr>
        <w:t>“</w:t>
      </w:r>
      <w:r>
        <w:rPr>
          <w:rFonts w:hint="eastAsia" w:ascii="Times New Roman" w:hAnsi="Times New Roman" w:eastAsia="宋体" w:cs="Times New Roman"/>
          <w:b w:val="0"/>
          <w:bCs w:val="0"/>
          <w:i w:val="0"/>
          <w:iCs w:val="0"/>
          <w:color w:val="auto"/>
          <w:kern w:val="2"/>
          <w:sz w:val="21"/>
          <w:szCs w:val="21"/>
          <w:highlight w:val="none"/>
          <w:lang w:val="en-US" w:eastAsia="zh-CN" w:bidi="ar-SA"/>
        </w:rPr>
        <w:t>Other</w:t>
      </w:r>
      <w:r>
        <w:rPr>
          <w:rFonts w:hint="default" w:ascii="Times New Roman" w:hAnsi="Times New Roman" w:eastAsia="宋体" w:cs="Times New Roman"/>
          <w:b w:val="0"/>
          <w:bCs w:val="0"/>
          <w:i w:val="0"/>
          <w:iCs w:val="0"/>
          <w:color w:val="auto"/>
          <w:kern w:val="2"/>
          <w:sz w:val="21"/>
          <w:szCs w:val="21"/>
          <w:highlight w:val="none"/>
          <w:lang w:val="en-US" w:eastAsia="zh-CN" w:bidi="ar-SA"/>
        </w:rPr>
        <w:t>”</w:t>
      </w:r>
      <w:r>
        <w:rPr>
          <w:rFonts w:hint="eastAsia" w:ascii="Times New Roman" w:hAnsi="Times New Roman" w:eastAsia="宋体" w:cs="Times New Roman"/>
          <w:b w:val="0"/>
          <w:bCs w:val="0"/>
          <w:i w:val="0"/>
          <w:iCs w:val="0"/>
          <w:color w:val="auto"/>
          <w:kern w:val="2"/>
          <w:sz w:val="21"/>
          <w:szCs w:val="21"/>
          <w:highlight w:val="none"/>
          <w:lang w:val="en-US" w:eastAsia="zh-CN" w:bidi="ar-SA"/>
        </w:rPr>
        <w:t xml:space="preserve"> professional-title category was excluded from the Spearman correlation because it could not be meaningfully ranked; all regression-based analyses included 3,408 participants. LR, likelihood ratio; VIF, variance inflation factor; GVIF, generalized variance inflation factor.</w:t>
      </w:r>
    </w:p>
    <w:p w14:paraId="552ED4D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eastAsia" w:ascii="Times New Roman" w:hAnsi="Times New Roman" w:eastAsia="宋体" w:cs="Times New Roman"/>
          <w:b w:val="0"/>
          <w:bCs w:val="0"/>
          <w:i w:val="0"/>
          <w:iCs w:val="0"/>
          <w:color w:val="auto"/>
          <w:kern w:val="2"/>
          <w:sz w:val="21"/>
          <w:szCs w:val="21"/>
          <w:highlight w:val="none"/>
          <w:lang w:val="en-US" w:eastAsia="zh-CN" w:bidi="ar-SA"/>
        </w:rPr>
      </w:pPr>
    </w:p>
    <w:p w14:paraId="2C9623F7">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eastAsia" w:ascii="Times New Roman" w:hAnsi="Times New Roman" w:eastAsia="宋体" w:cs="Times New Roman"/>
          <w:b w:val="0"/>
          <w:bCs w:val="0"/>
          <w:i w:val="0"/>
          <w:iCs w:val="0"/>
          <w:color w:val="auto"/>
          <w:kern w:val="2"/>
          <w:sz w:val="21"/>
          <w:szCs w:val="21"/>
          <w:highlight w:val="none"/>
          <w:lang w:val="en-US" w:eastAsia="zh-CN" w:bidi="ar-SA"/>
        </w:rPr>
      </w:pPr>
    </w:p>
    <w:p w14:paraId="5D741E7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eastAsia" w:ascii="Times New Roman" w:hAnsi="Times New Roman" w:eastAsia="宋体" w:cs="Times New Roman"/>
          <w:b w:val="0"/>
          <w:bCs w:val="0"/>
          <w:i w:val="0"/>
          <w:iCs w:val="0"/>
          <w:color w:val="auto"/>
          <w:kern w:val="2"/>
          <w:sz w:val="21"/>
          <w:szCs w:val="21"/>
          <w:highlight w:val="none"/>
          <w:lang w:val="en-US" w:eastAsia="zh-CN" w:bidi="ar-SA"/>
        </w:rPr>
      </w:pPr>
    </w:p>
    <w:p w14:paraId="56ADDFF8">
      <w:pPr>
        <w:pStyle w:val="2"/>
        <w:keepNext w:val="0"/>
        <w:keepLines w:val="0"/>
        <w:widowControl/>
        <w:suppressLineNumbers w:val="0"/>
        <w:rPr>
          <w:rFonts w:hint="eastAsia" w:ascii="Times New Roman" w:hAnsi="Times New Roman" w:eastAsia="宋体" w:cs="Times New Roman"/>
          <w:b/>
          <w:bCs/>
          <w:i/>
          <w:iCs/>
          <w:color w:val="auto"/>
          <w:kern w:val="2"/>
          <w:sz w:val="24"/>
          <w:szCs w:val="24"/>
          <w:highlight w:val="none"/>
          <w:lang w:val="en-US" w:eastAsia="zh-CN" w:bidi="ar-SA"/>
        </w:rPr>
      </w:pPr>
      <w:r>
        <w:rPr>
          <w:rFonts w:hint="eastAsia" w:ascii="Times New Roman" w:hAnsi="Times New Roman" w:eastAsia="宋体" w:cs="Times New Roman"/>
          <w:b/>
          <w:bCs/>
          <w:i/>
          <w:iCs/>
          <w:color w:val="auto"/>
          <w:kern w:val="2"/>
          <w:sz w:val="24"/>
          <w:szCs w:val="24"/>
          <w:highlight w:val="none"/>
          <w:lang w:val="en-US" w:eastAsia="zh-CN" w:bidi="ar-SA"/>
        </w:rPr>
        <w:t>Table S</w:t>
      </w:r>
      <w:r>
        <w:rPr>
          <w:rFonts w:hint="eastAsia" w:ascii="Times New Roman" w:hAnsi="Times New Roman" w:cs="Times New Roman"/>
          <w:b/>
          <w:bCs/>
          <w:i/>
          <w:iCs/>
          <w:color w:val="auto"/>
          <w:kern w:val="2"/>
          <w:sz w:val="24"/>
          <w:szCs w:val="24"/>
          <w:highlight w:val="none"/>
          <w:lang w:val="en-US" w:eastAsia="zh-CN" w:bidi="ar-SA"/>
        </w:rPr>
        <w:t>4</w:t>
      </w:r>
      <w:r>
        <w:rPr>
          <w:rFonts w:hint="eastAsia" w:ascii="Times New Roman" w:hAnsi="Times New Roman" w:eastAsia="宋体" w:cs="Times New Roman"/>
          <w:b/>
          <w:bCs/>
          <w:i/>
          <w:iCs/>
          <w:color w:val="auto"/>
          <w:kern w:val="2"/>
          <w:sz w:val="24"/>
          <w:szCs w:val="24"/>
          <w:highlight w:val="none"/>
          <w:lang w:val="en-US" w:eastAsia="zh-CN" w:bidi="ar-SA"/>
        </w:rPr>
        <w:t>. Proportional odds assumption tests</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4413F2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0" w:type="dxa"/>
            <w:tcBorders>
              <w:bottom w:val="single" w:color="auto" w:sz="4" w:space="0"/>
            </w:tcBorders>
            <w:vAlign w:val="center"/>
          </w:tcPr>
          <w:p w14:paraId="3E1BF014">
            <w:pPr>
              <w:jc w:val="left"/>
              <w:rPr>
                <w:rFonts w:hint="eastAsia" w:ascii="Times New Roman" w:hAnsi="Times New Roman" w:eastAsia="宋体" w:cs="Times New Roman"/>
                <w:b/>
                <w:color w:val="auto"/>
                <w:szCs w:val="21"/>
                <w:highlight w:val="none"/>
                <w:lang w:val="en-US" w:eastAsia="zh-CN"/>
              </w:rPr>
            </w:pPr>
            <w:r>
              <w:rPr>
                <w:rFonts w:hint="default" w:ascii="Times New Roman" w:hAnsi="Times New Roman" w:eastAsia="宋体" w:cs="Times New Roman"/>
                <w:b/>
                <w:color w:val="auto"/>
                <w:szCs w:val="21"/>
                <w:highlight w:val="none"/>
                <w:lang w:val="en-US" w:eastAsia="zh-CN"/>
              </w:rPr>
              <w:t>Outcome</w:t>
            </w:r>
          </w:p>
        </w:tc>
        <w:tc>
          <w:tcPr>
            <w:tcW w:w="1420" w:type="dxa"/>
            <w:tcBorders>
              <w:bottom w:val="single" w:color="auto" w:sz="4" w:space="0"/>
            </w:tcBorders>
            <w:vAlign w:val="center"/>
          </w:tcPr>
          <w:p w14:paraId="4F24F4F6">
            <w:pPr>
              <w:jc w:val="left"/>
              <w:rPr>
                <w:rFonts w:hint="eastAsia" w:ascii="Times New Roman" w:hAnsi="Times New Roman" w:eastAsia="宋体" w:cs="Times New Roman"/>
                <w:b/>
                <w:color w:val="auto"/>
                <w:szCs w:val="21"/>
                <w:highlight w:val="none"/>
                <w:lang w:val="en-US" w:eastAsia="zh-CN"/>
              </w:rPr>
            </w:pPr>
            <w:r>
              <w:rPr>
                <w:rFonts w:hint="default" w:ascii="Times New Roman" w:hAnsi="Times New Roman" w:eastAsia="宋体" w:cs="Times New Roman"/>
                <w:b/>
                <w:color w:val="auto"/>
                <w:szCs w:val="21"/>
                <w:highlight w:val="none"/>
                <w:lang w:val="en-US" w:eastAsia="zh-CN"/>
              </w:rPr>
              <w:t>N</w:t>
            </w:r>
          </w:p>
        </w:tc>
        <w:tc>
          <w:tcPr>
            <w:tcW w:w="1420" w:type="dxa"/>
            <w:tcBorders>
              <w:bottom w:val="single" w:color="auto" w:sz="4" w:space="0"/>
            </w:tcBorders>
            <w:vAlign w:val="center"/>
          </w:tcPr>
          <w:p w14:paraId="18A4CE02">
            <w:pPr>
              <w:jc w:val="left"/>
              <w:rPr>
                <w:rFonts w:hint="eastAsia" w:ascii="Times New Roman" w:hAnsi="Times New Roman" w:eastAsia="宋体" w:cs="Times New Roman"/>
                <w:b/>
                <w:color w:val="auto"/>
                <w:szCs w:val="21"/>
                <w:highlight w:val="none"/>
                <w:lang w:val="en-US" w:eastAsia="zh-CN"/>
              </w:rPr>
            </w:pPr>
            <w:r>
              <w:rPr>
                <w:rFonts w:hint="eastAsia" w:ascii="Times New Roman" w:hAnsi="Times New Roman" w:eastAsia="宋体" w:cs="Times New Roman"/>
                <w:b/>
                <w:color w:val="auto"/>
                <w:szCs w:val="21"/>
                <w:highlight w:val="none"/>
                <w:lang w:val="en-US" w:eastAsia="zh-CN"/>
              </w:rPr>
              <w:t>C</w:t>
            </w:r>
            <w:r>
              <w:rPr>
                <w:rFonts w:hint="default" w:ascii="Times New Roman" w:hAnsi="Times New Roman" w:eastAsia="宋体" w:cs="Times New Roman"/>
                <w:b/>
                <w:color w:val="auto"/>
                <w:szCs w:val="21"/>
                <w:highlight w:val="none"/>
                <w:lang w:val="en-US" w:eastAsia="zh-CN"/>
              </w:rPr>
              <w:t>ategories</w:t>
            </w:r>
          </w:p>
        </w:tc>
        <w:tc>
          <w:tcPr>
            <w:tcW w:w="1420" w:type="dxa"/>
            <w:tcBorders>
              <w:bottom w:val="single" w:color="auto" w:sz="4" w:space="0"/>
            </w:tcBorders>
            <w:vAlign w:val="center"/>
          </w:tcPr>
          <w:p w14:paraId="3D2C8363">
            <w:pPr>
              <w:jc w:val="left"/>
              <w:rPr>
                <w:rFonts w:hint="eastAsia" w:ascii="Times New Roman" w:hAnsi="Times New Roman" w:eastAsia="宋体" w:cs="Times New Roman"/>
                <w:b/>
                <w:color w:val="auto"/>
                <w:szCs w:val="21"/>
                <w:highlight w:val="none"/>
                <w:lang w:val="en-US" w:eastAsia="zh-CN"/>
              </w:rPr>
            </w:pPr>
            <w:r>
              <w:rPr>
                <w:rFonts w:hint="default" w:ascii="Times New Roman" w:hAnsi="Times New Roman" w:eastAsia="宋体" w:cs="Times New Roman"/>
                <w:b/>
                <w:color w:val="auto"/>
                <w:szCs w:val="21"/>
                <w:highlight w:val="none"/>
                <w:lang w:val="en-US" w:eastAsia="zh-CN"/>
              </w:rPr>
              <w:t>LR χ²</w:t>
            </w:r>
          </w:p>
        </w:tc>
        <w:tc>
          <w:tcPr>
            <w:tcW w:w="1421" w:type="dxa"/>
            <w:tcBorders>
              <w:bottom w:val="single" w:color="auto" w:sz="4" w:space="0"/>
            </w:tcBorders>
            <w:vAlign w:val="center"/>
          </w:tcPr>
          <w:p w14:paraId="30333D2A">
            <w:pPr>
              <w:jc w:val="left"/>
              <w:rPr>
                <w:rFonts w:hint="eastAsia" w:ascii="Times New Roman" w:hAnsi="Times New Roman" w:eastAsia="宋体" w:cs="Times New Roman"/>
                <w:b/>
                <w:color w:val="auto"/>
                <w:szCs w:val="21"/>
                <w:highlight w:val="none"/>
                <w:lang w:val="en-US" w:eastAsia="zh-CN"/>
              </w:rPr>
            </w:pPr>
            <w:r>
              <w:rPr>
                <w:rFonts w:hint="default" w:ascii="Times New Roman" w:hAnsi="Times New Roman" w:eastAsia="宋体" w:cs="Times New Roman"/>
                <w:b/>
                <w:color w:val="auto"/>
                <w:szCs w:val="21"/>
                <w:highlight w:val="none"/>
                <w:lang w:val="en-US" w:eastAsia="zh-CN"/>
              </w:rPr>
              <w:t>df</w:t>
            </w:r>
          </w:p>
        </w:tc>
        <w:tc>
          <w:tcPr>
            <w:tcW w:w="1421" w:type="dxa"/>
            <w:tcBorders>
              <w:bottom w:val="single" w:color="auto" w:sz="4" w:space="0"/>
            </w:tcBorders>
            <w:vAlign w:val="center"/>
          </w:tcPr>
          <w:p w14:paraId="67E8A75C">
            <w:pPr>
              <w:jc w:val="left"/>
              <w:rPr>
                <w:rFonts w:hint="eastAsia" w:ascii="Times New Roman" w:hAnsi="Times New Roman" w:eastAsia="宋体" w:cs="Times New Roman"/>
                <w:b/>
                <w:color w:val="auto"/>
                <w:szCs w:val="21"/>
                <w:highlight w:val="none"/>
                <w:lang w:val="en-US" w:eastAsia="zh-CN"/>
              </w:rPr>
            </w:pPr>
            <w:r>
              <w:rPr>
                <w:rFonts w:hint="eastAsia" w:ascii="Times New Roman" w:hAnsi="Times New Roman" w:eastAsia="宋体" w:cs="Times New Roman"/>
                <w:b/>
                <w:i/>
                <w:iCs/>
                <w:color w:val="auto"/>
                <w:szCs w:val="21"/>
                <w:highlight w:val="none"/>
                <w:lang w:val="en-US" w:eastAsia="zh-CN"/>
              </w:rPr>
              <w:t>P</w:t>
            </w:r>
            <w:r>
              <w:rPr>
                <w:rFonts w:hint="default" w:ascii="Times New Roman" w:hAnsi="Times New Roman" w:eastAsia="宋体" w:cs="Times New Roman"/>
                <w:b/>
                <w:i/>
                <w:iCs/>
                <w:color w:val="auto"/>
                <w:szCs w:val="21"/>
                <w:highlight w:val="none"/>
                <w:lang w:val="en-US" w:eastAsia="zh-CN"/>
              </w:rPr>
              <w:t xml:space="preserve"> </w:t>
            </w:r>
            <w:r>
              <w:rPr>
                <w:rFonts w:hint="default" w:ascii="Times New Roman" w:hAnsi="Times New Roman" w:eastAsia="宋体" w:cs="Times New Roman"/>
                <w:b/>
                <w:color w:val="auto"/>
                <w:szCs w:val="21"/>
                <w:highlight w:val="none"/>
                <w:lang w:val="en-US" w:eastAsia="zh-CN"/>
              </w:rPr>
              <w:t>value</w:t>
            </w:r>
          </w:p>
        </w:tc>
      </w:tr>
      <w:tr w14:paraId="48867A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0" w:type="dxa"/>
            <w:tcBorders>
              <w:top w:val="single" w:color="auto" w:sz="4" w:space="0"/>
            </w:tcBorders>
            <w:vAlign w:val="center"/>
          </w:tcPr>
          <w:p w14:paraId="0B206E7D">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WORRY</w:t>
            </w:r>
          </w:p>
        </w:tc>
        <w:tc>
          <w:tcPr>
            <w:tcW w:w="1420" w:type="dxa"/>
            <w:tcBorders>
              <w:top w:val="single" w:color="auto" w:sz="4" w:space="0"/>
            </w:tcBorders>
            <w:vAlign w:val="center"/>
          </w:tcPr>
          <w:p w14:paraId="37F64C92">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3,408</w:t>
            </w:r>
          </w:p>
        </w:tc>
        <w:tc>
          <w:tcPr>
            <w:tcW w:w="1420" w:type="dxa"/>
            <w:tcBorders>
              <w:top w:val="single" w:color="auto" w:sz="4" w:space="0"/>
            </w:tcBorders>
            <w:vAlign w:val="center"/>
          </w:tcPr>
          <w:p w14:paraId="63D0BE83">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5</w:t>
            </w:r>
          </w:p>
        </w:tc>
        <w:tc>
          <w:tcPr>
            <w:tcW w:w="1420" w:type="dxa"/>
            <w:tcBorders>
              <w:top w:val="single" w:color="auto" w:sz="4" w:space="0"/>
            </w:tcBorders>
            <w:vAlign w:val="center"/>
          </w:tcPr>
          <w:p w14:paraId="17F8302B">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249.11</w:t>
            </w:r>
          </w:p>
        </w:tc>
        <w:tc>
          <w:tcPr>
            <w:tcW w:w="1421" w:type="dxa"/>
            <w:tcBorders>
              <w:top w:val="single" w:color="auto" w:sz="4" w:space="0"/>
            </w:tcBorders>
            <w:vAlign w:val="center"/>
          </w:tcPr>
          <w:p w14:paraId="7370389B">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48</w:t>
            </w:r>
          </w:p>
        </w:tc>
        <w:tc>
          <w:tcPr>
            <w:tcW w:w="1421" w:type="dxa"/>
            <w:tcBorders>
              <w:top w:val="single" w:color="auto" w:sz="4" w:space="0"/>
            </w:tcBorders>
            <w:vAlign w:val="center"/>
          </w:tcPr>
          <w:p w14:paraId="3B790DE0">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&lt;0.001</w:t>
            </w:r>
          </w:p>
        </w:tc>
      </w:tr>
      <w:tr w14:paraId="223C5C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0" w:type="dxa"/>
            <w:vAlign w:val="center"/>
          </w:tcPr>
          <w:p w14:paraId="2E6F9BAF">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OFTEN</w:t>
            </w:r>
          </w:p>
        </w:tc>
        <w:tc>
          <w:tcPr>
            <w:tcW w:w="1420" w:type="dxa"/>
            <w:vAlign w:val="center"/>
          </w:tcPr>
          <w:p w14:paraId="5BF92D17">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3,408</w:t>
            </w:r>
          </w:p>
        </w:tc>
        <w:tc>
          <w:tcPr>
            <w:tcW w:w="1420" w:type="dxa"/>
            <w:vAlign w:val="center"/>
          </w:tcPr>
          <w:p w14:paraId="36E86E2E">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7</w:t>
            </w:r>
          </w:p>
        </w:tc>
        <w:tc>
          <w:tcPr>
            <w:tcW w:w="1420" w:type="dxa"/>
            <w:vAlign w:val="center"/>
          </w:tcPr>
          <w:p w14:paraId="56501168">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154.06</w:t>
            </w:r>
          </w:p>
        </w:tc>
        <w:tc>
          <w:tcPr>
            <w:tcW w:w="1421" w:type="dxa"/>
            <w:vAlign w:val="center"/>
          </w:tcPr>
          <w:p w14:paraId="5888A59A">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80</w:t>
            </w:r>
          </w:p>
        </w:tc>
        <w:tc>
          <w:tcPr>
            <w:tcW w:w="1421" w:type="dxa"/>
            <w:vAlign w:val="center"/>
          </w:tcPr>
          <w:p w14:paraId="299D5CC8">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&lt;0.001</w:t>
            </w:r>
          </w:p>
        </w:tc>
      </w:tr>
      <w:tr w14:paraId="012A95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0" w:type="dxa"/>
            <w:vAlign w:val="center"/>
          </w:tcPr>
          <w:p w14:paraId="0BFEF3A2">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VOICE</w:t>
            </w:r>
          </w:p>
        </w:tc>
        <w:tc>
          <w:tcPr>
            <w:tcW w:w="1420" w:type="dxa"/>
            <w:vAlign w:val="center"/>
          </w:tcPr>
          <w:p w14:paraId="588ED714">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3,408</w:t>
            </w:r>
          </w:p>
        </w:tc>
        <w:tc>
          <w:tcPr>
            <w:tcW w:w="1420" w:type="dxa"/>
            <w:vAlign w:val="center"/>
          </w:tcPr>
          <w:p w14:paraId="577D3BD1">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5</w:t>
            </w:r>
          </w:p>
        </w:tc>
        <w:tc>
          <w:tcPr>
            <w:tcW w:w="1420" w:type="dxa"/>
            <w:vAlign w:val="center"/>
          </w:tcPr>
          <w:p w14:paraId="3DB80CED">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239.47</w:t>
            </w:r>
          </w:p>
        </w:tc>
        <w:tc>
          <w:tcPr>
            <w:tcW w:w="1421" w:type="dxa"/>
            <w:vAlign w:val="center"/>
          </w:tcPr>
          <w:p w14:paraId="1C20338B">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48</w:t>
            </w:r>
          </w:p>
        </w:tc>
        <w:tc>
          <w:tcPr>
            <w:tcW w:w="1421" w:type="dxa"/>
            <w:vAlign w:val="center"/>
          </w:tcPr>
          <w:p w14:paraId="3C6825EE">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&lt;0.001</w:t>
            </w:r>
          </w:p>
        </w:tc>
      </w:tr>
      <w:tr w14:paraId="0765F1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0" w:type="dxa"/>
            <w:vAlign w:val="center"/>
          </w:tcPr>
          <w:p w14:paraId="516D4CAA">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CHILD</w:t>
            </w:r>
          </w:p>
        </w:tc>
        <w:tc>
          <w:tcPr>
            <w:tcW w:w="1420" w:type="dxa"/>
            <w:vAlign w:val="center"/>
          </w:tcPr>
          <w:p w14:paraId="33A63BE6">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3,112</w:t>
            </w:r>
          </w:p>
        </w:tc>
        <w:tc>
          <w:tcPr>
            <w:tcW w:w="1420" w:type="dxa"/>
            <w:vAlign w:val="center"/>
          </w:tcPr>
          <w:p w14:paraId="044DD860">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5</w:t>
            </w:r>
          </w:p>
        </w:tc>
        <w:tc>
          <w:tcPr>
            <w:tcW w:w="1420" w:type="dxa"/>
            <w:vAlign w:val="center"/>
          </w:tcPr>
          <w:p w14:paraId="0B4F71C9">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140.25</w:t>
            </w:r>
          </w:p>
        </w:tc>
        <w:tc>
          <w:tcPr>
            <w:tcW w:w="1421" w:type="dxa"/>
            <w:vAlign w:val="center"/>
          </w:tcPr>
          <w:p w14:paraId="3DB27943">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48</w:t>
            </w:r>
          </w:p>
        </w:tc>
        <w:tc>
          <w:tcPr>
            <w:tcW w:w="1421" w:type="dxa"/>
            <w:vAlign w:val="center"/>
          </w:tcPr>
          <w:p w14:paraId="11818CF4">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&lt;0.001</w:t>
            </w:r>
          </w:p>
        </w:tc>
      </w:tr>
      <w:tr w14:paraId="67AC11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0" w:type="dxa"/>
            <w:vAlign w:val="center"/>
          </w:tcPr>
          <w:p w14:paraId="3BFCF706">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AGAIN</w:t>
            </w:r>
          </w:p>
        </w:tc>
        <w:tc>
          <w:tcPr>
            <w:tcW w:w="1420" w:type="dxa"/>
            <w:vAlign w:val="center"/>
          </w:tcPr>
          <w:p w14:paraId="07DC5AF9">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3,408</w:t>
            </w:r>
          </w:p>
        </w:tc>
        <w:tc>
          <w:tcPr>
            <w:tcW w:w="1420" w:type="dxa"/>
            <w:vAlign w:val="center"/>
          </w:tcPr>
          <w:p w14:paraId="262B1A6D">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5</w:t>
            </w:r>
          </w:p>
        </w:tc>
        <w:tc>
          <w:tcPr>
            <w:tcW w:w="1420" w:type="dxa"/>
            <w:vAlign w:val="center"/>
          </w:tcPr>
          <w:p w14:paraId="632CABA1">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93.29</w:t>
            </w:r>
          </w:p>
        </w:tc>
        <w:tc>
          <w:tcPr>
            <w:tcW w:w="1421" w:type="dxa"/>
            <w:vAlign w:val="center"/>
          </w:tcPr>
          <w:p w14:paraId="5C8B2EE8">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48</w:t>
            </w:r>
          </w:p>
        </w:tc>
        <w:tc>
          <w:tcPr>
            <w:tcW w:w="1421" w:type="dxa"/>
            <w:vAlign w:val="center"/>
          </w:tcPr>
          <w:p w14:paraId="5D266ACA">
            <w:pPr>
              <w:jc w:val="left"/>
              <w:rPr>
                <w:rFonts w:hint="eastAsia"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&lt;0.001</w:t>
            </w:r>
          </w:p>
        </w:tc>
      </w:tr>
    </w:tbl>
    <w:p w14:paraId="70851D5F">
      <w:pPr>
        <w:rPr>
          <w:rFonts w:hint="eastAsia" w:ascii="Times New Roman" w:hAnsi="Times New Roman" w:eastAsia="宋体" w:cs="Times New Roman"/>
          <w:b w:val="0"/>
          <w:bCs w:val="0"/>
          <w:i w:val="0"/>
          <w:iCs w:val="0"/>
          <w:color w:val="auto"/>
          <w:kern w:val="2"/>
          <w:sz w:val="21"/>
          <w:szCs w:val="21"/>
          <w:highlight w:val="none"/>
          <w:lang w:val="en-US" w:eastAsia="zh-CN" w:bidi="ar-SA"/>
        </w:rPr>
      </w:pPr>
      <w:r>
        <w:rPr>
          <w:rFonts w:hint="eastAsia" w:ascii="Times New Roman" w:hAnsi="Times New Roman" w:eastAsia="宋体" w:cs="Times New Roman"/>
          <w:b/>
          <w:bCs/>
          <w:i w:val="0"/>
          <w:iCs w:val="0"/>
          <w:color w:val="auto"/>
          <w:kern w:val="2"/>
          <w:sz w:val="21"/>
          <w:szCs w:val="21"/>
          <w:highlight w:val="none"/>
          <w:lang w:val="en-US" w:eastAsia="zh-CN" w:bidi="ar-SA"/>
        </w:rPr>
        <w:t xml:space="preserve">Note: </w:t>
      </w:r>
      <w:r>
        <w:rPr>
          <w:rFonts w:hint="eastAsia" w:ascii="Times New Roman" w:hAnsi="Times New Roman" w:eastAsia="宋体" w:cs="Times New Roman"/>
          <w:b w:val="0"/>
          <w:bCs w:val="0"/>
          <w:i w:val="0"/>
          <w:iCs w:val="0"/>
          <w:color w:val="auto"/>
          <w:kern w:val="2"/>
          <w:sz w:val="21"/>
          <w:szCs w:val="21"/>
          <w:highlight w:val="none"/>
          <w:lang w:val="en-US" w:eastAsia="zh-CN" w:bidi="ar-SA"/>
        </w:rPr>
        <w:t>The proportional odds assumption was assessed using likelihood-ratio tests comparing the proportional-odds model with a model allowing category-specific coefficients. A significant result indicates that the proportional odds assumption was not met. CHILD analyses excluded 296 participants who selected “Not applicable/Other.” LR, likelihood ratio.</w:t>
      </w:r>
    </w:p>
    <w:p w14:paraId="09F6434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eastAsia" w:ascii="Times New Roman" w:hAnsi="Times New Roman" w:eastAsia="宋体" w:cs="Times New Roman"/>
          <w:b w:val="0"/>
          <w:bCs w:val="0"/>
          <w:i w:val="0"/>
          <w:iCs w:val="0"/>
          <w:color w:val="auto"/>
          <w:kern w:val="2"/>
          <w:sz w:val="21"/>
          <w:szCs w:val="21"/>
          <w:highlight w:val="none"/>
          <w:lang w:val="en-US" w:eastAsia="zh-CN" w:bidi="ar-SA"/>
        </w:rPr>
      </w:pPr>
    </w:p>
    <w:p w14:paraId="1D4B05CC"/>
    <w:p w14:paraId="7ADB9348"/>
    <w:p w14:paraId="34943FAC">
      <w:pPr>
        <w:pStyle w:val="2"/>
        <w:keepNext w:val="0"/>
        <w:keepLines w:val="0"/>
        <w:widowControl/>
        <w:suppressLineNumbers w:val="0"/>
        <w:rPr>
          <w:rFonts w:hint="eastAsia" w:ascii="Times New Roman" w:hAnsi="Times New Roman" w:eastAsia="宋体" w:cs="Times New Roman"/>
          <w:b/>
          <w:bCs/>
          <w:i/>
          <w:iCs/>
          <w:color w:val="auto"/>
          <w:kern w:val="2"/>
          <w:sz w:val="24"/>
          <w:szCs w:val="24"/>
          <w:highlight w:val="none"/>
          <w:lang w:val="en-US" w:eastAsia="zh-CN" w:bidi="ar-SA"/>
        </w:rPr>
      </w:pPr>
      <w:r>
        <w:rPr>
          <w:rFonts w:hint="eastAsia" w:ascii="Times New Roman" w:hAnsi="Times New Roman" w:eastAsia="宋体" w:cs="Times New Roman"/>
          <w:b/>
          <w:bCs/>
          <w:i/>
          <w:iCs/>
          <w:color w:val="auto"/>
          <w:kern w:val="2"/>
          <w:sz w:val="24"/>
          <w:szCs w:val="24"/>
          <w:highlight w:val="none"/>
          <w:lang w:val="en-US" w:eastAsia="zh-CN" w:bidi="ar-SA"/>
        </w:rPr>
        <w:t>Table S</w:t>
      </w:r>
      <w:r>
        <w:rPr>
          <w:rFonts w:hint="eastAsia" w:ascii="Times New Roman" w:hAnsi="Times New Roman" w:cs="Times New Roman"/>
          <w:b/>
          <w:bCs/>
          <w:i/>
          <w:iCs/>
          <w:color w:val="auto"/>
          <w:kern w:val="2"/>
          <w:sz w:val="24"/>
          <w:szCs w:val="24"/>
          <w:highlight w:val="none"/>
          <w:lang w:val="en-US" w:eastAsia="zh-CN" w:bidi="ar-SA"/>
        </w:rPr>
        <w:t>5</w:t>
      </w:r>
      <w:r>
        <w:rPr>
          <w:rFonts w:hint="eastAsia" w:ascii="Times New Roman" w:hAnsi="Times New Roman" w:eastAsia="宋体" w:cs="Times New Roman"/>
          <w:b/>
          <w:bCs/>
          <w:i/>
          <w:iCs/>
          <w:color w:val="auto"/>
          <w:kern w:val="2"/>
          <w:sz w:val="24"/>
          <w:szCs w:val="24"/>
          <w:highlight w:val="none"/>
          <w:lang w:val="en-US" w:eastAsia="zh-CN" w:bidi="ar-SA"/>
        </w:rPr>
        <w:t>. Sensitivity analysis additionally adjusting for department type</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95"/>
        <w:gridCol w:w="2360"/>
        <w:gridCol w:w="1694"/>
        <w:gridCol w:w="1773"/>
        <w:gridCol w:w="1600"/>
      </w:tblGrid>
      <w:tr w14:paraId="33F1E0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tcBorders>
              <w:bottom w:val="single" w:color="auto" w:sz="4" w:space="0"/>
            </w:tcBorders>
            <w:vAlign w:val="center"/>
          </w:tcPr>
          <w:p w14:paraId="5BF85F02">
            <w:pPr>
              <w:jc w:val="left"/>
              <w:rPr>
                <w:rFonts w:hint="default" w:ascii="Times New Roman" w:hAnsi="Times New Roman" w:eastAsia="宋体" w:cs="Times New Roman"/>
                <w:b/>
                <w:bCs w:val="0"/>
                <w:color w:val="auto"/>
                <w:szCs w:val="21"/>
                <w:highlight w:val="none"/>
                <w:lang w:val="en-US" w:eastAsia="zh-CN"/>
              </w:rPr>
            </w:pPr>
            <w:r>
              <w:rPr>
                <w:rFonts w:hint="default" w:ascii="Times New Roman" w:hAnsi="Times New Roman" w:eastAsia="宋体" w:cs="Times New Roman"/>
                <w:b/>
                <w:bCs w:val="0"/>
                <w:color w:val="auto"/>
                <w:szCs w:val="21"/>
                <w:highlight w:val="none"/>
                <w:lang w:val="en-US" w:eastAsia="zh-CN"/>
              </w:rPr>
              <w:t>Outcome</w:t>
            </w:r>
          </w:p>
        </w:tc>
        <w:tc>
          <w:tcPr>
            <w:tcW w:w="2360" w:type="dxa"/>
            <w:tcBorders>
              <w:bottom w:val="single" w:color="auto" w:sz="4" w:space="0"/>
            </w:tcBorders>
            <w:vAlign w:val="center"/>
          </w:tcPr>
          <w:p w14:paraId="27755013">
            <w:pPr>
              <w:jc w:val="left"/>
              <w:rPr>
                <w:rFonts w:hint="default" w:ascii="Times New Roman" w:hAnsi="Times New Roman" w:eastAsia="宋体" w:cs="Times New Roman"/>
                <w:b/>
                <w:bCs w:val="0"/>
                <w:color w:val="auto"/>
                <w:szCs w:val="21"/>
                <w:highlight w:val="none"/>
                <w:lang w:val="en-US" w:eastAsia="zh-CN"/>
              </w:rPr>
            </w:pPr>
            <w:r>
              <w:rPr>
                <w:rFonts w:hint="default" w:ascii="Times New Roman" w:hAnsi="Times New Roman" w:eastAsia="宋体" w:cs="Times New Roman"/>
                <w:b/>
                <w:bCs w:val="0"/>
                <w:color w:val="auto"/>
                <w:szCs w:val="21"/>
                <w:highlight w:val="none"/>
                <w:lang w:val="en-US" w:eastAsia="zh-CN"/>
              </w:rPr>
              <w:t>Category comparison</w:t>
            </w:r>
          </w:p>
        </w:tc>
        <w:tc>
          <w:tcPr>
            <w:tcW w:w="1694" w:type="dxa"/>
            <w:tcBorders>
              <w:bottom w:val="single" w:color="auto" w:sz="4" w:space="0"/>
            </w:tcBorders>
            <w:vAlign w:val="center"/>
          </w:tcPr>
          <w:p w14:paraId="33336975">
            <w:pPr>
              <w:jc w:val="left"/>
              <w:rPr>
                <w:rFonts w:hint="default" w:ascii="Times New Roman" w:hAnsi="Times New Roman" w:eastAsia="宋体" w:cs="Times New Roman"/>
                <w:b/>
                <w:bCs w:val="0"/>
                <w:color w:val="auto"/>
                <w:szCs w:val="21"/>
                <w:highlight w:val="none"/>
                <w:lang w:val="en-US" w:eastAsia="zh-CN"/>
              </w:rPr>
            </w:pPr>
            <w:r>
              <w:rPr>
                <w:rFonts w:hint="default" w:ascii="Times New Roman" w:hAnsi="Times New Roman" w:eastAsia="宋体" w:cs="Times New Roman"/>
                <w:b/>
                <w:bCs w:val="0"/>
                <w:color w:val="auto"/>
                <w:szCs w:val="21"/>
                <w:highlight w:val="none"/>
                <w:lang w:val="en-US" w:eastAsia="zh-CN"/>
              </w:rPr>
              <w:t>Primary model AOR (95% CI)</w:t>
            </w:r>
          </w:p>
        </w:tc>
        <w:tc>
          <w:tcPr>
            <w:tcW w:w="1773" w:type="dxa"/>
            <w:tcBorders>
              <w:bottom w:val="single" w:color="auto" w:sz="4" w:space="0"/>
            </w:tcBorders>
            <w:vAlign w:val="center"/>
          </w:tcPr>
          <w:p w14:paraId="12CD0C2D">
            <w:pPr>
              <w:jc w:val="left"/>
              <w:rPr>
                <w:rFonts w:hint="default" w:ascii="Times New Roman" w:hAnsi="Times New Roman" w:eastAsia="宋体" w:cs="Times New Roman"/>
                <w:b/>
                <w:bCs w:val="0"/>
                <w:color w:val="auto"/>
                <w:szCs w:val="21"/>
                <w:highlight w:val="none"/>
                <w:lang w:val="en-US" w:eastAsia="zh-CN"/>
              </w:rPr>
            </w:pPr>
            <w:r>
              <w:rPr>
                <w:rFonts w:hint="default" w:ascii="Times New Roman" w:hAnsi="Times New Roman" w:eastAsia="宋体" w:cs="Times New Roman"/>
                <w:b/>
                <w:bCs w:val="0"/>
                <w:color w:val="auto"/>
                <w:szCs w:val="21"/>
                <w:highlight w:val="none"/>
                <w:lang w:val="en-US" w:eastAsia="zh-CN"/>
              </w:rPr>
              <w:t>Department-adjusted model AOR (95% CI)</w:t>
            </w:r>
          </w:p>
        </w:tc>
        <w:tc>
          <w:tcPr>
            <w:tcW w:w="1600" w:type="dxa"/>
            <w:tcBorders>
              <w:bottom w:val="single" w:color="auto" w:sz="4" w:space="0"/>
            </w:tcBorders>
            <w:vAlign w:val="center"/>
          </w:tcPr>
          <w:p w14:paraId="6EAAE4E3">
            <w:pPr>
              <w:jc w:val="left"/>
              <w:rPr>
                <w:rFonts w:hint="default" w:ascii="Times New Roman" w:hAnsi="Times New Roman" w:eastAsia="宋体" w:cs="Times New Roman"/>
                <w:b/>
                <w:bCs w:val="0"/>
                <w:color w:val="auto"/>
                <w:szCs w:val="21"/>
                <w:highlight w:val="none"/>
                <w:lang w:val="en-US" w:eastAsia="zh-CN"/>
              </w:rPr>
            </w:pPr>
            <w:r>
              <w:rPr>
                <w:rFonts w:hint="default" w:ascii="Times New Roman" w:hAnsi="Times New Roman" w:eastAsia="宋体" w:cs="Times New Roman"/>
                <w:b/>
                <w:bCs w:val="0"/>
                <w:color w:val="auto"/>
                <w:szCs w:val="21"/>
                <w:highlight w:val="none"/>
                <w:lang w:val="en-US" w:eastAsia="zh-CN"/>
              </w:rPr>
              <w:t>Overall P, primary/sensitivity</w:t>
            </w:r>
          </w:p>
        </w:tc>
      </w:tr>
      <w:tr w14:paraId="2E22BD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restart"/>
            <w:tcBorders>
              <w:top w:val="single" w:color="auto" w:sz="4" w:space="0"/>
            </w:tcBorders>
            <w:vAlign w:val="top"/>
          </w:tcPr>
          <w:p w14:paraId="71EBD0D5">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WORRY</w:t>
            </w:r>
          </w:p>
        </w:tc>
        <w:tc>
          <w:tcPr>
            <w:tcW w:w="2360" w:type="dxa"/>
            <w:tcBorders>
              <w:top w:val="single" w:color="auto" w:sz="4" w:space="0"/>
            </w:tcBorders>
            <w:vAlign w:val="center"/>
          </w:tcPr>
          <w:p w14:paraId="067815EE">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Slightly worried vs Not worried at all</w:t>
            </w:r>
          </w:p>
        </w:tc>
        <w:tc>
          <w:tcPr>
            <w:tcW w:w="1694" w:type="dxa"/>
            <w:tcBorders>
              <w:top w:val="single" w:color="auto" w:sz="4" w:space="0"/>
            </w:tcBorders>
            <w:vAlign w:val="center"/>
          </w:tcPr>
          <w:p w14:paraId="46E3FA12">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0.71 (0.43–1.18)</w:t>
            </w:r>
          </w:p>
        </w:tc>
        <w:tc>
          <w:tcPr>
            <w:tcW w:w="1773" w:type="dxa"/>
            <w:tcBorders>
              <w:top w:val="single" w:color="auto" w:sz="4" w:space="0"/>
            </w:tcBorders>
            <w:vAlign w:val="center"/>
          </w:tcPr>
          <w:p w14:paraId="1162E41F">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0.74 (0.45–1.23)</w:t>
            </w:r>
          </w:p>
        </w:tc>
        <w:tc>
          <w:tcPr>
            <w:tcW w:w="1600" w:type="dxa"/>
            <w:tcBorders>
              <w:top w:val="single" w:color="auto" w:sz="4" w:space="0"/>
            </w:tcBorders>
            <w:vAlign w:val="center"/>
          </w:tcPr>
          <w:p w14:paraId="1F52695E">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&lt;0.001 / &lt;0.001</w:t>
            </w:r>
          </w:p>
        </w:tc>
      </w:tr>
      <w:tr w14:paraId="428F16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center"/>
          </w:tcPr>
          <w:p w14:paraId="127AE1E1">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6FC2ECB7">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Neutral vs Not worried at all</w:t>
            </w:r>
          </w:p>
        </w:tc>
        <w:tc>
          <w:tcPr>
            <w:tcW w:w="1694" w:type="dxa"/>
            <w:vAlign w:val="center"/>
          </w:tcPr>
          <w:p w14:paraId="7BA4E575">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1.93 (1.36–2.76)</w:t>
            </w:r>
          </w:p>
        </w:tc>
        <w:tc>
          <w:tcPr>
            <w:tcW w:w="1773" w:type="dxa"/>
            <w:vAlign w:val="center"/>
          </w:tcPr>
          <w:p w14:paraId="5561AB6D">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1.95 (1.36–2.78)</w:t>
            </w:r>
          </w:p>
        </w:tc>
        <w:tc>
          <w:tcPr>
            <w:tcW w:w="1600" w:type="dxa"/>
            <w:vAlign w:val="center"/>
          </w:tcPr>
          <w:p w14:paraId="07AEEC80">
            <w:pPr>
              <w:jc w:val="left"/>
              <w:rPr>
                <w:rFonts w:hint="default" w:ascii="Times New Roman" w:hAnsi="Times New Roman" w:eastAsia="宋体" w:cs="Times New Roman"/>
                <w:b w:val="0"/>
                <w:bCs/>
                <w:color w:val="auto"/>
                <w:szCs w:val="21"/>
                <w:highlight w:val="none"/>
                <w:lang w:val="en-US" w:eastAsia="zh-CN"/>
              </w:rPr>
            </w:pPr>
          </w:p>
        </w:tc>
      </w:tr>
      <w:tr w14:paraId="7017B5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center"/>
          </w:tcPr>
          <w:p w14:paraId="5644044E">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7316834E">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Worried vs Not worried at all</w:t>
            </w:r>
          </w:p>
        </w:tc>
        <w:tc>
          <w:tcPr>
            <w:tcW w:w="1694" w:type="dxa"/>
            <w:vAlign w:val="center"/>
          </w:tcPr>
          <w:p w14:paraId="611CDCB9">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1.05 (0.73–1.52)</w:t>
            </w:r>
          </w:p>
        </w:tc>
        <w:tc>
          <w:tcPr>
            <w:tcW w:w="1773" w:type="dxa"/>
            <w:vAlign w:val="center"/>
          </w:tcPr>
          <w:p w14:paraId="449374EB">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1.06 (0.73–1.53)</w:t>
            </w:r>
          </w:p>
        </w:tc>
        <w:tc>
          <w:tcPr>
            <w:tcW w:w="1600" w:type="dxa"/>
            <w:vAlign w:val="center"/>
          </w:tcPr>
          <w:p w14:paraId="3722BF91">
            <w:pPr>
              <w:jc w:val="left"/>
              <w:rPr>
                <w:rFonts w:hint="default" w:ascii="Times New Roman" w:hAnsi="Times New Roman" w:eastAsia="宋体" w:cs="Times New Roman"/>
                <w:b w:val="0"/>
                <w:bCs/>
                <w:color w:val="auto"/>
                <w:szCs w:val="21"/>
                <w:highlight w:val="none"/>
                <w:lang w:val="en-US" w:eastAsia="zh-CN"/>
              </w:rPr>
            </w:pPr>
          </w:p>
        </w:tc>
      </w:tr>
      <w:tr w14:paraId="6DBCF7B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center"/>
          </w:tcPr>
          <w:p w14:paraId="28C614FE">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1CF1EDAB">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Very worried vs Not worried at all</w:t>
            </w:r>
          </w:p>
        </w:tc>
        <w:tc>
          <w:tcPr>
            <w:tcW w:w="1694" w:type="dxa"/>
            <w:vAlign w:val="center"/>
          </w:tcPr>
          <w:p w14:paraId="4E6C2726">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1.44 (0.98–2.10)</w:t>
            </w:r>
          </w:p>
        </w:tc>
        <w:tc>
          <w:tcPr>
            <w:tcW w:w="1773" w:type="dxa"/>
            <w:vAlign w:val="center"/>
          </w:tcPr>
          <w:p w14:paraId="01DECDDE">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1.46 (0.99–2.13)</w:t>
            </w:r>
          </w:p>
        </w:tc>
        <w:tc>
          <w:tcPr>
            <w:tcW w:w="1600" w:type="dxa"/>
            <w:vAlign w:val="center"/>
          </w:tcPr>
          <w:p w14:paraId="3977FBBC">
            <w:pPr>
              <w:jc w:val="left"/>
              <w:rPr>
                <w:rFonts w:hint="default" w:ascii="Times New Roman" w:hAnsi="Times New Roman" w:eastAsia="宋体" w:cs="Times New Roman"/>
                <w:b w:val="0"/>
                <w:bCs/>
                <w:color w:val="auto"/>
                <w:szCs w:val="21"/>
                <w:highlight w:val="none"/>
                <w:lang w:val="en-US" w:eastAsia="zh-CN"/>
              </w:rPr>
            </w:pPr>
          </w:p>
        </w:tc>
      </w:tr>
      <w:tr w14:paraId="5B541E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restart"/>
            <w:vAlign w:val="top"/>
          </w:tcPr>
          <w:p w14:paraId="73E0CB92">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OFTEN</w:t>
            </w:r>
          </w:p>
        </w:tc>
        <w:tc>
          <w:tcPr>
            <w:tcW w:w="2360" w:type="dxa"/>
            <w:vAlign w:val="center"/>
          </w:tcPr>
          <w:p w14:paraId="278D9554">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Less than once/month vs Never</w:t>
            </w:r>
          </w:p>
        </w:tc>
        <w:tc>
          <w:tcPr>
            <w:tcW w:w="1694" w:type="dxa"/>
            <w:vAlign w:val="center"/>
          </w:tcPr>
          <w:p w14:paraId="4809BB62">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1.75 (1.33–2.31)</w:t>
            </w:r>
          </w:p>
        </w:tc>
        <w:tc>
          <w:tcPr>
            <w:tcW w:w="1773" w:type="dxa"/>
            <w:vAlign w:val="center"/>
          </w:tcPr>
          <w:p w14:paraId="7F3C296C">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1.76 (1.34–2.32)</w:t>
            </w:r>
          </w:p>
        </w:tc>
        <w:tc>
          <w:tcPr>
            <w:tcW w:w="1600" w:type="dxa"/>
            <w:vAlign w:val="center"/>
          </w:tcPr>
          <w:p w14:paraId="509EA850">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&lt;0.001 / &lt;0.001</w:t>
            </w:r>
          </w:p>
        </w:tc>
      </w:tr>
      <w:tr w14:paraId="53EC63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center"/>
          </w:tcPr>
          <w:p w14:paraId="698C678C">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6E1B3EB7">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Once/month vs Never</w:t>
            </w:r>
          </w:p>
        </w:tc>
        <w:tc>
          <w:tcPr>
            <w:tcW w:w="1694" w:type="dxa"/>
            <w:vAlign w:val="center"/>
          </w:tcPr>
          <w:p w14:paraId="784329C5">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2.09 (1.52–2.88)</w:t>
            </w:r>
          </w:p>
        </w:tc>
        <w:tc>
          <w:tcPr>
            <w:tcW w:w="1773" w:type="dxa"/>
            <w:vAlign w:val="center"/>
          </w:tcPr>
          <w:p w14:paraId="60E51E7A">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2.14 (1.55–2.95)</w:t>
            </w:r>
          </w:p>
        </w:tc>
        <w:tc>
          <w:tcPr>
            <w:tcW w:w="1600" w:type="dxa"/>
            <w:vAlign w:val="center"/>
          </w:tcPr>
          <w:p w14:paraId="1EE0E77D">
            <w:pPr>
              <w:jc w:val="left"/>
              <w:rPr>
                <w:rFonts w:hint="default" w:ascii="Times New Roman" w:hAnsi="Times New Roman" w:eastAsia="宋体" w:cs="Times New Roman"/>
                <w:b w:val="0"/>
                <w:bCs/>
                <w:color w:val="auto"/>
                <w:szCs w:val="21"/>
                <w:highlight w:val="none"/>
                <w:lang w:val="en-US" w:eastAsia="zh-CN"/>
              </w:rPr>
            </w:pPr>
          </w:p>
        </w:tc>
      </w:tr>
      <w:tr w14:paraId="71AF9D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center"/>
          </w:tcPr>
          <w:p w14:paraId="13E4C8E5">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13FFE15D">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2–3 times/month vs Never</w:t>
            </w:r>
          </w:p>
        </w:tc>
        <w:tc>
          <w:tcPr>
            <w:tcW w:w="1694" w:type="dxa"/>
            <w:vAlign w:val="center"/>
          </w:tcPr>
          <w:p w14:paraId="54DC18D9">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1.60 (0.99–2.60)</w:t>
            </w:r>
          </w:p>
        </w:tc>
        <w:tc>
          <w:tcPr>
            <w:tcW w:w="1773" w:type="dxa"/>
            <w:vAlign w:val="center"/>
          </w:tcPr>
          <w:p w14:paraId="3E6F9B64">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1.65 (1.01–2.69)</w:t>
            </w:r>
          </w:p>
        </w:tc>
        <w:tc>
          <w:tcPr>
            <w:tcW w:w="1600" w:type="dxa"/>
            <w:vAlign w:val="center"/>
          </w:tcPr>
          <w:p w14:paraId="5282E634">
            <w:pPr>
              <w:jc w:val="left"/>
              <w:rPr>
                <w:rFonts w:hint="default" w:ascii="Times New Roman" w:hAnsi="Times New Roman" w:eastAsia="宋体" w:cs="Times New Roman"/>
                <w:b w:val="0"/>
                <w:bCs/>
                <w:color w:val="auto"/>
                <w:szCs w:val="21"/>
                <w:highlight w:val="none"/>
                <w:lang w:val="en-US" w:eastAsia="zh-CN"/>
              </w:rPr>
            </w:pPr>
          </w:p>
        </w:tc>
      </w:tr>
      <w:tr w14:paraId="76AC22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center"/>
          </w:tcPr>
          <w:p w14:paraId="01385167">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07C775B3">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Once/week vs Never</w:t>
            </w:r>
          </w:p>
        </w:tc>
        <w:tc>
          <w:tcPr>
            <w:tcW w:w="1694" w:type="dxa"/>
            <w:vAlign w:val="center"/>
          </w:tcPr>
          <w:p w14:paraId="40E04327">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2.54 (1.62–3.97)</w:t>
            </w:r>
          </w:p>
        </w:tc>
        <w:tc>
          <w:tcPr>
            <w:tcW w:w="1773" w:type="dxa"/>
            <w:vAlign w:val="center"/>
          </w:tcPr>
          <w:p w14:paraId="4C433441">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2.47 (1.57–3.89)</w:t>
            </w:r>
          </w:p>
        </w:tc>
        <w:tc>
          <w:tcPr>
            <w:tcW w:w="1600" w:type="dxa"/>
            <w:vAlign w:val="center"/>
          </w:tcPr>
          <w:p w14:paraId="0DA4E738">
            <w:pPr>
              <w:jc w:val="left"/>
              <w:rPr>
                <w:rFonts w:hint="default" w:ascii="Times New Roman" w:hAnsi="Times New Roman" w:eastAsia="宋体" w:cs="Times New Roman"/>
                <w:b w:val="0"/>
                <w:bCs/>
                <w:color w:val="auto"/>
                <w:szCs w:val="21"/>
                <w:highlight w:val="none"/>
                <w:lang w:val="en-US" w:eastAsia="zh-CN"/>
              </w:rPr>
            </w:pPr>
          </w:p>
        </w:tc>
      </w:tr>
      <w:tr w14:paraId="39D7EE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center"/>
          </w:tcPr>
          <w:p w14:paraId="1D7A289A">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1E3DECC1">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2–5 times/week vs Never</w:t>
            </w:r>
          </w:p>
        </w:tc>
        <w:tc>
          <w:tcPr>
            <w:tcW w:w="1694" w:type="dxa"/>
            <w:vAlign w:val="center"/>
          </w:tcPr>
          <w:p w14:paraId="00F0AEA0">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1.84 (0.96–3.53)</w:t>
            </w:r>
          </w:p>
        </w:tc>
        <w:tc>
          <w:tcPr>
            <w:tcW w:w="1773" w:type="dxa"/>
            <w:vAlign w:val="center"/>
          </w:tcPr>
          <w:p w14:paraId="0FEE61FA">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1.89 (0.98–3.65)</w:t>
            </w:r>
          </w:p>
        </w:tc>
        <w:tc>
          <w:tcPr>
            <w:tcW w:w="1600" w:type="dxa"/>
            <w:vAlign w:val="center"/>
          </w:tcPr>
          <w:p w14:paraId="39629B75">
            <w:pPr>
              <w:jc w:val="left"/>
              <w:rPr>
                <w:rFonts w:hint="default" w:ascii="Times New Roman" w:hAnsi="Times New Roman" w:eastAsia="宋体" w:cs="Times New Roman"/>
                <w:b w:val="0"/>
                <w:bCs/>
                <w:color w:val="auto"/>
                <w:szCs w:val="21"/>
                <w:highlight w:val="none"/>
                <w:lang w:val="en-US" w:eastAsia="zh-CN"/>
              </w:rPr>
            </w:pPr>
          </w:p>
        </w:tc>
      </w:tr>
      <w:tr w14:paraId="7518E9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center"/>
          </w:tcPr>
          <w:p w14:paraId="579C8E0A">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2E6366FD">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Almost every day vs Never</w:t>
            </w:r>
          </w:p>
        </w:tc>
        <w:tc>
          <w:tcPr>
            <w:tcW w:w="1694" w:type="dxa"/>
            <w:vAlign w:val="center"/>
          </w:tcPr>
          <w:p w14:paraId="59569809">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2.39 (1.33–4.30)</w:t>
            </w:r>
          </w:p>
        </w:tc>
        <w:tc>
          <w:tcPr>
            <w:tcW w:w="1773" w:type="dxa"/>
            <w:vAlign w:val="center"/>
          </w:tcPr>
          <w:p w14:paraId="2E7B41DE">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2.38 (1.31–4.32)</w:t>
            </w:r>
          </w:p>
        </w:tc>
        <w:tc>
          <w:tcPr>
            <w:tcW w:w="1600" w:type="dxa"/>
            <w:vAlign w:val="center"/>
          </w:tcPr>
          <w:p w14:paraId="38A580C2">
            <w:pPr>
              <w:jc w:val="left"/>
              <w:rPr>
                <w:rFonts w:hint="default" w:ascii="Times New Roman" w:hAnsi="Times New Roman" w:eastAsia="宋体" w:cs="Times New Roman"/>
                <w:b w:val="0"/>
                <w:bCs/>
                <w:color w:val="auto"/>
                <w:szCs w:val="21"/>
                <w:highlight w:val="none"/>
                <w:lang w:val="en-US" w:eastAsia="zh-CN"/>
              </w:rPr>
            </w:pPr>
          </w:p>
        </w:tc>
      </w:tr>
      <w:tr w14:paraId="44F2B2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restart"/>
            <w:vAlign w:val="top"/>
          </w:tcPr>
          <w:p w14:paraId="2FC315C5">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VOICE</w:t>
            </w:r>
          </w:p>
        </w:tc>
        <w:tc>
          <w:tcPr>
            <w:tcW w:w="2360" w:type="dxa"/>
            <w:vAlign w:val="center"/>
          </w:tcPr>
          <w:p w14:paraId="5C4AF23C">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Rarely vs Never</w:t>
            </w:r>
          </w:p>
        </w:tc>
        <w:tc>
          <w:tcPr>
            <w:tcW w:w="1694" w:type="dxa"/>
            <w:vAlign w:val="center"/>
          </w:tcPr>
          <w:p w14:paraId="1A9882C0">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4.59 (3.65–5.77)</w:t>
            </w:r>
          </w:p>
        </w:tc>
        <w:tc>
          <w:tcPr>
            <w:tcW w:w="1773" w:type="dxa"/>
            <w:vAlign w:val="center"/>
          </w:tcPr>
          <w:p w14:paraId="5BD57407">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4.52 (3.59–5.69)</w:t>
            </w:r>
          </w:p>
        </w:tc>
        <w:tc>
          <w:tcPr>
            <w:tcW w:w="1600" w:type="dxa"/>
            <w:vAlign w:val="center"/>
          </w:tcPr>
          <w:p w14:paraId="3C6A9DC9">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&lt;0.001 / &lt;0.001</w:t>
            </w:r>
          </w:p>
        </w:tc>
      </w:tr>
      <w:tr w14:paraId="71716C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top"/>
          </w:tcPr>
          <w:p w14:paraId="1174AAD8">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09B1D0DC">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Sometimes vs Never</w:t>
            </w:r>
          </w:p>
        </w:tc>
        <w:tc>
          <w:tcPr>
            <w:tcW w:w="1694" w:type="dxa"/>
            <w:vAlign w:val="center"/>
          </w:tcPr>
          <w:p w14:paraId="6D97A511">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2.83 (2.22–3.63)</w:t>
            </w:r>
          </w:p>
        </w:tc>
        <w:tc>
          <w:tcPr>
            <w:tcW w:w="1773" w:type="dxa"/>
            <w:vAlign w:val="center"/>
          </w:tcPr>
          <w:p w14:paraId="5354F0D3">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2.80 (2.19–3.59)</w:t>
            </w:r>
          </w:p>
        </w:tc>
        <w:tc>
          <w:tcPr>
            <w:tcW w:w="1600" w:type="dxa"/>
            <w:vAlign w:val="center"/>
          </w:tcPr>
          <w:p w14:paraId="5F9B4926">
            <w:pPr>
              <w:jc w:val="left"/>
              <w:rPr>
                <w:rFonts w:hint="default" w:ascii="Times New Roman" w:hAnsi="Times New Roman" w:eastAsia="宋体" w:cs="Times New Roman"/>
                <w:b w:val="0"/>
                <w:bCs/>
                <w:color w:val="auto"/>
                <w:szCs w:val="21"/>
                <w:highlight w:val="none"/>
                <w:lang w:val="en-US" w:eastAsia="zh-CN"/>
              </w:rPr>
            </w:pPr>
          </w:p>
        </w:tc>
      </w:tr>
      <w:tr w14:paraId="744C2B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top"/>
          </w:tcPr>
          <w:p w14:paraId="7993415D">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7DF899D7">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Often vs Never</w:t>
            </w:r>
          </w:p>
        </w:tc>
        <w:tc>
          <w:tcPr>
            <w:tcW w:w="1694" w:type="dxa"/>
            <w:vAlign w:val="center"/>
          </w:tcPr>
          <w:p w14:paraId="10DEC5D4">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2.91 (2.05–4.13)</w:t>
            </w:r>
          </w:p>
        </w:tc>
        <w:tc>
          <w:tcPr>
            <w:tcW w:w="1773" w:type="dxa"/>
            <w:vAlign w:val="center"/>
          </w:tcPr>
          <w:p w14:paraId="02991A1B">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2.94 (2.07–4.18)</w:t>
            </w:r>
          </w:p>
        </w:tc>
        <w:tc>
          <w:tcPr>
            <w:tcW w:w="1600" w:type="dxa"/>
            <w:vAlign w:val="center"/>
          </w:tcPr>
          <w:p w14:paraId="03BCB568">
            <w:pPr>
              <w:jc w:val="left"/>
              <w:rPr>
                <w:rFonts w:hint="default" w:ascii="Times New Roman" w:hAnsi="Times New Roman" w:eastAsia="宋体" w:cs="Times New Roman"/>
                <w:b w:val="0"/>
                <w:bCs/>
                <w:color w:val="auto"/>
                <w:szCs w:val="21"/>
                <w:highlight w:val="none"/>
                <w:lang w:val="en-US" w:eastAsia="zh-CN"/>
              </w:rPr>
            </w:pPr>
          </w:p>
        </w:tc>
      </w:tr>
      <w:tr w14:paraId="245FD7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top"/>
          </w:tcPr>
          <w:p w14:paraId="063E2594">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020EDE2D">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Always vs Never</w:t>
            </w:r>
          </w:p>
        </w:tc>
        <w:tc>
          <w:tcPr>
            <w:tcW w:w="1694" w:type="dxa"/>
            <w:vAlign w:val="center"/>
          </w:tcPr>
          <w:p w14:paraId="14E42A63">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2.37 (1.69–3.31)</w:t>
            </w:r>
          </w:p>
        </w:tc>
        <w:tc>
          <w:tcPr>
            <w:tcW w:w="1773" w:type="dxa"/>
            <w:vAlign w:val="center"/>
          </w:tcPr>
          <w:p w14:paraId="0D52CA0F">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2.39 (1.70–3.34)</w:t>
            </w:r>
          </w:p>
        </w:tc>
        <w:tc>
          <w:tcPr>
            <w:tcW w:w="1600" w:type="dxa"/>
            <w:vAlign w:val="center"/>
          </w:tcPr>
          <w:p w14:paraId="48DF7EE8">
            <w:pPr>
              <w:jc w:val="left"/>
              <w:rPr>
                <w:rFonts w:hint="default" w:ascii="Times New Roman" w:hAnsi="Times New Roman" w:eastAsia="宋体" w:cs="Times New Roman"/>
                <w:b w:val="0"/>
                <w:bCs/>
                <w:color w:val="auto"/>
                <w:szCs w:val="21"/>
                <w:highlight w:val="none"/>
                <w:lang w:val="en-US" w:eastAsia="zh-CN"/>
              </w:rPr>
            </w:pPr>
          </w:p>
        </w:tc>
      </w:tr>
      <w:tr w14:paraId="057FA4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restart"/>
            <w:vAlign w:val="top"/>
          </w:tcPr>
          <w:p w14:paraId="6269D43A">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CHILD</w:t>
            </w:r>
          </w:p>
        </w:tc>
        <w:tc>
          <w:tcPr>
            <w:tcW w:w="2360" w:type="dxa"/>
            <w:vAlign w:val="center"/>
          </w:tcPr>
          <w:p w14:paraId="5F3DF442">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Strongly oppose vs Strongly support</w:t>
            </w:r>
          </w:p>
        </w:tc>
        <w:tc>
          <w:tcPr>
            <w:tcW w:w="1694" w:type="dxa"/>
            <w:vAlign w:val="center"/>
          </w:tcPr>
          <w:p w14:paraId="5B8C7C42">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1.12 (0.79–1.59)</w:t>
            </w:r>
          </w:p>
        </w:tc>
        <w:tc>
          <w:tcPr>
            <w:tcW w:w="1773" w:type="dxa"/>
            <w:vAlign w:val="center"/>
          </w:tcPr>
          <w:p w14:paraId="0907AA04">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1.11 (0.78–1.58)</w:t>
            </w:r>
          </w:p>
        </w:tc>
        <w:tc>
          <w:tcPr>
            <w:tcW w:w="1600" w:type="dxa"/>
            <w:vAlign w:val="center"/>
          </w:tcPr>
          <w:p w14:paraId="75AAC158">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&lt;0.001 / &lt;0.001</w:t>
            </w:r>
          </w:p>
        </w:tc>
      </w:tr>
      <w:tr w14:paraId="3E47DF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center"/>
          </w:tcPr>
          <w:p w14:paraId="487A7C11">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27E2A053">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Oppose vs Strongly support</w:t>
            </w:r>
          </w:p>
        </w:tc>
        <w:tc>
          <w:tcPr>
            <w:tcW w:w="1694" w:type="dxa"/>
            <w:vAlign w:val="center"/>
          </w:tcPr>
          <w:p w14:paraId="78AE87B7">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0.95 (0.64–1.41)</w:t>
            </w:r>
          </w:p>
        </w:tc>
        <w:tc>
          <w:tcPr>
            <w:tcW w:w="1773" w:type="dxa"/>
            <w:vAlign w:val="center"/>
          </w:tcPr>
          <w:p w14:paraId="2F1BFBBC">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0.95 (0.64–1.41)</w:t>
            </w:r>
          </w:p>
        </w:tc>
        <w:tc>
          <w:tcPr>
            <w:tcW w:w="1600" w:type="dxa"/>
            <w:vAlign w:val="center"/>
          </w:tcPr>
          <w:p w14:paraId="50B8511A">
            <w:pPr>
              <w:jc w:val="left"/>
              <w:rPr>
                <w:rFonts w:hint="default" w:ascii="Times New Roman" w:hAnsi="Times New Roman" w:eastAsia="宋体" w:cs="Times New Roman"/>
                <w:b w:val="0"/>
                <w:bCs/>
                <w:color w:val="auto"/>
                <w:szCs w:val="21"/>
                <w:highlight w:val="none"/>
                <w:lang w:val="en-US" w:eastAsia="zh-CN"/>
              </w:rPr>
            </w:pPr>
          </w:p>
        </w:tc>
      </w:tr>
      <w:tr w14:paraId="7B972E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095" w:type="dxa"/>
            <w:vMerge w:val="continue"/>
            <w:vAlign w:val="center"/>
          </w:tcPr>
          <w:p w14:paraId="427A4593">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5968A6B5">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Neutral vs Strongly support</w:t>
            </w:r>
          </w:p>
        </w:tc>
        <w:tc>
          <w:tcPr>
            <w:tcW w:w="1694" w:type="dxa"/>
            <w:vAlign w:val="center"/>
          </w:tcPr>
          <w:p w14:paraId="009F864B">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1.79 (1.29–2.49)</w:t>
            </w:r>
          </w:p>
        </w:tc>
        <w:tc>
          <w:tcPr>
            <w:tcW w:w="1773" w:type="dxa"/>
            <w:vAlign w:val="center"/>
          </w:tcPr>
          <w:p w14:paraId="08B168BA">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1.76 (1.27–2.46)</w:t>
            </w:r>
          </w:p>
        </w:tc>
        <w:tc>
          <w:tcPr>
            <w:tcW w:w="1600" w:type="dxa"/>
            <w:vAlign w:val="center"/>
          </w:tcPr>
          <w:p w14:paraId="37B41563">
            <w:pPr>
              <w:jc w:val="left"/>
              <w:rPr>
                <w:rFonts w:hint="default" w:ascii="Times New Roman" w:hAnsi="Times New Roman" w:eastAsia="宋体" w:cs="Times New Roman"/>
                <w:b w:val="0"/>
                <w:bCs/>
                <w:color w:val="auto"/>
                <w:szCs w:val="21"/>
                <w:highlight w:val="none"/>
                <w:lang w:val="en-US" w:eastAsia="zh-CN"/>
              </w:rPr>
            </w:pPr>
          </w:p>
        </w:tc>
      </w:tr>
      <w:tr w14:paraId="4FA60D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center"/>
          </w:tcPr>
          <w:p w14:paraId="0B57B697">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5356BE45">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Support vs Strongly support</w:t>
            </w:r>
          </w:p>
        </w:tc>
        <w:tc>
          <w:tcPr>
            <w:tcW w:w="1694" w:type="dxa"/>
            <w:vAlign w:val="center"/>
          </w:tcPr>
          <w:p w14:paraId="454C8EA9">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1.36 (0.91–2.04)</w:t>
            </w:r>
          </w:p>
        </w:tc>
        <w:tc>
          <w:tcPr>
            <w:tcW w:w="1773" w:type="dxa"/>
            <w:vAlign w:val="center"/>
          </w:tcPr>
          <w:p w14:paraId="3B9F043A">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1.33 (0.89–2.00)</w:t>
            </w:r>
          </w:p>
        </w:tc>
        <w:tc>
          <w:tcPr>
            <w:tcW w:w="1600" w:type="dxa"/>
            <w:vAlign w:val="center"/>
          </w:tcPr>
          <w:p w14:paraId="0A7CCC59">
            <w:pPr>
              <w:jc w:val="left"/>
              <w:rPr>
                <w:rFonts w:hint="default" w:ascii="Times New Roman" w:hAnsi="Times New Roman" w:eastAsia="宋体" w:cs="Times New Roman"/>
                <w:b w:val="0"/>
                <w:bCs/>
                <w:color w:val="auto"/>
                <w:szCs w:val="21"/>
                <w:highlight w:val="none"/>
                <w:lang w:val="en-US" w:eastAsia="zh-CN"/>
              </w:rPr>
            </w:pPr>
          </w:p>
        </w:tc>
      </w:tr>
      <w:tr w14:paraId="4D14F1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restart"/>
            <w:vAlign w:val="top"/>
          </w:tcPr>
          <w:p w14:paraId="2B969D26">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AGAIN</w:t>
            </w:r>
          </w:p>
        </w:tc>
        <w:tc>
          <w:tcPr>
            <w:tcW w:w="2360" w:type="dxa"/>
            <w:vAlign w:val="center"/>
          </w:tcPr>
          <w:p w14:paraId="0A3DCF0D">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Probably yes vs Definitely yes</w:t>
            </w:r>
          </w:p>
        </w:tc>
        <w:tc>
          <w:tcPr>
            <w:tcW w:w="1694" w:type="dxa"/>
            <w:vAlign w:val="center"/>
          </w:tcPr>
          <w:p w14:paraId="26187057">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0.99 (0.73–1.34)</w:t>
            </w:r>
          </w:p>
        </w:tc>
        <w:tc>
          <w:tcPr>
            <w:tcW w:w="1773" w:type="dxa"/>
            <w:vAlign w:val="center"/>
          </w:tcPr>
          <w:p w14:paraId="7FA6239E">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0.97 (0.72–1.32)</w:t>
            </w:r>
          </w:p>
        </w:tc>
        <w:tc>
          <w:tcPr>
            <w:tcW w:w="1600" w:type="dxa"/>
            <w:vAlign w:val="center"/>
          </w:tcPr>
          <w:p w14:paraId="4BCB5089">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0.405 / 0.472</w:t>
            </w:r>
          </w:p>
        </w:tc>
      </w:tr>
      <w:tr w14:paraId="1E3A2A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center"/>
          </w:tcPr>
          <w:p w14:paraId="4FF8ADCD">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58E9E4A7">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Uncertain vs Definitely yes</w:t>
            </w:r>
          </w:p>
        </w:tc>
        <w:tc>
          <w:tcPr>
            <w:tcW w:w="1694" w:type="dxa"/>
            <w:vAlign w:val="center"/>
          </w:tcPr>
          <w:p w14:paraId="28489FDA">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1.01 (0.78–1.31)</w:t>
            </w:r>
          </w:p>
        </w:tc>
        <w:tc>
          <w:tcPr>
            <w:tcW w:w="1773" w:type="dxa"/>
            <w:vAlign w:val="center"/>
          </w:tcPr>
          <w:p w14:paraId="4F21B88F">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1.01 (0.78–1.31)</w:t>
            </w:r>
          </w:p>
        </w:tc>
        <w:tc>
          <w:tcPr>
            <w:tcW w:w="1600" w:type="dxa"/>
            <w:vAlign w:val="center"/>
          </w:tcPr>
          <w:p w14:paraId="4023637B">
            <w:pPr>
              <w:jc w:val="left"/>
              <w:rPr>
                <w:rFonts w:hint="default" w:ascii="Times New Roman" w:hAnsi="Times New Roman" w:eastAsia="宋体" w:cs="Times New Roman"/>
                <w:b w:val="0"/>
                <w:bCs/>
                <w:color w:val="auto"/>
                <w:szCs w:val="21"/>
                <w:highlight w:val="none"/>
                <w:lang w:val="en-US" w:eastAsia="zh-CN"/>
              </w:rPr>
            </w:pPr>
          </w:p>
        </w:tc>
      </w:tr>
      <w:tr w14:paraId="7BC34A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center"/>
          </w:tcPr>
          <w:p w14:paraId="30A68CF6">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6E0EB52D">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Probably no vs Definitely yes</w:t>
            </w:r>
          </w:p>
        </w:tc>
        <w:tc>
          <w:tcPr>
            <w:tcW w:w="1694" w:type="dxa"/>
            <w:vAlign w:val="center"/>
          </w:tcPr>
          <w:p w14:paraId="45B7093E">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1.11 (0.81–1.53)</w:t>
            </w:r>
          </w:p>
        </w:tc>
        <w:tc>
          <w:tcPr>
            <w:tcW w:w="1773" w:type="dxa"/>
            <w:vAlign w:val="center"/>
          </w:tcPr>
          <w:p w14:paraId="7880DE61">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1.12 (0.81–1.54)</w:t>
            </w:r>
          </w:p>
        </w:tc>
        <w:tc>
          <w:tcPr>
            <w:tcW w:w="1600" w:type="dxa"/>
            <w:vAlign w:val="center"/>
          </w:tcPr>
          <w:p w14:paraId="43F31706">
            <w:pPr>
              <w:jc w:val="left"/>
              <w:rPr>
                <w:rFonts w:hint="default" w:ascii="Times New Roman" w:hAnsi="Times New Roman" w:eastAsia="宋体" w:cs="Times New Roman"/>
                <w:b w:val="0"/>
                <w:bCs/>
                <w:color w:val="auto"/>
                <w:szCs w:val="21"/>
                <w:highlight w:val="none"/>
                <w:lang w:val="en-US" w:eastAsia="zh-CN"/>
              </w:rPr>
            </w:pPr>
          </w:p>
        </w:tc>
      </w:tr>
      <w:tr w14:paraId="290F57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Merge w:val="continue"/>
            <w:vAlign w:val="center"/>
          </w:tcPr>
          <w:p w14:paraId="6D93895A">
            <w:pPr>
              <w:jc w:val="left"/>
              <w:rPr>
                <w:rFonts w:hint="default" w:ascii="Times New Roman" w:hAnsi="Times New Roman" w:eastAsia="宋体" w:cs="Times New Roman"/>
                <w:b w:val="0"/>
                <w:bCs/>
                <w:color w:val="auto"/>
                <w:szCs w:val="21"/>
                <w:highlight w:val="none"/>
                <w:lang w:val="en-US" w:eastAsia="zh-CN"/>
              </w:rPr>
            </w:pPr>
          </w:p>
        </w:tc>
        <w:tc>
          <w:tcPr>
            <w:tcW w:w="2360" w:type="dxa"/>
            <w:vAlign w:val="center"/>
          </w:tcPr>
          <w:p w14:paraId="4653D7AA">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Definitely no vs Definitely yes</w:t>
            </w:r>
          </w:p>
        </w:tc>
        <w:tc>
          <w:tcPr>
            <w:tcW w:w="1694" w:type="dxa"/>
            <w:vAlign w:val="center"/>
          </w:tcPr>
          <w:p w14:paraId="79DEEECA">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0.83 (0.62–1.12)</w:t>
            </w:r>
          </w:p>
        </w:tc>
        <w:tc>
          <w:tcPr>
            <w:tcW w:w="1773" w:type="dxa"/>
            <w:vAlign w:val="center"/>
          </w:tcPr>
          <w:p w14:paraId="70812D5F">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0.85 (0.63–1.14)</w:t>
            </w:r>
          </w:p>
        </w:tc>
        <w:tc>
          <w:tcPr>
            <w:tcW w:w="1600" w:type="dxa"/>
            <w:vAlign w:val="center"/>
          </w:tcPr>
          <w:p w14:paraId="34572D5B">
            <w:pPr>
              <w:jc w:val="left"/>
              <w:rPr>
                <w:rFonts w:hint="default" w:ascii="Times New Roman" w:hAnsi="Times New Roman" w:eastAsia="宋体" w:cs="Times New Roman"/>
                <w:b w:val="0"/>
                <w:bCs/>
                <w:color w:val="auto"/>
                <w:szCs w:val="21"/>
                <w:highlight w:val="none"/>
                <w:lang w:val="en-US" w:eastAsia="zh-CN"/>
              </w:rPr>
            </w:pPr>
          </w:p>
        </w:tc>
      </w:tr>
      <w:tr w14:paraId="43F5CB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095" w:type="dxa"/>
            <w:vAlign w:val="center"/>
          </w:tcPr>
          <w:p w14:paraId="0469F402">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LEAVE</w:t>
            </w:r>
          </w:p>
        </w:tc>
        <w:tc>
          <w:tcPr>
            <w:tcW w:w="2360" w:type="dxa"/>
            <w:vAlign w:val="center"/>
          </w:tcPr>
          <w:p w14:paraId="7C64E1C3">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Yes vs No</w:t>
            </w:r>
          </w:p>
        </w:tc>
        <w:tc>
          <w:tcPr>
            <w:tcW w:w="1694" w:type="dxa"/>
            <w:vAlign w:val="center"/>
          </w:tcPr>
          <w:p w14:paraId="6840E4F0">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1.22 (0.97–1.53)</w:t>
            </w:r>
          </w:p>
        </w:tc>
        <w:tc>
          <w:tcPr>
            <w:tcW w:w="1773" w:type="dxa"/>
            <w:vAlign w:val="center"/>
          </w:tcPr>
          <w:p w14:paraId="6AF9956C">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1.24 (0.98–1.55)</w:t>
            </w:r>
          </w:p>
        </w:tc>
        <w:tc>
          <w:tcPr>
            <w:tcW w:w="1600" w:type="dxa"/>
            <w:vAlign w:val="center"/>
          </w:tcPr>
          <w:p w14:paraId="07477E48">
            <w:pPr>
              <w:jc w:val="left"/>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0.085 / 0.071</w:t>
            </w:r>
          </w:p>
        </w:tc>
      </w:tr>
    </w:tbl>
    <w:p w14:paraId="258E43DD">
      <w:pPr>
        <w:rPr>
          <w:color w:val="auto"/>
          <w:highlight w:val="none"/>
        </w:rPr>
      </w:pPr>
      <w:r>
        <w:rPr>
          <w:rFonts w:hint="eastAsia" w:ascii="Times New Roman" w:hAnsi="Times New Roman" w:eastAsia="宋体" w:cs="Times New Roman"/>
          <w:b/>
          <w:bCs/>
          <w:i w:val="0"/>
          <w:iCs w:val="0"/>
          <w:color w:val="auto"/>
          <w:kern w:val="2"/>
          <w:sz w:val="21"/>
          <w:szCs w:val="21"/>
          <w:highlight w:val="none"/>
          <w:lang w:val="en-US" w:eastAsia="zh-CN" w:bidi="ar-SA"/>
        </w:rPr>
        <w:t xml:space="preserve">Notes: </w:t>
      </w:r>
      <w:r>
        <w:rPr>
          <w:rFonts w:hint="eastAsia" w:ascii="Times New Roman" w:hAnsi="Times New Roman" w:eastAsia="宋体" w:cs="Times New Roman"/>
          <w:b w:val="0"/>
          <w:bCs w:val="0"/>
          <w:i w:val="0"/>
          <w:iCs w:val="0"/>
          <w:color w:val="auto"/>
          <w:kern w:val="2"/>
          <w:sz w:val="21"/>
          <w:szCs w:val="21"/>
          <w:highlight w:val="none"/>
          <w:lang w:val="en-US" w:eastAsia="zh-CN" w:bidi="ar-SA"/>
        </w:rPr>
        <w:t>Values are AORs with 95% CIs for digital violence. The primary models were adjusted for sex, job category, administrative position, hospital type, city resource level, physical violence, psychological violence, years of experience, and professional title. The sensitivity models were additionally adjusted for department type. Multinomial logistic regression was used for WORRY, OFTEN, VOICE, CHILD, and AGAIN; binary logistic regression was used for LEAVE. CHILD analyses excluded 296 participants who selected “Not applicable/Other.” AOR, adjusted odds ratio; CI, confidence interval.</w:t>
      </w:r>
    </w:p>
    <w:p w14:paraId="4FB26AEC">
      <w:pPr>
        <w:rPr>
          <w:color w:val="auto"/>
          <w:highlight w:val="none"/>
        </w:rPr>
      </w:pPr>
    </w:p>
    <w:p w14:paraId="27565FAF">
      <w:pPr>
        <w:rPr>
          <w:color w:val="auto"/>
        </w:rPr>
      </w:pPr>
    </w:p>
    <w:p w14:paraId="47A048BA">
      <w:pPr>
        <w:rPr>
          <w:color w:val="auto"/>
        </w:rPr>
      </w:pPr>
    </w:p>
    <w:p w14:paraId="64F3DF08">
      <w:pPr>
        <w:pStyle w:val="2"/>
        <w:keepNext w:val="0"/>
        <w:keepLines w:val="0"/>
        <w:widowControl/>
        <w:suppressLineNumbers w:val="0"/>
        <w:rPr>
          <w:rFonts w:hint="eastAsia" w:ascii="Times New Roman" w:hAnsi="Times New Roman" w:eastAsia="宋体" w:cs="Times New Roman"/>
          <w:b/>
          <w:bCs/>
          <w:i/>
          <w:iCs/>
          <w:kern w:val="2"/>
          <w:sz w:val="24"/>
          <w:szCs w:val="24"/>
          <w:highlight w:val="none"/>
          <w:lang w:val="en-US" w:eastAsia="zh-CN" w:bidi="ar-SA"/>
        </w:rPr>
      </w:pPr>
      <w:r>
        <w:rPr>
          <w:rFonts w:hint="eastAsia" w:ascii="Times New Roman" w:hAnsi="Times New Roman" w:eastAsia="宋体" w:cs="Times New Roman"/>
          <w:b/>
          <w:bCs/>
          <w:i/>
          <w:iCs/>
          <w:kern w:val="2"/>
          <w:sz w:val="24"/>
          <w:szCs w:val="24"/>
          <w:highlight w:val="none"/>
          <w:lang w:val="en-US" w:eastAsia="zh-CN" w:bidi="ar-SA"/>
        </w:rPr>
        <w:t>Table S</w:t>
      </w:r>
      <w:r>
        <w:rPr>
          <w:rFonts w:hint="eastAsia" w:ascii="Times New Roman" w:hAnsi="Times New Roman" w:cs="Times New Roman"/>
          <w:b/>
          <w:bCs/>
          <w:i/>
          <w:iCs/>
          <w:kern w:val="2"/>
          <w:sz w:val="24"/>
          <w:szCs w:val="24"/>
          <w:highlight w:val="none"/>
          <w:lang w:val="en-US" w:eastAsia="zh-CN" w:bidi="ar-SA"/>
        </w:rPr>
        <w:t>6</w:t>
      </w:r>
      <w:r>
        <w:rPr>
          <w:rFonts w:hint="eastAsia" w:ascii="Times New Roman" w:hAnsi="Times New Roman" w:eastAsia="宋体" w:cs="Times New Roman"/>
          <w:b/>
          <w:bCs/>
          <w:i/>
          <w:iCs/>
          <w:kern w:val="2"/>
          <w:sz w:val="24"/>
          <w:szCs w:val="24"/>
          <w:highlight w:val="none"/>
          <w:lang w:val="en-US" w:eastAsia="zh-CN" w:bidi="ar-SA"/>
        </w:rPr>
        <w:t>. Distribution of outcomes related to digital violence among healthcare workers (N = 3,</w:t>
      </w:r>
      <w:r>
        <w:rPr>
          <w:rFonts w:hint="eastAsia" w:ascii="Times New Roman" w:hAnsi="Times New Roman" w:cs="Times New Roman"/>
          <w:b/>
          <w:bCs/>
          <w:i/>
          <w:iCs/>
          <w:kern w:val="2"/>
          <w:sz w:val="24"/>
          <w:szCs w:val="24"/>
          <w:highlight w:val="none"/>
          <w:lang w:val="en-US" w:eastAsia="zh-CN" w:bidi="ar-SA"/>
        </w:rPr>
        <w:t>408</w:t>
      </w:r>
      <w:r>
        <w:rPr>
          <w:rFonts w:hint="eastAsia" w:ascii="Times New Roman" w:hAnsi="Times New Roman" w:eastAsia="宋体" w:cs="Times New Roman"/>
          <w:b/>
          <w:bCs/>
          <w:i/>
          <w:iCs/>
          <w:kern w:val="2"/>
          <w:sz w:val="24"/>
          <w:szCs w:val="24"/>
          <w:highlight w:val="none"/>
          <w:lang w:val="en-US" w:eastAsia="zh-CN" w:bidi="ar-SA"/>
        </w:rPr>
        <w:t>)</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27"/>
        <w:gridCol w:w="2796"/>
        <w:gridCol w:w="1200"/>
        <w:gridCol w:w="1200"/>
      </w:tblGrid>
      <w:tr w14:paraId="0F4F1E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tcBorders>
              <w:bottom w:val="single" w:color="auto" w:sz="4" w:space="0"/>
            </w:tcBorders>
            <w:vAlign w:val="center"/>
          </w:tcPr>
          <w:p w14:paraId="2C783D52">
            <w:pPr>
              <w:jc w:val="left"/>
              <w:rPr>
                <w:rFonts w:hint="eastAsia" w:ascii="Times New Roman" w:hAnsi="Times New Roman" w:eastAsia="宋体" w:cs="Times New Roman"/>
                <w:b/>
                <w:bCs w:val="0"/>
                <w:szCs w:val="21"/>
                <w:highlight w:val="none"/>
                <w:lang w:val="en-US" w:eastAsia="zh-CN"/>
              </w:rPr>
            </w:pPr>
            <w:r>
              <w:rPr>
                <w:rFonts w:hint="default" w:ascii="Times New Roman" w:hAnsi="Times New Roman" w:eastAsia="宋体" w:cs="Times New Roman"/>
                <w:b/>
                <w:bCs w:val="0"/>
                <w:szCs w:val="21"/>
                <w:highlight w:val="none"/>
                <w:lang w:val="en-US" w:eastAsia="zh-CN"/>
              </w:rPr>
              <w:t>Outcome</w:t>
            </w:r>
          </w:p>
        </w:tc>
        <w:tc>
          <w:tcPr>
            <w:tcW w:w="2796" w:type="dxa"/>
            <w:tcBorders>
              <w:bottom w:val="single" w:color="auto" w:sz="4" w:space="0"/>
            </w:tcBorders>
            <w:vAlign w:val="center"/>
          </w:tcPr>
          <w:p w14:paraId="739EE3A6">
            <w:pPr>
              <w:jc w:val="left"/>
              <w:rPr>
                <w:rFonts w:hint="eastAsia" w:ascii="Times New Roman" w:hAnsi="Times New Roman" w:eastAsia="宋体" w:cs="Times New Roman"/>
                <w:b/>
                <w:bCs w:val="0"/>
                <w:szCs w:val="21"/>
                <w:highlight w:val="none"/>
                <w:lang w:val="en-US" w:eastAsia="zh-CN"/>
              </w:rPr>
            </w:pPr>
            <w:r>
              <w:rPr>
                <w:rFonts w:hint="default" w:ascii="Times New Roman" w:hAnsi="Times New Roman" w:eastAsia="宋体" w:cs="Times New Roman"/>
                <w:b/>
                <w:bCs w:val="0"/>
                <w:szCs w:val="21"/>
                <w:highlight w:val="none"/>
                <w:lang w:val="en-US" w:eastAsia="zh-CN"/>
              </w:rPr>
              <w:t>Category</w:t>
            </w:r>
          </w:p>
        </w:tc>
        <w:tc>
          <w:tcPr>
            <w:tcW w:w="1200" w:type="dxa"/>
            <w:tcBorders>
              <w:bottom w:val="single" w:color="auto" w:sz="4" w:space="0"/>
            </w:tcBorders>
            <w:vAlign w:val="center"/>
          </w:tcPr>
          <w:p w14:paraId="49633964">
            <w:pPr>
              <w:jc w:val="left"/>
              <w:rPr>
                <w:rFonts w:hint="eastAsia" w:ascii="Times New Roman" w:hAnsi="Times New Roman" w:eastAsia="宋体" w:cs="Times New Roman"/>
                <w:b/>
                <w:bCs w:val="0"/>
                <w:szCs w:val="21"/>
                <w:highlight w:val="none"/>
                <w:lang w:val="en-US" w:eastAsia="zh-CN"/>
              </w:rPr>
            </w:pPr>
            <w:r>
              <w:rPr>
                <w:rFonts w:hint="default" w:ascii="Times New Roman" w:hAnsi="Times New Roman" w:eastAsia="宋体" w:cs="Times New Roman"/>
                <w:b/>
                <w:bCs w:val="0"/>
                <w:szCs w:val="21"/>
                <w:highlight w:val="none"/>
                <w:lang w:val="en-US" w:eastAsia="zh-CN"/>
              </w:rPr>
              <w:t>n</w:t>
            </w:r>
          </w:p>
        </w:tc>
        <w:tc>
          <w:tcPr>
            <w:tcW w:w="1200" w:type="dxa"/>
            <w:tcBorders>
              <w:bottom w:val="single" w:color="auto" w:sz="4" w:space="0"/>
            </w:tcBorders>
            <w:vAlign w:val="center"/>
          </w:tcPr>
          <w:p w14:paraId="777A67BA">
            <w:pPr>
              <w:jc w:val="left"/>
              <w:rPr>
                <w:rFonts w:hint="eastAsia" w:ascii="Times New Roman" w:hAnsi="Times New Roman" w:eastAsia="宋体" w:cs="Times New Roman"/>
                <w:b/>
                <w:bCs w:val="0"/>
                <w:szCs w:val="21"/>
                <w:highlight w:val="none"/>
                <w:lang w:val="en-US" w:eastAsia="zh-CN"/>
              </w:rPr>
            </w:pPr>
            <w:r>
              <w:rPr>
                <w:rFonts w:hint="default" w:ascii="Times New Roman" w:hAnsi="Times New Roman" w:eastAsia="宋体" w:cs="Times New Roman"/>
                <w:b/>
                <w:bCs w:val="0"/>
                <w:szCs w:val="21"/>
                <w:highlight w:val="none"/>
                <w:lang w:val="en-US" w:eastAsia="zh-CN"/>
              </w:rPr>
              <w:t>%</w:t>
            </w:r>
          </w:p>
        </w:tc>
      </w:tr>
      <w:tr w14:paraId="5098EF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27" w:type="dxa"/>
            <w:vMerge w:val="restart"/>
            <w:tcBorders>
              <w:top w:val="single" w:color="auto" w:sz="4" w:space="0"/>
            </w:tcBorders>
            <w:vAlign w:val="top"/>
          </w:tcPr>
          <w:p w14:paraId="2C421D61">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WORRY</w:t>
            </w:r>
          </w:p>
        </w:tc>
        <w:tc>
          <w:tcPr>
            <w:tcW w:w="2796" w:type="dxa"/>
            <w:tcBorders>
              <w:top w:val="single" w:color="auto" w:sz="4" w:space="0"/>
            </w:tcBorders>
            <w:vAlign w:val="center"/>
          </w:tcPr>
          <w:p w14:paraId="1CB881E6">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Not worried at all</w:t>
            </w:r>
          </w:p>
        </w:tc>
        <w:tc>
          <w:tcPr>
            <w:tcW w:w="1200" w:type="dxa"/>
            <w:tcBorders>
              <w:top w:val="single" w:color="auto" w:sz="4" w:space="0"/>
            </w:tcBorders>
            <w:vAlign w:val="center"/>
          </w:tcPr>
          <w:p w14:paraId="5814004E">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268</w:t>
            </w:r>
          </w:p>
        </w:tc>
        <w:tc>
          <w:tcPr>
            <w:tcW w:w="1200" w:type="dxa"/>
            <w:tcBorders>
              <w:top w:val="single" w:color="auto" w:sz="4" w:space="0"/>
            </w:tcBorders>
            <w:vAlign w:val="center"/>
          </w:tcPr>
          <w:p w14:paraId="46545A21">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7.86</w:t>
            </w:r>
          </w:p>
        </w:tc>
      </w:tr>
      <w:tr w14:paraId="42218B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top"/>
          </w:tcPr>
          <w:p w14:paraId="625E1ED1">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4FE86BDF">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Slightly worried</w:t>
            </w:r>
          </w:p>
        </w:tc>
        <w:tc>
          <w:tcPr>
            <w:tcW w:w="1200" w:type="dxa"/>
            <w:vAlign w:val="center"/>
          </w:tcPr>
          <w:p w14:paraId="6D155482">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258</w:t>
            </w:r>
          </w:p>
        </w:tc>
        <w:tc>
          <w:tcPr>
            <w:tcW w:w="1200" w:type="dxa"/>
            <w:vAlign w:val="center"/>
          </w:tcPr>
          <w:p w14:paraId="16D4DABB">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7.57</w:t>
            </w:r>
          </w:p>
        </w:tc>
      </w:tr>
      <w:tr w14:paraId="670757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top"/>
          </w:tcPr>
          <w:p w14:paraId="454EB259">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66D29EA0">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Neutral</w:t>
            </w:r>
          </w:p>
        </w:tc>
        <w:tc>
          <w:tcPr>
            <w:tcW w:w="1200" w:type="dxa"/>
            <w:vAlign w:val="center"/>
          </w:tcPr>
          <w:p w14:paraId="05D7CFE3">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1,118</w:t>
            </w:r>
          </w:p>
        </w:tc>
        <w:tc>
          <w:tcPr>
            <w:tcW w:w="1200" w:type="dxa"/>
            <w:vAlign w:val="center"/>
          </w:tcPr>
          <w:p w14:paraId="2A9E915C">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32.81</w:t>
            </w:r>
          </w:p>
        </w:tc>
      </w:tr>
      <w:tr w14:paraId="5853C6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top"/>
          </w:tcPr>
          <w:p w14:paraId="3D0B0CA9">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1A1A8921">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Worried</w:t>
            </w:r>
          </w:p>
        </w:tc>
        <w:tc>
          <w:tcPr>
            <w:tcW w:w="1200" w:type="dxa"/>
            <w:vAlign w:val="center"/>
          </w:tcPr>
          <w:p w14:paraId="0EB7FB44">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1,117</w:t>
            </w:r>
          </w:p>
        </w:tc>
        <w:tc>
          <w:tcPr>
            <w:tcW w:w="1200" w:type="dxa"/>
            <w:vAlign w:val="center"/>
          </w:tcPr>
          <w:p w14:paraId="27D0A4F2">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32.78</w:t>
            </w:r>
          </w:p>
        </w:tc>
      </w:tr>
      <w:tr w14:paraId="635DF8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top"/>
          </w:tcPr>
          <w:p w14:paraId="44FB8A6E">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4734D00A">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Very worried</w:t>
            </w:r>
          </w:p>
        </w:tc>
        <w:tc>
          <w:tcPr>
            <w:tcW w:w="1200" w:type="dxa"/>
            <w:vAlign w:val="center"/>
          </w:tcPr>
          <w:p w14:paraId="1E60FD1A">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647</w:t>
            </w:r>
          </w:p>
        </w:tc>
        <w:tc>
          <w:tcPr>
            <w:tcW w:w="1200" w:type="dxa"/>
            <w:vAlign w:val="center"/>
          </w:tcPr>
          <w:p w14:paraId="52293D4C">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18.98</w:t>
            </w:r>
          </w:p>
        </w:tc>
      </w:tr>
      <w:tr w14:paraId="01E3FE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restart"/>
            <w:vAlign w:val="top"/>
          </w:tcPr>
          <w:p w14:paraId="1BEAD963">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OFTEN</w:t>
            </w:r>
          </w:p>
        </w:tc>
        <w:tc>
          <w:tcPr>
            <w:tcW w:w="2796" w:type="dxa"/>
            <w:vAlign w:val="center"/>
          </w:tcPr>
          <w:p w14:paraId="1B34705F">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Never</w:t>
            </w:r>
          </w:p>
        </w:tc>
        <w:tc>
          <w:tcPr>
            <w:tcW w:w="1200" w:type="dxa"/>
            <w:vAlign w:val="center"/>
          </w:tcPr>
          <w:p w14:paraId="71A41D33">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2,585</w:t>
            </w:r>
          </w:p>
        </w:tc>
        <w:tc>
          <w:tcPr>
            <w:tcW w:w="1200" w:type="dxa"/>
            <w:vAlign w:val="center"/>
          </w:tcPr>
          <w:p w14:paraId="504B8AFD">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75.85</w:t>
            </w:r>
          </w:p>
        </w:tc>
      </w:tr>
      <w:tr w14:paraId="53E26E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0F956E28">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4C149F8C">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Less than once per month</w:t>
            </w:r>
          </w:p>
        </w:tc>
        <w:tc>
          <w:tcPr>
            <w:tcW w:w="1200" w:type="dxa"/>
            <w:vAlign w:val="center"/>
          </w:tcPr>
          <w:p w14:paraId="58599B82">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325</w:t>
            </w:r>
          </w:p>
        </w:tc>
        <w:tc>
          <w:tcPr>
            <w:tcW w:w="1200" w:type="dxa"/>
            <w:vAlign w:val="center"/>
          </w:tcPr>
          <w:p w14:paraId="5DC8BD46">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9.54</w:t>
            </w:r>
          </w:p>
        </w:tc>
      </w:tr>
      <w:tr w14:paraId="3F5FB2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17381F1B">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1C9815E0">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Once per month</w:t>
            </w:r>
          </w:p>
        </w:tc>
        <w:tc>
          <w:tcPr>
            <w:tcW w:w="1200" w:type="dxa"/>
            <w:vAlign w:val="center"/>
          </w:tcPr>
          <w:p w14:paraId="0F8DA819">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205</w:t>
            </w:r>
          </w:p>
        </w:tc>
        <w:tc>
          <w:tcPr>
            <w:tcW w:w="1200" w:type="dxa"/>
            <w:vAlign w:val="center"/>
          </w:tcPr>
          <w:p w14:paraId="6B38C2BF">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6.02</w:t>
            </w:r>
          </w:p>
        </w:tc>
      </w:tr>
      <w:tr w14:paraId="538C84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6D39AA53">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75E40682">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2–3 times per month</w:t>
            </w:r>
          </w:p>
        </w:tc>
        <w:tc>
          <w:tcPr>
            <w:tcW w:w="1200" w:type="dxa"/>
            <w:vAlign w:val="center"/>
          </w:tcPr>
          <w:p w14:paraId="7B0DD46B">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97</w:t>
            </w:r>
          </w:p>
        </w:tc>
        <w:tc>
          <w:tcPr>
            <w:tcW w:w="1200" w:type="dxa"/>
            <w:vAlign w:val="center"/>
          </w:tcPr>
          <w:p w14:paraId="63AD0473">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2.85</w:t>
            </w:r>
          </w:p>
        </w:tc>
      </w:tr>
      <w:tr w14:paraId="203300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09A25195">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4EB9958F">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Once per week</w:t>
            </w:r>
          </w:p>
        </w:tc>
        <w:tc>
          <w:tcPr>
            <w:tcW w:w="1200" w:type="dxa"/>
            <w:vAlign w:val="center"/>
          </w:tcPr>
          <w:p w14:paraId="75DE250D">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93</w:t>
            </w:r>
          </w:p>
        </w:tc>
        <w:tc>
          <w:tcPr>
            <w:tcW w:w="1200" w:type="dxa"/>
            <w:vAlign w:val="center"/>
          </w:tcPr>
          <w:p w14:paraId="01CAB90A">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2.73</w:t>
            </w:r>
          </w:p>
        </w:tc>
      </w:tr>
      <w:tr w14:paraId="08F1AA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1E5087D6">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2964F30A">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2–5 times per week</w:t>
            </w:r>
          </w:p>
        </w:tc>
        <w:tc>
          <w:tcPr>
            <w:tcW w:w="1200" w:type="dxa"/>
            <w:vAlign w:val="center"/>
          </w:tcPr>
          <w:p w14:paraId="4B602542">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47</w:t>
            </w:r>
          </w:p>
        </w:tc>
        <w:tc>
          <w:tcPr>
            <w:tcW w:w="1200" w:type="dxa"/>
            <w:vAlign w:val="center"/>
          </w:tcPr>
          <w:p w14:paraId="13998970">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1.38</w:t>
            </w:r>
          </w:p>
        </w:tc>
      </w:tr>
      <w:tr w14:paraId="39B7A0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46C65313">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55CD8DA6">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Almost every day</w:t>
            </w:r>
          </w:p>
        </w:tc>
        <w:tc>
          <w:tcPr>
            <w:tcW w:w="1200" w:type="dxa"/>
            <w:vAlign w:val="center"/>
          </w:tcPr>
          <w:p w14:paraId="57356000">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56</w:t>
            </w:r>
          </w:p>
        </w:tc>
        <w:tc>
          <w:tcPr>
            <w:tcW w:w="1200" w:type="dxa"/>
            <w:vAlign w:val="center"/>
          </w:tcPr>
          <w:p w14:paraId="0E1324A0">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1.64</w:t>
            </w:r>
          </w:p>
        </w:tc>
      </w:tr>
      <w:tr w14:paraId="35A7CD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restart"/>
            <w:vAlign w:val="top"/>
          </w:tcPr>
          <w:p w14:paraId="6DD20754">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VOICE</w:t>
            </w:r>
          </w:p>
        </w:tc>
        <w:tc>
          <w:tcPr>
            <w:tcW w:w="2796" w:type="dxa"/>
            <w:vAlign w:val="center"/>
          </w:tcPr>
          <w:p w14:paraId="0C3A657F">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Never</w:t>
            </w:r>
          </w:p>
        </w:tc>
        <w:tc>
          <w:tcPr>
            <w:tcW w:w="1200" w:type="dxa"/>
            <w:vAlign w:val="center"/>
          </w:tcPr>
          <w:p w14:paraId="7B59E7EF">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1,527</w:t>
            </w:r>
          </w:p>
        </w:tc>
        <w:tc>
          <w:tcPr>
            <w:tcW w:w="1200" w:type="dxa"/>
            <w:vAlign w:val="center"/>
          </w:tcPr>
          <w:p w14:paraId="2BB10597">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44.81</w:t>
            </w:r>
          </w:p>
        </w:tc>
      </w:tr>
      <w:tr w14:paraId="266E99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6FB08969">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763ADE27">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Rarely</w:t>
            </w:r>
          </w:p>
        </w:tc>
        <w:tc>
          <w:tcPr>
            <w:tcW w:w="1200" w:type="dxa"/>
            <w:vAlign w:val="center"/>
          </w:tcPr>
          <w:p w14:paraId="2E165AA8">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751</w:t>
            </w:r>
          </w:p>
        </w:tc>
        <w:tc>
          <w:tcPr>
            <w:tcW w:w="1200" w:type="dxa"/>
            <w:vAlign w:val="center"/>
          </w:tcPr>
          <w:p w14:paraId="6E51E2D4">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22.04</w:t>
            </w:r>
          </w:p>
        </w:tc>
      </w:tr>
      <w:tr w14:paraId="1CB717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7586065D">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1D63EFEF">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Sometimes</w:t>
            </w:r>
          </w:p>
        </w:tc>
        <w:tc>
          <w:tcPr>
            <w:tcW w:w="1200" w:type="dxa"/>
            <w:vAlign w:val="center"/>
          </w:tcPr>
          <w:p w14:paraId="51DC4592">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642</w:t>
            </w:r>
          </w:p>
        </w:tc>
        <w:tc>
          <w:tcPr>
            <w:tcW w:w="1200" w:type="dxa"/>
            <w:vAlign w:val="center"/>
          </w:tcPr>
          <w:p w14:paraId="6AC0B72B">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18.84</w:t>
            </w:r>
          </w:p>
        </w:tc>
      </w:tr>
      <w:tr w14:paraId="43A401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6704F75D">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5DC3F03B">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Often</w:t>
            </w:r>
          </w:p>
        </w:tc>
        <w:tc>
          <w:tcPr>
            <w:tcW w:w="1200" w:type="dxa"/>
            <w:vAlign w:val="center"/>
          </w:tcPr>
          <w:p w14:paraId="25E13BDE">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228</w:t>
            </w:r>
          </w:p>
        </w:tc>
        <w:tc>
          <w:tcPr>
            <w:tcW w:w="1200" w:type="dxa"/>
            <w:vAlign w:val="center"/>
          </w:tcPr>
          <w:p w14:paraId="7748EA27">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6.69</w:t>
            </w:r>
          </w:p>
        </w:tc>
      </w:tr>
      <w:tr w14:paraId="1479DA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4EDBA6A8">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1C15F47A">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Always</w:t>
            </w:r>
          </w:p>
        </w:tc>
        <w:tc>
          <w:tcPr>
            <w:tcW w:w="1200" w:type="dxa"/>
            <w:vAlign w:val="center"/>
          </w:tcPr>
          <w:p w14:paraId="4F3281F1">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260</w:t>
            </w:r>
          </w:p>
        </w:tc>
        <w:tc>
          <w:tcPr>
            <w:tcW w:w="1200" w:type="dxa"/>
            <w:vAlign w:val="center"/>
          </w:tcPr>
          <w:p w14:paraId="344FB120">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7.63</w:t>
            </w:r>
          </w:p>
        </w:tc>
      </w:tr>
      <w:tr w14:paraId="779759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restart"/>
            <w:vAlign w:val="top"/>
          </w:tcPr>
          <w:p w14:paraId="553D4181">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LEAVE</w:t>
            </w:r>
          </w:p>
        </w:tc>
        <w:tc>
          <w:tcPr>
            <w:tcW w:w="2796" w:type="dxa"/>
            <w:vAlign w:val="center"/>
          </w:tcPr>
          <w:p w14:paraId="0943A61E">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Yes</w:t>
            </w:r>
          </w:p>
        </w:tc>
        <w:tc>
          <w:tcPr>
            <w:tcW w:w="1200" w:type="dxa"/>
            <w:vAlign w:val="center"/>
          </w:tcPr>
          <w:p w14:paraId="4F4AB302">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521</w:t>
            </w:r>
          </w:p>
        </w:tc>
        <w:tc>
          <w:tcPr>
            <w:tcW w:w="1200" w:type="dxa"/>
            <w:vAlign w:val="center"/>
          </w:tcPr>
          <w:p w14:paraId="14D040A1">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15.29</w:t>
            </w:r>
          </w:p>
        </w:tc>
      </w:tr>
      <w:tr w14:paraId="4901C2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232F66A0">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170D2750">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No</w:t>
            </w:r>
          </w:p>
        </w:tc>
        <w:tc>
          <w:tcPr>
            <w:tcW w:w="1200" w:type="dxa"/>
            <w:vAlign w:val="center"/>
          </w:tcPr>
          <w:p w14:paraId="1749B98C">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2,887</w:t>
            </w:r>
          </w:p>
        </w:tc>
        <w:tc>
          <w:tcPr>
            <w:tcW w:w="1200" w:type="dxa"/>
            <w:vAlign w:val="center"/>
          </w:tcPr>
          <w:p w14:paraId="4FDC0860">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84.71</w:t>
            </w:r>
          </w:p>
        </w:tc>
      </w:tr>
      <w:tr w14:paraId="6DB7AC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restart"/>
            <w:vAlign w:val="top"/>
          </w:tcPr>
          <w:p w14:paraId="0479E068">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CHILD</w:t>
            </w:r>
          </w:p>
        </w:tc>
        <w:tc>
          <w:tcPr>
            <w:tcW w:w="2796" w:type="dxa"/>
            <w:vAlign w:val="center"/>
          </w:tcPr>
          <w:p w14:paraId="608127F7">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Strongly support</w:t>
            </w:r>
          </w:p>
        </w:tc>
        <w:tc>
          <w:tcPr>
            <w:tcW w:w="1200" w:type="dxa"/>
            <w:vAlign w:val="center"/>
          </w:tcPr>
          <w:p w14:paraId="59E36858">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297</w:t>
            </w:r>
          </w:p>
        </w:tc>
        <w:tc>
          <w:tcPr>
            <w:tcW w:w="1200" w:type="dxa"/>
            <w:vAlign w:val="center"/>
          </w:tcPr>
          <w:p w14:paraId="67078A21">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8.71</w:t>
            </w:r>
          </w:p>
        </w:tc>
      </w:tr>
      <w:tr w14:paraId="56C8BD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78441BDC">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7AB8BD9A">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Support</w:t>
            </w:r>
          </w:p>
        </w:tc>
        <w:tc>
          <w:tcPr>
            <w:tcW w:w="1200" w:type="dxa"/>
            <w:vAlign w:val="center"/>
          </w:tcPr>
          <w:p w14:paraId="12618259">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329</w:t>
            </w:r>
          </w:p>
        </w:tc>
        <w:tc>
          <w:tcPr>
            <w:tcW w:w="1200" w:type="dxa"/>
            <w:vAlign w:val="center"/>
          </w:tcPr>
          <w:p w14:paraId="4798415D">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9.65</w:t>
            </w:r>
          </w:p>
        </w:tc>
      </w:tr>
      <w:tr w14:paraId="156039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09880054">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4B76014C">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Neutral</w:t>
            </w:r>
          </w:p>
        </w:tc>
        <w:tc>
          <w:tcPr>
            <w:tcW w:w="1200" w:type="dxa"/>
            <w:vAlign w:val="center"/>
          </w:tcPr>
          <w:p w14:paraId="70B45258">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1,168</w:t>
            </w:r>
          </w:p>
        </w:tc>
        <w:tc>
          <w:tcPr>
            <w:tcW w:w="1200" w:type="dxa"/>
            <w:vAlign w:val="center"/>
          </w:tcPr>
          <w:p w14:paraId="2D7D945C">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34.27</w:t>
            </w:r>
          </w:p>
        </w:tc>
      </w:tr>
      <w:tr w14:paraId="759582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29CDB97D">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36C53A13">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Oppose</w:t>
            </w:r>
          </w:p>
        </w:tc>
        <w:tc>
          <w:tcPr>
            <w:tcW w:w="1200" w:type="dxa"/>
            <w:vAlign w:val="center"/>
          </w:tcPr>
          <w:p w14:paraId="6CA17C7B">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458</w:t>
            </w:r>
          </w:p>
        </w:tc>
        <w:tc>
          <w:tcPr>
            <w:tcW w:w="1200" w:type="dxa"/>
            <w:vAlign w:val="center"/>
          </w:tcPr>
          <w:p w14:paraId="13F36760">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13.44</w:t>
            </w:r>
          </w:p>
        </w:tc>
      </w:tr>
      <w:tr w14:paraId="70BEC9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162FA973">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773C1D5F">
            <w:pPr>
              <w:jc w:val="left"/>
              <w:rPr>
                <w:rFonts w:hint="default"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Strongly</w:t>
            </w:r>
            <w:r>
              <w:rPr>
                <w:rFonts w:hint="eastAsia" w:ascii="Times New Roman" w:hAnsi="Times New Roman" w:eastAsia="宋体" w:cs="Times New Roman"/>
                <w:b w:val="0"/>
                <w:bCs/>
                <w:szCs w:val="21"/>
                <w:highlight w:val="none"/>
                <w:lang w:val="en-US" w:eastAsia="zh-CN"/>
              </w:rPr>
              <w:t xml:space="preserve"> </w:t>
            </w:r>
            <w:r>
              <w:rPr>
                <w:rFonts w:hint="default" w:ascii="Times New Roman" w:hAnsi="Times New Roman" w:eastAsia="宋体" w:cs="Times New Roman"/>
                <w:b w:val="0"/>
                <w:bCs/>
                <w:szCs w:val="21"/>
                <w:highlight w:val="none"/>
                <w:lang w:val="en-US" w:eastAsia="zh-CN"/>
              </w:rPr>
              <w:t>oppose</w:t>
            </w:r>
          </w:p>
        </w:tc>
        <w:tc>
          <w:tcPr>
            <w:tcW w:w="1200" w:type="dxa"/>
            <w:vAlign w:val="center"/>
          </w:tcPr>
          <w:p w14:paraId="3A538114">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860</w:t>
            </w:r>
          </w:p>
        </w:tc>
        <w:tc>
          <w:tcPr>
            <w:tcW w:w="1200" w:type="dxa"/>
            <w:vAlign w:val="center"/>
          </w:tcPr>
          <w:p w14:paraId="5900ECB3">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25.23</w:t>
            </w:r>
          </w:p>
        </w:tc>
      </w:tr>
      <w:tr w14:paraId="680CAC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0A1B9D2B">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7BD3FEC8">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Other†</w:t>
            </w:r>
          </w:p>
        </w:tc>
        <w:tc>
          <w:tcPr>
            <w:tcW w:w="1200" w:type="dxa"/>
            <w:vAlign w:val="center"/>
          </w:tcPr>
          <w:p w14:paraId="5D2414FF">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296</w:t>
            </w:r>
          </w:p>
        </w:tc>
        <w:tc>
          <w:tcPr>
            <w:tcW w:w="1200" w:type="dxa"/>
            <w:vAlign w:val="center"/>
          </w:tcPr>
          <w:p w14:paraId="0F1211E2">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8.69</w:t>
            </w:r>
          </w:p>
        </w:tc>
      </w:tr>
      <w:tr w14:paraId="3DAA6F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restart"/>
            <w:vAlign w:val="top"/>
          </w:tcPr>
          <w:p w14:paraId="3EBDB42F">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AGAIN</w:t>
            </w:r>
          </w:p>
        </w:tc>
        <w:tc>
          <w:tcPr>
            <w:tcW w:w="2796" w:type="dxa"/>
            <w:vAlign w:val="center"/>
          </w:tcPr>
          <w:p w14:paraId="5042ECFA">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Definitely yes</w:t>
            </w:r>
          </w:p>
        </w:tc>
        <w:tc>
          <w:tcPr>
            <w:tcW w:w="1200" w:type="dxa"/>
            <w:vAlign w:val="center"/>
          </w:tcPr>
          <w:p w14:paraId="6B851267">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503</w:t>
            </w:r>
          </w:p>
        </w:tc>
        <w:tc>
          <w:tcPr>
            <w:tcW w:w="1200" w:type="dxa"/>
            <w:vAlign w:val="center"/>
          </w:tcPr>
          <w:p w14:paraId="50E38404">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14.76</w:t>
            </w:r>
          </w:p>
        </w:tc>
      </w:tr>
      <w:tr w14:paraId="18813C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39B51CAD">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07BC0A5B">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Probably yes</w:t>
            </w:r>
          </w:p>
        </w:tc>
        <w:tc>
          <w:tcPr>
            <w:tcW w:w="1200" w:type="dxa"/>
            <w:vAlign w:val="center"/>
          </w:tcPr>
          <w:p w14:paraId="42D3FC40">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547</w:t>
            </w:r>
          </w:p>
        </w:tc>
        <w:tc>
          <w:tcPr>
            <w:tcW w:w="1200" w:type="dxa"/>
            <w:vAlign w:val="center"/>
          </w:tcPr>
          <w:p w14:paraId="318ED93A">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16.05</w:t>
            </w:r>
          </w:p>
        </w:tc>
      </w:tr>
      <w:tr w14:paraId="5A36B2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27" w:type="dxa"/>
            <w:vMerge w:val="continue"/>
            <w:vAlign w:val="center"/>
          </w:tcPr>
          <w:p w14:paraId="7F68FCB3">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6341F9A2">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Uncertain</w:t>
            </w:r>
          </w:p>
        </w:tc>
        <w:tc>
          <w:tcPr>
            <w:tcW w:w="1200" w:type="dxa"/>
            <w:vAlign w:val="center"/>
          </w:tcPr>
          <w:p w14:paraId="37911EA3">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1,242</w:t>
            </w:r>
          </w:p>
        </w:tc>
        <w:tc>
          <w:tcPr>
            <w:tcW w:w="1200" w:type="dxa"/>
            <w:vAlign w:val="center"/>
          </w:tcPr>
          <w:p w14:paraId="45C8B751">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36.44</w:t>
            </w:r>
          </w:p>
        </w:tc>
      </w:tr>
      <w:tr w14:paraId="423E0D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610C140D">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147166CC">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Probably no</w:t>
            </w:r>
          </w:p>
        </w:tc>
        <w:tc>
          <w:tcPr>
            <w:tcW w:w="1200" w:type="dxa"/>
            <w:vAlign w:val="center"/>
          </w:tcPr>
          <w:p w14:paraId="6990D1D2">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432</w:t>
            </w:r>
          </w:p>
        </w:tc>
        <w:tc>
          <w:tcPr>
            <w:tcW w:w="1200" w:type="dxa"/>
            <w:vAlign w:val="center"/>
          </w:tcPr>
          <w:p w14:paraId="6FC8D54E">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12.68</w:t>
            </w:r>
          </w:p>
        </w:tc>
      </w:tr>
      <w:tr w14:paraId="3B757E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7" w:type="dxa"/>
            <w:vMerge w:val="continue"/>
            <w:vAlign w:val="center"/>
          </w:tcPr>
          <w:p w14:paraId="3FEB0C81">
            <w:pPr>
              <w:jc w:val="left"/>
              <w:rPr>
                <w:rFonts w:hint="eastAsia" w:ascii="Times New Roman" w:hAnsi="Times New Roman" w:eastAsia="宋体" w:cs="Times New Roman"/>
                <w:b w:val="0"/>
                <w:bCs/>
                <w:szCs w:val="21"/>
                <w:highlight w:val="none"/>
                <w:lang w:val="en-US" w:eastAsia="zh-CN"/>
              </w:rPr>
            </w:pPr>
          </w:p>
        </w:tc>
        <w:tc>
          <w:tcPr>
            <w:tcW w:w="2796" w:type="dxa"/>
            <w:vAlign w:val="center"/>
          </w:tcPr>
          <w:p w14:paraId="036D9B92">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Definitely no</w:t>
            </w:r>
          </w:p>
        </w:tc>
        <w:tc>
          <w:tcPr>
            <w:tcW w:w="1200" w:type="dxa"/>
            <w:vAlign w:val="center"/>
          </w:tcPr>
          <w:p w14:paraId="79D150FC">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684</w:t>
            </w:r>
          </w:p>
        </w:tc>
        <w:tc>
          <w:tcPr>
            <w:tcW w:w="1200" w:type="dxa"/>
            <w:vAlign w:val="center"/>
          </w:tcPr>
          <w:p w14:paraId="403009AE">
            <w:pPr>
              <w:jc w:val="left"/>
              <w:rPr>
                <w:rFonts w:hint="eastAsia" w:ascii="Times New Roman" w:hAnsi="Times New Roman" w:eastAsia="宋体" w:cs="Times New Roman"/>
                <w:b w:val="0"/>
                <w:bCs/>
                <w:szCs w:val="21"/>
                <w:highlight w:val="none"/>
                <w:lang w:val="en-US" w:eastAsia="zh-CN"/>
              </w:rPr>
            </w:pPr>
            <w:r>
              <w:rPr>
                <w:rFonts w:hint="default" w:ascii="Times New Roman" w:hAnsi="Times New Roman" w:eastAsia="宋体" w:cs="Times New Roman"/>
                <w:b w:val="0"/>
                <w:bCs/>
                <w:szCs w:val="21"/>
                <w:highlight w:val="none"/>
                <w:lang w:val="en-US" w:eastAsia="zh-CN"/>
              </w:rPr>
              <w:t>20.07</w:t>
            </w:r>
          </w:p>
        </w:tc>
      </w:tr>
    </w:tbl>
    <w:p w14:paraId="4D63B265">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eastAsia" w:ascii="Times New Roman" w:hAnsi="Times New Roman" w:eastAsia="宋体" w:cs="Times New Roman"/>
          <w:b w:val="0"/>
          <w:bCs w:val="0"/>
          <w:i w:val="0"/>
          <w:iCs w:val="0"/>
          <w:kern w:val="2"/>
          <w:sz w:val="21"/>
          <w:szCs w:val="21"/>
          <w:highlight w:val="none"/>
          <w:lang w:val="en-US" w:eastAsia="zh-CN" w:bidi="ar-SA"/>
        </w:rPr>
      </w:pPr>
      <w:r>
        <w:rPr>
          <w:rFonts w:hint="eastAsia" w:ascii="Times New Roman" w:hAnsi="Times New Roman" w:eastAsia="宋体" w:cs="Times New Roman"/>
          <w:b/>
          <w:bCs/>
          <w:i w:val="0"/>
          <w:iCs w:val="0"/>
          <w:kern w:val="2"/>
          <w:sz w:val="21"/>
          <w:szCs w:val="21"/>
          <w:highlight w:val="none"/>
          <w:lang w:val="en-US" w:eastAsia="zh-CN" w:bidi="ar-SA"/>
        </w:rPr>
        <w:t>Abbreviations:</w:t>
      </w:r>
      <w:r>
        <w:rPr>
          <w:rFonts w:hint="eastAsia" w:ascii="Times New Roman" w:hAnsi="Times New Roman" w:eastAsia="宋体" w:cs="Times New Roman"/>
          <w:b w:val="0"/>
          <w:bCs w:val="0"/>
          <w:i w:val="0"/>
          <w:iCs w:val="0"/>
          <w:kern w:val="2"/>
          <w:sz w:val="21"/>
          <w:szCs w:val="21"/>
          <w:highlight w:val="none"/>
          <w:lang w:val="en-US" w:eastAsia="zh-CN" w:bidi="ar-SA"/>
        </w:rPr>
        <w:t xml:space="preserve"> WORRY, concern about digital workplace violence; OFTEN, frequency of searching online evaluations of oneself; VOICE, refraining from online expression due to concerns about digital violence; LEAVE, turnover intention during the past month; CHILD, attitude toward children entering the same profession; AGAIN, willingness to choose the same profession again.</w:t>
      </w:r>
    </w:p>
    <w:p w14:paraId="023D694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eastAsia" w:ascii="Times New Roman" w:hAnsi="Times New Roman" w:eastAsia="宋体" w:cs="Times New Roman"/>
          <w:b w:val="0"/>
          <w:bCs w:val="0"/>
          <w:i w:val="0"/>
          <w:iCs w:val="0"/>
          <w:kern w:val="2"/>
          <w:sz w:val="21"/>
          <w:szCs w:val="21"/>
          <w:highlight w:val="none"/>
          <w:lang w:val="en-US" w:eastAsia="zh-CN" w:bidi="ar-SA"/>
        </w:rPr>
      </w:pPr>
      <w:r>
        <w:rPr>
          <w:rFonts w:hint="eastAsia" w:ascii="Times New Roman" w:hAnsi="Times New Roman" w:eastAsia="宋体" w:cs="Times New Roman"/>
          <w:b w:val="0"/>
          <w:bCs w:val="0"/>
          <w:i w:val="0"/>
          <w:iCs w:val="0"/>
          <w:kern w:val="2"/>
          <w:sz w:val="21"/>
          <w:szCs w:val="21"/>
          <w:highlight w:val="none"/>
          <w:lang w:val="en-US" w:eastAsia="zh-CN" w:bidi="ar-SA"/>
        </w:rPr>
        <w:t>† Other responses mainly referred to participants without children or those who considered the question not applicable.</w:t>
      </w:r>
    </w:p>
    <w:p w14:paraId="25A93673">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B50A9E"/>
    <w:rsid w:val="10401F77"/>
    <w:rsid w:val="28412892"/>
    <w:rsid w:val="2A6A62D7"/>
    <w:rsid w:val="31DA5B56"/>
    <w:rsid w:val="3C9726BB"/>
    <w:rsid w:val="3CC40B5A"/>
    <w:rsid w:val="43E95AA6"/>
    <w:rsid w:val="46321EFD"/>
    <w:rsid w:val="55B50A9E"/>
    <w:rsid w:val="5EC831A0"/>
    <w:rsid w:val="6B773242"/>
    <w:rsid w:val="758C56CA"/>
    <w:rsid w:val="7C6928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2026-08-21T08:28:00Z</dcterms:created>
  <dc:creator>马铭雪</dc:creator>
  <cp:lastModifiedBy>马铭雪</cp:lastModifiedBy>
  <dcterms:modified xsi:type="dcterms:W3CDTF">2026-08-22T09:34:17Z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0839AC2C5DDE4AE5ADE1E1AD533C98AB_11</vt:lpwstr>
  </property>
  <property fmtid="{D5CDD505-2E9C-101B-9397-08002B2CF9AE}" pid="4" name="KSOTemplateDocerSaveRecord">
    <vt:lpwstr>eyJoZGlkIjoiYmEyZDMxNWRkYmY5MjE3NjUxYTk3ZDA1NDUyNmVkYWEiLCJ1c2VySWQiOiIyNjU1Mzc3MDIifQ==</vt:lpwstr>
  </property>
</Properties>
</file>