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60"/>
        <w:jc w:val="center"/>
        <w:rPr>
          <w:rFonts w:hint="default" w:ascii="Times New Roman" w:hAnsi="Times New Roman" w:cs="Times New Roman"/>
          <w:b/>
          <w:bCs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b/>
          <w:bCs/>
          <w:color w:val="000000"/>
          <w:sz w:val="32"/>
          <w:szCs w:val="32"/>
          <w:highlight w:val="none"/>
        </w:rPr>
        <w:t>Supplementary materials</w:t>
      </w:r>
    </w:p>
    <w:p>
      <w:pPr>
        <w:spacing w:after="280"/>
        <w:jc w:val="center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color w:val="000000"/>
          <w:highlight w:val="none"/>
        </w:rPr>
        <w:t>Temperature-related mortality burden and future climate projections across 88 counties in a plateau region of southwestern China</w:t>
      </w:r>
    </w:p>
    <w:p>
      <w:pPr>
        <w:pStyle w:val="3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>Supplementary Table S1</w:t>
      </w:r>
    </w:p>
    <w:p>
      <w:pPr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>Table S1 | County-specific BLUP MMTs (°C) and empirical temperature percentiles. Values are MMT (percentile, %); county names are in Pinyin. † denotes an MMT at the prediction-grid boundary.</w:t>
      </w:r>
    </w:p>
    <w:tbl>
      <w:tblPr>
        <w:tblStyle w:val="38"/>
        <w:tblW w:w="108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5"/>
        <w:gridCol w:w="1561"/>
        <w:gridCol w:w="1615"/>
        <w:gridCol w:w="1615"/>
        <w:gridCol w:w="1399"/>
        <w:gridCol w:w="1543"/>
        <w:gridCol w:w="15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County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Overall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Cardiovascular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Male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Female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Age ≥65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Age &lt;65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Anlong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21.81 (72.8)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21.10 (66.6)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22.45 (80.1)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20.51 (62.5)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21.25 (67.5)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22.12 (76.1)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Baiyun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20.11 (68.6)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9.77 (28.6)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20.93 (72.1)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9.01 (25.9)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19.97 (68.1)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19.17 (64.8)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Bijiang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22.32 (68.5)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21.67 (65.9)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23.35 (71.7)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20.16 (59.6)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22.09 (67.8)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22.10 (67.9)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Bozhou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19.97 (64.4)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20.64 (66.6)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18.62 (59.8)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20.07 (64.7)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19.77 (63.9)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21.33 (69.4)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Ceheng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27.42† (99.0)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22.34 (63.9)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27.42† (99.0)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22.13 (62.9)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27.42† (99.0)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23.18 (69.8)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Cengong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21.10 (65.6)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21.42 (66.5)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22.24 (69.5)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19.52 (59.3)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20.53 (63.5)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22.24 (69.5)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Changshun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20.75 (69.1)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21.16 (71.5)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18.15 (56.2)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21.34 (73.0)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20.72 (68.8)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20.68 (68.6)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Chishui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19.95 (59.4)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21.72 (67.2)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22.69 (70.2)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19.56 (57.8)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21.91 (67.8)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31.42† (99.0)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Congjiang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25.13 (79.4)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22.00 (62.6)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24.84 (76.6)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23.42 (68.2)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23.35 (67.8)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27.96† (99.0)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Dafang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20.56 (79.5)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21.58 (86.5)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20.34 (77.6)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20.45 (78.4)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20.49 (78.8)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19.26 (71.9)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Danzhai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21.00 (65.0)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20.45 (62.8)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21.09 (65.3)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20.45 (62.8)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20.62 (63.8)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26.65† (99.0)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Daozhen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20.16 (67.9)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20.27 (68.2)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20.95 (70.8)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19.05 (64.3)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20.27 (68.2)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19.93 (67.2)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Dejiang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19.58 (62.2)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20.19 (64.6)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19.65 (62.3)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20.08 (64.2)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20.01 (64.0)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21.54 (69.3)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Dushan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20.63 (63.8)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21.04 (65.7)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21.91 (70.2)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19.12 (56.8)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20.63 (63.8)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13.20 (34.3)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Duyun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20.82 (66.3)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21.62 (69.3)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21.93 (71.2)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19.96 (62.9)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20.99 (67.0)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14.60 (42.9)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Fenggang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20.25 (65.1)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19.85 (63.4)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20.38 (65.7)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10.07 (28.9)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19.99 (63.9)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20.92 (67.5)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Fuquan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20.30 (66.6)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19.97 (65.4)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21.17 (70.2)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19.68 (64.3)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20.20 (66.3)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12.55 (38.1)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Guanling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21.27 (66.2)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21.14 (65.5)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23.02 (81.1)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19.49 (57.6)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20.92 (64.5)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22.12 (72.0)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Guanshanhu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9.26 (26.2)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19.62 (66.3)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20.03 (67.9)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8.80 (24.1)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20.03 (67.9)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14.24 (44.4)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Guiding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20.71 (70.6)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21.19 (73.3)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21.39 (75.0)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19.32 (65.3)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20.26 (68.7)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11.88 (36.0)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Hezhang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19.69 (87.2)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21.75 (98.6)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18.65 (80.3)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20.00 (89.8)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20.06 (90.2)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19.17 (83.5)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Honghuagang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20.50 (66.3)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20.15 (64.9)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22.00 (71.6)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18.72 (60.1)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20.06 (64.5)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21.61 (70.7)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Huangping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20.97 (66.8)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19.86 (62.9)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20.75 (66.2)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21.17 (67.5)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20.63 (65.8)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20.59 (65.5)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Huaxi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19.32 (63.3)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19.52 (64.5)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20.71 (69.1)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9.75 (26.5)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19.67 (65.1)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14.88 (44.9)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Huichuan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20.43 (67.2)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20.70 (68.3)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21.85 (72.8)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19.45 (63.8)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20.34 (66.7)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21.58 (71.4)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Huishui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20.96 (68.4)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21.33 (70.7)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20.30 (65.8)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21.40 (71.3)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20.20 (65.4)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20.92 (68.2)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Jiangkou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22.58 (71.5)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22.69 (71.8)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22.45 (71.0)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21.13 (66.2)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21.89 (69.0)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21.36 (67.0)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Jianhe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21.09 (66.0)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21.73 (67.9)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21.23 (66.3)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22.00 (68.7)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20.60 (64.3)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16.09 (48.3)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Jinping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21.00 (62.1)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21.44 (63.9)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18.00 (51.0)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21.69 (64.8)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20.72 (60.9)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21.10 (62.5)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Jinsha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19.93 (66.8)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20.44 (69.0)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21.64 (73.8)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18.53 (61.2)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19.93 (66.8)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21.41 (73.3)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Kaili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21.74 (68.2)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20.88 (65.0)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21.22 (66.4)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9.47 (24.5)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21.32 (66.7)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20.95 (65.2)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Kaiyang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20.40 (67.8)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21.03 (70.5)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21.56 (72.6)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19.14 (63.0)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20.36 (67.4)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21.08 (70.7)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Leishan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20.83 (68.3)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21.30 (70.5)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21.43 (71.3)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21.07 (69.2)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20.51 (67.0)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15.78 (48.7)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Libo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22.00 (65.6)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21.27 (62.4)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22.47 (67.9)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22.21 (66.4)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21.10 (61.8)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26.63† (99.0)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Liping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21.65 (64.7)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21.97 (65.5)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18.94 (53.7)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24.27 (75.5)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21.65 (64.7)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14.80 (40.0)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Liuzhi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20.63 (73.7)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20.68 (74.0)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21.24 (79.2)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19.74 (67.7)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20.46 (71.9)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21.59 (82.9)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Longli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19.47 (67.0)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19.37 (66.7)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18.21 (61.5)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19.57 (67.4)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19.74 (68.3)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12.62 (38.8)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Luodian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21.08 (56.0)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21.52 (57.7)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27.80† (99.0)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21.76 (58.4)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23.09 (65.1)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22.97 (64.5)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Majiang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20.31 (64.6)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20.60 (65.8)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21.37 (68.6)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19.43 (61.1)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20.39 (64.8)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14.09 (41.6)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Meitan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20.12 (65.8)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20.00 (65.1)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20.78 (67.9)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19.86 (64.2)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19.46 (62.9)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21.61 (70.8)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Nanming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8.50 (22.9)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9.09 (24.6)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21.58 (73.3)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9.42 (26.0)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20.09 (67.0)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12.72 (37.1)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Nayong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20.11 (80.9)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21.59 (93.3)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20.26 (82.2)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19.94 (79.6)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20.09 (80.8)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7.19 (22.5)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Panzhou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20.02 (85.3)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20.78 (92.3)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20.37 (89.7)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19.75 (82.8)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19.87 (83.9)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21.31 (95.6)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Pingba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18.88 (63.2)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20.18 (69.2)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18.88 (63.2)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18.44 (61.2)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19.66 (67.0)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11.92 (35.0)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Pingtang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21.71 (67.7)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20.19 (60.7)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21.83 (68.5)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21.45 (66.3)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21.02 (64.5)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12.86 (32.3)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Pu'an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20.33 (72.4)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21.20 (82.2)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20.12 (70.6)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19.82 (68.3)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20.09 (70.4)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21.63 (86.7)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Puding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17.04 (54.3)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15.64 (48.9)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14.49 (44.5)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18.30 (60.3)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18.25 (60.1)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13.03 (38.3)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Qianxi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20.76 (72.7)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20.93 (74.0)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21.30 (75.8)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19.94 (69.1)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20.64 (72.0)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20.67 (72.1)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Qinglong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20.27 (61.8)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20.11 (61.1)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20.88 (64.8)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19.91 (60.4)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20.43 (62.9)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21.89 (72.2)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Qingzhen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18.90 (63.8)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19.61 (67.0)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13.76 (42.8)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19.31 (65.7)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19.23 (65.1)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19.96 (68.4)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Qixingguan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20.36 (80.5)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21.20 (85.7)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20.72 (82.8)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20.41 (80.7)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20.14 (79.1)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19.17 (74.4)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Renhuai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21.06 (69.0)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20.97 (68.7)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21.86 (72.9)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19.96 (65.1)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21.20 (69.7)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21.37 (70.4)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Rongjiang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24.34 (74.4)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22.37 (64.7)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23.42 (68.9)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24.73 (76.5)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23.26 (68.2)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27.83† (99.0)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Sandu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20.20 (58.1)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20.99 (61.4)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17.30 (47.0)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20.18 (57.9)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20.57 (59.6)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26.98† (99.0)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Sansui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21.38 (67.0)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21.79 (68.2)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20.46 (63.9)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21.54 (67.8)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21.26 (66.7)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20.67 (64.8)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Shibing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20.53 (64.4)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21.27 (67.4)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19.98 (62.3)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20.39 (63.9)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20.29 (63.4)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20.23 (63.3)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Shiqian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21.75 (69.8)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21.51 (68.7)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21.79 (69.9)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21.06 (67.0)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21.26 (67.7)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21.41 (68.3)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Shuicheng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20.33 (87.8)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21.06 (94.3)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21.02 (93.8)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18.99 (75.2)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20.31 (87.7)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21.15 (94.8)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Sinan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19.25 (59.5)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19.01 (58.4)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15.04 (44.1)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20.07 (62.2)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13.01 (37.4)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21.52 (67.3)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Songtao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21.62 (69.4)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21.94 (70.3)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21.56 (69.3)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22.36 (71.6)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21.21 (68.0)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21.56 (69.3)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Suiyang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20.24 (68.0)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21.62 (72.8)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21.34 (71.7)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19.29 (64.5)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20.70 (69.2)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15.93 (51.7)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Taijiang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20.15 (63.1)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21.24 (67.2)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17.69 (53.7)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20.91 (66.1)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19.26 (59.8)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15.31 (46.4)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Tianzhu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22.64 (68.3)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23.15 (70.0)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21.74 (65.6)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28.51 (97.8)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21.74 (65.6)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22.40 (67.5)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Tongzi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19.62 (68.3)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21.23 (74.7)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18.67 (64.6)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19.92 (69.2)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19.82 (68.8)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9.87 (30.6)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Wangmo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25.06 (85.3)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21.78 (59.5)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27.59† (99.0)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20.47 (54.1)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24.62 (81.4)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22.99 (66.5)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Wanshan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22.60 (70.6)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21.76 (67.7)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21.59 (67.1)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23.39 (72.7)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21.80 (68.0)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22.06 (68.9)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Weining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7.04 (26.3)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20.52† (99.0)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7.10 (26.5)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20.08 (97.3)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7.61 (28.3)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20.52† (99.0)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Weng'an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20.84 (70.3)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21.06 (70.9)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21.61 (73.5)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19.84 (66.8)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20.42 (68.8)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21.27 (72.0)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Wuchuan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19.30 (63.9)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20.83 (69.0)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20.30 (67.3)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19.00 (62.9)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19.25 (63.8)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21.37 (70.7)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Wudang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21.17 (71.9)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21.13 (71.7)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21.34 (73.1)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20.30 (68.4)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20.91 (70.8)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13.93 (42.8)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Xifeng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20.16 (67.0)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20.12 (66.9)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20.78 (69.7)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19.75 (65.6)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20.33 (67.6)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21.46 (72.6)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Xingren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21.46 (74.8)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21.14 (71.3)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22.00 (81.2)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21.56 (76.2)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21.14 (71.3)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21.77 (78.3)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Xingyi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22.86 (86.9)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21.35 (70.6)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23.29 (90.7)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21.16 (68.7)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22.43 (82.6)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22.08 (78.6)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Xishui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19.23 (66.3)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20.40 (70.5)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19.89 (68.5)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19.05 (65.4)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19.90 (68.6)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16.76 (55.2)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Xiuwen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19.94 (68.7)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20.66 (71.8)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20.28 (70.3)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19.86 (68.5)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20.12 (69.5)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20.08 (69.2)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Xixiu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20.53 (71.6)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20.92 (74.9)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21.18 (76.9)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9.76 (26.6)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20.63 (72.4)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19.68 (67.3)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Yanhe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20.58 (66.1)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20.76 (66.6)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21.94 (70.0)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19.74 (62.2)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20.69 (66.3)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21.65 (69.1)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Yinjiang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21.89 (70.5)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22.10 (71.1)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20.28 (65.0)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24.40 (81.5)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21.35 (68.8)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21.54 (69.4)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Yunyan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17.89 (57.9)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8.75 (23.6)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18.46 (59.7)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17.50 (56.1)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18.00 (58.4)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16.35 (51.3)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Yuping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15.82 (45.5)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15.35 (44.2)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15.27 (43.7)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18.56 (55.2)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13.82 (39.2)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21.04 (63.7)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Yuqing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21.59 (69.1)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21.00 (66.9)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21.55 (69.0)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21.26 (67.9)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21.13 (67.4)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21.59 (69.1)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Zhenfeng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21.37 (64.0)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20.90 (61.5)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23.03 (77.3)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20.12 (57.8)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21.31 (63.7)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22.31 (70.4)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Zheng'an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20.00 (67.4)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20.69 (69.2)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17.77 (58.7)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20.00 (67.4)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19.64 (66.1)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20.32 (68.2)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Zhenning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21.54 (70.5)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20.63 (65.0)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21.40 (69.4)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9.91 (21.9)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21.00 (67.0)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21.84 (72.6)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Zhenyuan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21.04 (66.1)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21.14 (66.3)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21.24 (66.7)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20.82 (65.0)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20.95 (65.5)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21.23 (66.6)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Zhijin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19.97 (72.3)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20.57 (76.5)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21.02 (79.6)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19.04 (67.7)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19.33 (69.1)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21.28 (81.9)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Zhongshan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19.33 (85.1)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20.48 (94.3)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18.93 (80.7)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19.48 (86.5)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19.29 (84.7)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20.03 (91.5)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Ziyun</w:t>
            </w:r>
          </w:p>
        </w:tc>
        <w:tc>
          <w:tcPr>
            <w:tcW w:w="156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21.82 (69.4)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21.06 (65.1)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22.85 (79.1)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20.29 (60.8)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21.17 (65.4)</w:t>
            </w:r>
          </w:p>
        </w:tc>
        <w:tc>
          <w:tcPr>
            <w:tcW w:w="15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22.25 (73.1)</w:t>
            </w:r>
          </w:p>
        </w:tc>
      </w:tr>
    </w:tbl>
    <w:p>
      <w:pPr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br w:type="page"/>
      </w:r>
    </w:p>
    <w:p>
      <w:pPr>
        <w:pStyle w:val="3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>Supplementary Table S2</w:t>
      </w:r>
    </w:p>
    <w:p>
      <w:pPr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>Table S2 | County-specific attributable numbers associated with cold, heat, extreme cold and extreme heat for overall mortality.</w:t>
      </w:r>
    </w:p>
    <w:tbl>
      <w:tblPr>
        <w:tblStyle w:val="38"/>
        <w:tblW w:w="894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9"/>
        <w:gridCol w:w="1789"/>
        <w:gridCol w:w="1789"/>
        <w:gridCol w:w="1789"/>
        <w:gridCol w:w="17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County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Cold AN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Heat AN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Extreme cold AN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Extreme heat AN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Anlong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760.35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68.01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101.51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32.23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Baiyun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312.46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203.92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57.69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53.17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Bijiang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1,413.79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354.73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192.70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81.61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Bozhou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1,676.88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1,573.97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322.29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356.08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Ceheng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823.69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bookmarkStart w:id="0" w:name="OLE_LINK2"/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0.21</w:t>
            </w:r>
            <w:bookmarkEnd w:id="0"/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80.63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Cengong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764.89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281.58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105.07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66.49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Changshun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1,184.81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553.63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133.56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146.73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Chishui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1,393.49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11.89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185.69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5.88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Congjiang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2,573.11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227.45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256.87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99.42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Dafang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430.96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114.64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69.23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25.87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Danzhai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678.29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410.36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102.58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123.71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Daozhen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1,146.01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748.08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176.04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146.30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Dejiang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1,877.77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466.40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268.34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107.07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Dushan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819.21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212.49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152.35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45.43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Duyun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658.65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511.61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132.79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120.75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Fenggang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596.34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257.76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106.35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64.40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Fuquan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566.33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115.74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78.23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33.48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Guanling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162.04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322.66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61.37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61.07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Guanshanhu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811.62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145.26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116.07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44.64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Guiding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2,441.36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47.98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150.22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29.24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Hezhang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1,151.71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844.95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170.95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198.65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Honghuagang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663.64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590.57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148.64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131.71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Huangping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826.47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316.32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137.02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82.47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Huaxi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1,803.06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812.74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196.89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190.51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Huichuan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904.61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160.51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148.62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46.62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Huishui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859.87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206.29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122.56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44.84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Jiangkou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894.54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139.07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124.11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41.74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Jianhe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1,938.75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838.96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218.11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207.68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Jinping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469.38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141.12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97.23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25.22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Jinsha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1,318.36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436.07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161.28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106.98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Kaili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1,613.05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401.88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277.04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98.15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Kaiyang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473.12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72.45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68.10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Leishan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1,938.42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372.50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298.96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74.16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Libo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497.25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47.13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78.91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10.98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Liping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1,382.48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142.40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142.93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51.20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Liuzhi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398.27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128.53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63.86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27.22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Longli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741.21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120.18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130.70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Luodian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434.18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166.03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78.31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34.28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Majiang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1,086.23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692.13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162.93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165.21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Meitan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1,733.09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84.69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170.26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41.30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Nanming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394.84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1,550.20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156.30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214.54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Nayong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2,880.97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85.01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307.73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59.56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Panzhou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285.83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242.67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61.72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49.01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Pingba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884.00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104.07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152.03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27.91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Pingtang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601.58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55.35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84.23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23.47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Pu'an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542.69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495.46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101.98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95.10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Puding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4,056.75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300.42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307.72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134.02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Qianxi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1,626.04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372.86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193.18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122.88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Qinglong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515.11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440.38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114.84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104.98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Qingzhen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380.18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133.54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62.81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34.13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Qixingguan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1,462.89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664.61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170.01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176.02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Renhuai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1,349.47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27.17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177.67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10.31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Rongjiang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855.66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294.48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167.08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51.53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Sandu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737.99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197.32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113.68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45.22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Sansui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400.51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198.62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84.00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38.68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Shibing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1,365.39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319.40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167.91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83.65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Shiqian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1,965.54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34.85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153.78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23.86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Shuicheng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983.45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1,069.51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248.28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224.13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Sinan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1,978.34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603.49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257.95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148.47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Songtao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1,549.87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688.51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180.69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172.75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Suiyang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467.69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160.87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80.72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28.01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Taijiang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1,349.99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169.80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207.78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37.03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Tianzhu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1,228.75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696.13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148.87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214.61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Tongzi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584.03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112.91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76.59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32.22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Wangmo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1,037.74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5.32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137.12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3.67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Wanshan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524.61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1,726.29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175.65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Weining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1,338.47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328.92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178.64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97.86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Weng'an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581.24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105.27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86.54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35.93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Wuchuan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946.18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704.17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145.80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153.31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Wudang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969.72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247.08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198.68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84.84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Xifeng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780.48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318.24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85.92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73.74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Xingren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1,714.88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985.25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195.12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261.15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Xingyi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963.32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90.98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146.27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43.22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Xishui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2,796.57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62.96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320.30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44.50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Xiuwen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780.75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263.78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103.14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70.47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Xixiu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1,400.30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750.11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199.27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168.10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Yanhe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1,176.99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278.14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183.61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79.71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Yinjiang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788.94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262.70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113.24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67.62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Yunyan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319.46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473.97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69.07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49.30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Yuping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942.56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1,712.54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145.10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292.95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Yuqing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478.10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85.50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70.52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23.94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Zhenfeng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960.84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172.12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123.55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48.59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Zheng'an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682.18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99.99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98.79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31.41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Zhenning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892.83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323.53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130.50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66.85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Zhenyuan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1,031.33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758.05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172.23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176.93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Zhijin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1,939.96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328.36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216.95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102.47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Zhongshan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1,014.54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43.47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91.87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26.52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Ziyun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827.66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78.03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115.60</w:t>
            </w:r>
          </w:p>
        </w:tc>
        <w:tc>
          <w:tcPr>
            <w:tcW w:w="1789" w:type="dxa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25.56</w:t>
            </w:r>
          </w:p>
        </w:tc>
      </w:tr>
    </w:tbl>
    <w:p>
      <w:pPr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br w:type="page"/>
      </w:r>
    </w:p>
    <w:p>
      <w:pPr>
        <w:pStyle w:val="3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>Supplementary Table S3</w:t>
      </w:r>
    </w:p>
    <w:p>
      <w:pPr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>Table S3 | Province-level historical attributable numbers and fractions for all mortality outcomes and temperature components. Attributable numbers and fractions are shown with 95% empirical confidence intervals.</w:t>
      </w:r>
    </w:p>
    <w:tbl>
      <w:tblPr>
        <w:tblStyle w:val="38"/>
        <w:tblW w:w="108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9"/>
        <w:gridCol w:w="1741"/>
        <w:gridCol w:w="1545"/>
        <w:gridCol w:w="3655"/>
        <w:gridCol w:w="21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699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highlight w:val="none"/>
              </w:rPr>
              <w:t>Outcome</w:t>
            </w:r>
          </w:p>
        </w:tc>
        <w:tc>
          <w:tcPr>
            <w:tcW w:w="1741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highlight w:val="none"/>
              </w:rPr>
              <w:t>Observed deaths</w:t>
            </w:r>
          </w:p>
        </w:tc>
        <w:tc>
          <w:tcPr>
            <w:tcW w:w="154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highlight w:val="none"/>
              </w:rPr>
              <w:t>Component</w:t>
            </w:r>
          </w:p>
        </w:tc>
        <w:tc>
          <w:tcPr>
            <w:tcW w:w="365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highlight w:val="none"/>
              </w:rPr>
              <w:t>AN (95% eCI)</w:t>
            </w:r>
          </w:p>
        </w:tc>
        <w:tc>
          <w:tcPr>
            <w:tcW w:w="216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highlight w:val="none"/>
              </w:rPr>
              <w:t>AF, % (95% eCI)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99" w:type="dxa"/>
            <w:vMerge w:val="restart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Overall</w:t>
            </w:r>
          </w:p>
        </w:tc>
        <w:tc>
          <w:tcPr>
            <w:tcW w:w="1741" w:type="dxa"/>
            <w:vMerge w:val="restart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1,103,188</w:t>
            </w:r>
          </w:p>
        </w:tc>
        <w:tc>
          <w:tcPr>
            <w:tcW w:w="154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Total</w:t>
            </w:r>
          </w:p>
        </w:tc>
        <w:tc>
          <w:tcPr>
            <w:tcW w:w="365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128,122.26 (111,639.97–137,303.36)</w:t>
            </w:r>
          </w:p>
        </w:tc>
        <w:tc>
          <w:tcPr>
            <w:tcW w:w="216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11.61 (10.12–12.45)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741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4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Cold</w:t>
            </w:r>
          </w:p>
        </w:tc>
        <w:tc>
          <w:tcPr>
            <w:tcW w:w="365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95,556.94 (81,258.35–104,232.57)</w:t>
            </w:r>
          </w:p>
        </w:tc>
        <w:tc>
          <w:tcPr>
            <w:tcW w:w="216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8.66 (7.37–9.45)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741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4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Heat</w:t>
            </w:r>
          </w:p>
        </w:tc>
        <w:tc>
          <w:tcPr>
            <w:tcW w:w="365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32,565.32 (25,555.87–37,521.95)</w:t>
            </w:r>
          </w:p>
        </w:tc>
        <w:tc>
          <w:tcPr>
            <w:tcW w:w="216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2.95 (2.32–3.40)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741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4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Extreme cold</w:t>
            </w:r>
          </w:p>
        </w:tc>
        <w:tc>
          <w:tcPr>
            <w:tcW w:w="365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13,127.99 (12,425.59–13,507.04)</w:t>
            </w:r>
          </w:p>
        </w:tc>
        <w:tc>
          <w:tcPr>
            <w:tcW w:w="216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1.19 (1.13–1.22)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741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4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Extreme heat</w:t>
            </w:r>
          </w:p>
        </w:tc>
        <w:tc>
          <w:tcPr>
            <w:tcW w:w="365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7,463.28 (6,701.35–7,872.04)</w:t>
            </w:r>
          </w:p>
        </w:tc>
        <w:tc>
          <w:tcPr>
            <w:tcW w:w="216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0.68 (0.61–0.71)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99" w:type="dxa"/>
            <w:vMerge w:val="restart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Cardiovascular</w:t>
            </w:r>
          </w:p>
        </w:tc>
        <w:tc>
          <w:tcPr>
            <w:tcW w:w="1741" w:type="dxa"/>
            <w:vMerge w:val="restart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505,628</w:t>
            </w:r>
          </w:p>
        </w:tc>
        <w:tc>
          <w:tcPr>
            <w:tcW w:w="154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Total</w:t>
            </w:r>
          </w:p>
        </w:tc>
        <w:tc>
          <w:tcPr>
            <w:tcW w:w="365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71,013.32 (63,344.37–75,350.13)</w:t>
            </w:r>
          </w:p>
        </w:tc>
        <w:tc>
          <w:tcPr>
            <w:tcW w:w="216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14.04 (12.53–14.90)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741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4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Cold</w:t>
            </w:r>
          </w:p>
        </w:tc>
        <w:tc>
          <w:tcPr>
            <w:tcW w:w="365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56,017.29 (49,146.94–60,432.76)</w:t>
            </w:r>
          </w:p>
        </w:tc>
        <w:tc>
          <w:tcPr>
            <w:tcW w:w="216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11.08 (9.72–11.95)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741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4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Heat</w:t>
            </w:r>
          </w:p>
        </w:tc>
        <w:tc>
          <w:tcPr>
            <w:tcW w:w="365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14,996.03 (12,138.88–16,830.10)</w:t>
            </w:r>
          </w:p>
        </w:tc>
        <w:tc>
          <w:tcPr>
            <w:tcW w:w="216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2.97 (2.40–3.33)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741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4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Extreme cold</w:t>
            </w:r>
          </w:p>
        </w:tc>
        <w:tc>
          <w:tcPr>
            <w:tcW w:w="365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6,432.36 (6,134.89–6,595.10)</w:t>
            </w:r>
          </w:p>
        </w:tc>
        <w:tc>
          <w:tcPr>
            <w:tcW w:w="216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1.27 (1.21–1.30)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741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4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Extreme heat</w:t>
            </w:r>
          </w:p>
        </w:tc>
        <w:tc>
          <w:tcPr>
            <w:tcW w:w="365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3,544.01 (3,130.67–3,719.27)</w:t>
            </w:r>
          </w:p>
        </w:tc>
        <w:tc>
          <w:tcPr>
            <w:tcW w:w="216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0.70 (0.62–0.74)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99" w:type="dxa"/>
            <w:vMerge w:val="restart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Male</w:t>
            </w:r>
          </w:p>
        </w:tc>
        <w:tc>
          <w:tcPr>
            <w:tcW w:w="1741" w:type="dxa"/>
            <w:vMerge w:val="restart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639,051</w:t>
            </w:r>
          </w:p>
        </w:tc>
        <w:tc>
          <w:tcPr>
            <w:tcW w:w="154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Total</w:t>
            </w:r>
          </w:p>
        </w:tc>
        <w:tc>
          <w:tcPr>
            <w:tcW w:w="365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76,396.15 (63,067.64–82,880.88)</w:t>
            </w:r>
          </w:p>
        </w:tc>
        <w:tc>
          <w:tcPr>
            <w:tcW w:w="216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11.95 (9.87–12.97)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741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4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Cold</w:t>
            </w:r>
          </w:p>
        </w:tc>
        <w:tc>
          <w:tcPr>
            <w:tcW w:w="365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61,617.77 (48,678.84–68,537.76)</w:t>
            </w:r>
          </w:p>
        </w:tc>
        <w:tc>
          <w:tcPr>
            <w:tcW w:w="216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9.64 (7.62–10.72)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741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4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Heat</w:t>
            </w:r>
          </w:p>
        </w:tc>
        <w:tc>
          <w:tcPr>
            <w:tcW w:w="365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14,778.38 (10,798.55–17,644.10)</w:t>
            </w:r>
          </w:p>
        </w:tc>
        <w:tc>
          <w:tcPr>
            <w:tcW w:w="216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2.31 (1.69–2.76)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741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4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Extreme cold</w:t>
            </w:r>
          </w:p>
        </w:tc>
        <w:tc>
          <w:tcPr>
            <w:tcW w:w="365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7,419.50 (6,732.06–7,680.06)</w:t>
            </w:r>
          </w:p>
        </w:tc>
        <w:tc>
          <w:tcPr>
            <w:tcW w:w="216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1.16 (1.05–1.20)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741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4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Extreme heat</w:t>
            </w:r>
          </w:p>
        </w:tc>
        <w:tc>
          <w:tcPr>
            <w:tcW w:w="365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3,365.75 (2,998.44–3,589.30)</w:t>
            </w:r>
          </w:p>
        </w:tc>
        <w:tc>
          <w:tcPr>
            <w:tcW w:w="216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0.53 (0.47–0.56)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99" w:type="dxa"/>
            <w:vMerge w:val="restart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Female</w:t>
            </w:r>
          </w:p>
        </w:tc>
        <w:tc>
          <w:tcPr>
            <w:tcW w:w="1741" w:type="dxa"/>
            <w:vMerge w:val="restart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464,020</w:t>
            </w:r>
          </w:p>
        </w:tc>
        <w:tc>
          <w:tcPr>
            <w:tcW w:w="154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Total</w:t>
            </w:r>
          </w:p>
        </w:tc>
        <w:tc>
          <w:tcPr>
            <w:tcW w:w="365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57,608.93 (48,967.88–61,529.74)</w:t>
            </w:r>
          </w:p>
        </w:tc>
        <w:tc>
          <w:tcPr>
            <w:tcW w:w="216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12.42 (10.55–13.26)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741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4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Cold</w:t>
            </w:r>
          </w:p>
        </w:tc>
        <w:tc>
          <w:tcPr>
            <w:tcW w:w="365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38,887.80 (31,937.82–42,760.58)</w:t>
            </w:r>
          </w:p>
        </w:tc>
        <w:tc>
          <w:tcPr>
            <w:tcW w:w="216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8.38 (6.88–9.22)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741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4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Heat</w:t>
            </w:r>
          </w:p>
        </w:tc>
        <w:tc>
          <w:tcPr>
            <w:tcW w:w="365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18,721.13 (14,613.49–21,065.66)</w:t>
            </w:r>
          </w:p>
        </w:tc>
        <w:tc>
          <w:tcPr>
            <w:tcW w:w="216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4.03 (3.15–4.54)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741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4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Extreme cold</w:t>
            </w:r>
          </w:p>
        </w:tc>
        <w:tc>
          <w:tcPr>
            <w:tcW w:w="365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5,705.86 (5,232.58–5,898.36)</w:t>
            </w:r>
          </w:p>
        </w:tc>
        <w:tc>
          <w:tcPr>
            <w:tcW w:w="216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1.23 (1.13–1.27)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741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4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Extreme heat</w:t>
            </w:r>
          </w:p>
        </w:tc>
        <w:tc>
          <w:tcPr>
            <w:tcW w:w="365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3,998.05 (3,470.72–4,157.28)</w:t>
            </w:r>
          </w:p>
        </w:tc>
        <w:tc>
          <w:tcPr>
            <w:tcW w:w="216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0.86 (0.75–0.90)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99" w:type="dxa"/>
            <w:vMerge w:val="restart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Age ≥65</w:t>
            </w:r>
          </w:p>
        </w:tc>
        <w:tc>
          <w:tcPr>
            <w:tcW w:w="1741" w:type="dxa"/>
            <w:vMerge w:val="restart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814,624</w:t>
            </w:r>
          </w:p>
        </w:tc>
        <w:tc>
          <w:tcPr>
            <w:tcW w:w="154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Total</w:t>
            </w:r>
          </w:p>
        </w:tc>
        <w:tc>
          <w:tcPr>
            <w:tcW w:w="365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104,990.33 (90,592.49–112,561.36)</w:t>
            </w:r>
          </w:p>
        </w:tc>
        <w:tc>
          <w:tcPr>
            <w:tcW w:w="216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12.89 (11.12–13.82)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741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4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Cold</w:t>
            </w:r>
          </w:p>
        </w:tc>
        <w:tc>
          <w:tcPr>
            <w:tcW w:w="365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78,197.90 (65,323.10–85,809.08)</w:t>
            </w:r>
          </w:p>
        </w:tc>
        <w:tc>
          <w:tcPr>
            <w:tcW w:w="216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9.60 (8.02–10.53)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741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4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Heat</w:t>
            </w:r>
          </w:p>
        </w:tc>
        <w:tc>
          <w:tcPr>
            <w:tcW w:w="365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26,792.43 (22,190.41–30,069.91)</w:t>
            </w:r>
          </w:p>
        </w:tc>
        <w:tc>
          <w:tcPr>
            <w:tcW w:w="216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3.29 (2.72–3.69)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741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4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Extreme cold</w:t>
            </w:r>
          </w:p>
        </w:tc>
        <w:tc>
          <w:tcPr>
            <w:tcW w:w="365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10,906.78 (10,391.21–11,180.19)</w:t>
            </w:r>
          </w:p>
        </w:tc>
        <w:tc>
          <w:tcPr>
            <w:tcW w:w="216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1.34 (1.28–1.37)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741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4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Extreme heat</w:t>
            </w:r>
          </w:p>
        </w:tc>
        <w:tc>
          <w:tcPr>
            <w:tcW w:w="365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6,388.89 (5,761.62–6,705.25)</w:t>
            </w:r>
          </w:p>
        </w:tc>
        <w:tc>
          <w:tcPr>
            <w:tcW w:w="216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0.78 (0.71–0.82)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99" w:type="dxa"/>
            <w:vMerge w:val="restart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Age &lt;65</w:t>
            </w:r>
          </w:p>
        </w:tc>
        <w:tc>
          <w:tcPr>
            <w:tcW w:w="1741" w:type="dxa"/>
            <w:vMerge w:val="restart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288,560</w:t>
            </w:r>
          </w:p>
        </w:tc>
        <w:tc>
          <w:tcPr>
            <w:tcW w:w="154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Total</w:t>
            </w:r>
          </w:p>
        </w:tc>
        <w:tc>
          <w:tcPr>
            <w:tcW w:w="365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25,965.01 (18,043.11–29,488.02)</w:t>
            </w:r>
          </w:p>
        </w:tc>
        <w:tc>
          <w:tcPr>
            <w:tcW w:w="216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9.00 (6.25–10.22)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741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4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Cold</w:t>
            </w:r>
          </w:p>
        </w:tc>
        <w:tc>
          <w:tcPr>
            <w:tcW w:w="365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21,292.31 (13,792.45–24,996.30)</w:t>
            </w:r>
          </w:p>
        </w:tc>
        <w:tc>
          <w:tcPr>
            <w:tcW w:w="216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7.38 (4.78–8.66)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741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4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Heat</w:t>
            </w:r>
          </w:p>
        </w:tc>
        <w:tc>
          <w:tcPr>
            <w:tcW w:w="365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4,672.70 (2,569.83–6,130.43)</w:t>
            </w:r>
          </w:p>
        </w:tc>
        <w:tc>
          <w:tcPr>
            <w:tcW w:w="216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1.62 (0.89–2.12)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741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4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Extreme cold</w:t>
            </w:r>
          </w:p>
        </w:tc>
        <w:tc>
          <w:tcPr>
            <w:tcW w:w="365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2,156.28 (1,643.18–2,321.54)</w:t>
            </w:r>
          </w:p>
        </w:tc>
        <w:tc>
          <w:tcPr>
            <w:tcW w:w="216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0.75 (0.57–0.80)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741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4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Extreme heat</w:t>
            </w:r>
          </w:p>
        </w:tc>
        <w:tc>
          <w:tcPr>
            <w:tcW w:w="3655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1,011.64 (808.71–1,125.83)</w:t>
            </w:r>
          </w:p>
        </w:tc>
        <w:tc>
          <w:tcPr>
            <w:tcW w:w="216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0.35 (0.28–0.39)</w:t>
            </w:r>
          </w:p>
        </w:tc>
      </w:tr>
    </w:tbl>
    <w:p>
      <w:pPr>
        <w:pStyle w:val="3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>Supplementary Table S4</w:t>
      </w:r>
    </w:p>
    <w:p>
      <w:pPr>
        <w:ind w:left="0" w:leftChars="0" w:right="0" w:rightChars="0" w:firstLine="0" w:firstLineChars="0"/>
        <w:jc w:val="center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>Table S4 | Pearson correlations among the five prespecified county-level modifiers.</w:t>
      </w:r>
    </w:p>
    <w:tbl>
      <w:tblPr>
        <w:tblStyle w:val="38"/>
        <w:tblW w:w="9360" w:type="dxa"/>
        <w:jc w:val="center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560"/>
        <w:gridCol w:w="1560"/>
        <w:gridCol w:w="1560"/>
        <w:gridCol w:w="1560"/>
        <w:gridCol w:w="156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560" w:type="dxa"/>
            <w:tcBorders>
              <w:top w:val="single" w:color="auto" w:sz="4" w:space="0"/>
              <w:left w:val="dotted" w:color="auto" w:sz="0" w:space="0"/>
              <w:bottom w:val="single" w:color="auto" w:sz="4" w:space="0"/>
              <w:right w:val="dotted" w:color="auto" w:sz="0" w:space="0"/>
            </w:tcBorders>
            <w:shd w:val="clear" w:color="auto" w:fill="FFFFFF"/>
            <w:tcMar>
              <w:top w:w="80" w:type="dxa"/>
              <w:bottom w:w="80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2"/>
                <w:szCs w:val="22"/>
                <w:highlight w:val="none"/>
                <w:lang w:val="en-US" w:eastAsia="zh-CN"/>
              </w:rPr>
              <w:t>Factors</w:t>
            </w:r>
          </w:p>
        </w:tc>
        <w:tc>
          <w:tcPr>
            <w:tcW w:w="1560" w:type="dxa"/>
            <w:tcBorders>
              <w:top w:val="single" w:color="auto" w:sz="4" w:space="0"/>
              <w:left w:val="dotted" w:color="auto" w:sz="0" w:space="0"/>
              <w:bottom w:val="single" w:color="auto" w:sz="4" w:space="0"/>
              <w:right w:val="dotted" w:color="auto" w:sz="0" w:space="0"/>
            </w:tcBorders>
            <w:shd w:val="clear" w:color="auto" w:fill="FFFFFF"/>
            <w:tcMar>
              <w:top w:w="80" w:type="dxa"/>
              <w:bottom w:w="80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  <w:highlight w:val="none"/>
              </w:rPr>
              <w:t>altitude</w:t>
            </w:r>
          </w:p>
        </w:tc>
        <w:tc>
          <w:tcPr>
            <w:tcW w:w="1560" w:type="dxa"/>
            <w:tcBorders>
              <w:top w:val="single" w:color="auto" w:sz="4" w:space="0"/>
              <w:left w:val="dotted" w:color="auto" w:sz="0" w:space="0"/>
              <w:bottom w:val="single" w:color="auto" w:sz="4" w:space="0"/>
              <w:right w:val="dotted" w:color="auto" w:sz="0" w:space="0"/>
            </w:tcBorders>
            <w:shd w:val="clear" w:color="auto" w:fill="FFFFFF"/>
            <w:tcMar>
              <w:top w:w="80" w:type="dxa"/>
              <w:bottom w:w="80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  <w:highlight w:val="none"/>
              </w:rPr>
              <w:t>mean_temp</w:t>
            </w:r>
          </w:p>
        </w:tc>
        <w:tc>
          <w:tcPr>
            <w:tcW w:w="1560" w:type="dxa"/>
            <w:tcBorders>
              <w:top w:val="single" w:color="auto" w:sz="4" w:space="0"/>
              <w:left w:val="dotted" w:color="auto" w:sz="0" w:space="0"/>
              <w:bottom w:val="single" w:color="auto" w:sz="4" w:space="0"/>
              <w:right w:val="dotted" w:color="auto" w:sz="0" w:space="0"/>
            </w:tcBorders>
            <w:shd w:val="clear" w:color="auto" w:fill="FFFFFF"/>
            <w:tcMar>
              <w:top w:w="80" w:type="dxa"/>
              <w:bottom w:w="80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  <w:highlight w:val="none"/>
              </w:rPr>
              <w:t>mean_rh</w:t>
            </w:r>
          </w:p>
        </w:tc>
        <w:tc>
          <w:tcPr>
            <w:tcW w:w="1560" w:type="dxa"/>
            <w:tcBorders>
              <w:top w:val="single" w:color="auto" w:sz="4" w:space="0"/>
              <w:left w:val="dotted" w:color="auto" w:sz="0" w:space="0"/>
              <w:bottom w:val="single" w:color="auto" w:sz="4" w:space="0"/>
              <w:right w:val="dotted" w:color="auto" w:sz="0" w:space="0"/>
            </w:tcBorders>
            <w:shd w:val="clear" w:color="auto" w:fill="FFFFFF"/>
            <w:tcMar>
              <w:top w:w="80" w:type="dxa"/>
              <w:bottom w:w="80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  <w:highlight w:val="none"/>
              </w:rPr>
              <w:t>ndvi</w:t>
            </w:r>
          </w:p>
        </w:tc>
        <w:tc>
          <w:tcPr>
            <w:tcW w:w="1560" w:type="dxa"/>
            <w:tcBorders>
              <w:top w:val="single" w:color="auto" w:sz="4" w:space="0"/>
              <w:left w:val="dotted" w:color="auto" w:sz="0" w:space="0"/>
              <w:bottom w:val="single" w:color="auto" w:sz="4" w:space="0"/>
              <w:right w:val="dotted" w:color="auto" w:sz="0" w:space="0"/>
            </w:tcBorders>
            <w:shd w:val="clear" w:color="auto" w:fill="FFFFFF"/>
            <w:tcMar>
              <w:top w:w="80" w:type="dxa"/>
              <w:bottom w:w="80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  <w:highlight w:val="none"/>
              </w:rPr>
              <w:t>gdp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60" w:type="dxa"/>
            <w:tcBorders>
              <w:top w:val="single" w:color="auto" w:sz="4" w:space="0"/>
            </w:tcBorders>
            <w:tcMar>
              <w:top w:w="80" w:type="dxa"/>
              <w:bottom w:w="80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altitude</w:t>
            </w:r>
          </w:p>
        </w:tc>
        <w:tc>
          <w:tcPr>
            <w:tcW w:w="1560" w:type="dxa"/>
            <w:tcBorders>
              <w:top w:val="single" w:color="auto" w:sz="4" w:space="0"/>
            </w:tcBorders>
            <w:tcMar>
              <w:top w:w="80" w:type="dxa"/>
              <w:bottom w:w="80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1.000</w:t>
            </w:r>
          </w:p>
        </w:tc>
        <w:tc>
          <w:tcPr>
            <w:tcW w:w="1560" w:type="dxa"/>
            <w:tcBorders>
              <w:top w:val="single" w:color="auto" w:sz="4" w:space="0"/>
            </w:tcBorders>
            <w:tcMar>
              <w:top w:w="80" w:type="dxa"/>
              <w:bottom w:w="80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-0.751</w:t>
            </w:r>
          </w:p>
        </w:tc>
        <w:tc>
          <w:tcPr>
            <w:tcW w:w="1560" w:type="dxa"/>
            <w:tcBorders>
              <w:top w:val="single" w:color="auto" w:sz="4" w:space="0"/>
            </w:tcBorders>
            <w:tcMar>
              <w:top w:w="80" w:type="dxa"/>
              <w:bottom w:w="80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0.085</w:t>
            </w:r>
          </w:p>
        </w:tc>
        <w:tc>
          <w:tcPr>
            <w:tcW w:w="1560" w:type="dxa"/>
            <w:tcBorders>
              <w:top w:val="single" w:color="auto" w:sz="4" w:space="0"/>
            </w:tcBorders>
            <w:tcMar>
              <w:top w:w="80" w:type="dxa"/>
              <w:bottom w:w="80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-0.408</w:t>
            </w:r>
          </w:p>
        </w:tc>
        <w:tc>
          <w:tcPr>
            <w:tcW w:w="1560" w:type="dxa"/>
            <w:tcBorders>
              <w:top w:val="single" w:color="auto" w:sz="4" w:space="0"/>
            </w:tcBorders>
            <w:tcMar>
              <w:top w:w="80" w:type="dxa"/>
              <w:bottom w:w="80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0.264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60" w:type="dxa"/>
            <w:tcMar>
              <w:top w:w="80" w:type="dxa"/>
              <w:bottom w:w="80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mean_temp</w:t>
            </w:r>
          </w:p>
        </w:tc>
        <w:tc>
          <w:tcPr>
            <w:tcW w:w="1560" w:type="dxa"/>
            <w:tcMar>
              <w:top w:w="80" w:type="dxa"/>
              <w:bottom w:w="80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-0.751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  <w:t>*</w:t>
            </w:r>
          </w:p>
        </w:tc>
        <w:tc>
          <w:tcPr>
            <w:tcW w:w="1560" w:type="dxa"/>
            <w:tcMar>
              <w:top w:w="80" w:type="dxa"/>
              <w:bottom w:w="80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1.000</w:t>
            </w:r>
          </w:p>
        </w:tc>
        <w:tc>
          <w:tcPr>
            <w:tcW w:w="1560" w:type="dxa"/>
            <w:tcMar>
              <w:top w:w="80" w:type="dxa"/>
              <w:bottom w:w="80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-0.497</w:t>
            </w:r>
          </w:p>
        </w:tc>
        <w:tc>
          <w:tcPr>
            <w:tcW w:w="1560" w:type="dxa"/>
            <w:tcMar>
              <w:top w:w="80" w:type="dxa"/>
              <w:bottom w:w="80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0.323</w:t>
            </w:r>
          </w:p>
        </w:tc>
        <w:tc>
          <w:tcPr>
            <w:tcW w:w="1560" w:type="dxa"/>
            <w:tcMar>
              <w:top w:w="80" w:type="dxa"/>
              <w:bottom w:w="80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-0.260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60" w:type="dxa"/>
            <w:tcMar>
              <w:top w:w="80" w:type="dxa"/>
              <w:bottom w:w="80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mean_rh</w:t>
            </w:r>
          </w:p>
        </w:tc>
        <w:tc>
          <w:tcPr>
            <w:tcW w:w="1560" w:type="dxa"/>
            <w:tcMar>
              <w:top w:w="80" w:type="dxa"/>
              <w:bottom w:w="80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0.085</w:t>
            </w:r>
          </w:p>
        </w:tc>
        <w:tc>
          <w:tcPr>
            <w:tcW w:w="1560" w:type="dxa"/>
            <w:tcMar>
              <w:top w:w="80" w:type="dxa"/>
              <w:bottom w:w="80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-0.497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  <w:t>*</w:t>
            </w:r>
          </w:p>
        </w:tc>
        <w:tc>
          <w:tcPr>
            <w:tcW w:w="1560" w:type="dxa"/>
            <w:tcMar>
              <w:top w:w="80" w:type="dxa"/>
              <w:bottom w:w="80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1.000</w:t>
            </w:r>
          </w:p>
        </w:tc>
        <w:tc>
          <w:tcPr>
            <w:tcW w:w="1560" w:type="dxa"/>
            <w:tcMar>
              <w:top w:w="80" w:type="dxa"/>
              <w:bottom w:w="80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-0.201</w:t>
            </w:r>
          </w:p>
        </w:tc>
        <w:tc>
          <w:tcPr>
            <w:tcW w:w="1560" w:type="dxa"/>
            <w:tcMar>
              <w:top w:w="80" w:type="dxa"/>
              <w:bottom w:w="80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0.067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60" w:type="dxa"/>
            <w:tcMar>
              <w:top w:w="80" w:type="dxa"/>
              <w:bottom w:w="80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ndvi</w:t>
            </w:r>
          </w:p>
        </w:tc>
        <w:tc>
          <w:tcPr>
            <w:tcW w:w="1560" w:type="dxa"/>
            <w:tcMar>
              <w:top w:w="80" w:type="dxa"/>
              <w:bottom w:w="80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-0.408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  <w:t>*</w:t>
            </w:r>
          </w:p>
        </w:tc>
        <w:tc>
          <w:tcPr>
            <w:tcW w:w="1560" w:type="dxa"/>
            <w:tcMar>
              <w:top w:w="80" w:type="dxa"/>
              <w:bottom w:w="80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0.323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  <w:t>*</w:t>
            </w:r>
          </w:p>
        </w:tc>
        <w:tc>
          <w:tcPr>
            <w:tcW w:w="1560" w:type="dxa"/>
            <w:tcMar>
              <w:top w:w="80" w:type="dxa"/>
              <w:bottom w:w="80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-0.201</w:t>
            </w:r>
          </w:p>
        </w:tc>
        <w:tc>
          <w:tcPr>
            <w:tcW w:w="1560" w:type="dxa"/>
            <w:tcMar>
              <w:top w:w="80" w:type="dxa"/>
              <w:bottom w:w="80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1.000</w:t>
            </w:r>
          </w:p>
        </w:tc>
        <w:tc>
          <w:tcPr>
            <w:tcW w:w="1560" w:type="dxa"/>
            <w:tcMar>
              <w:top w:w="80" w:type="dxa"/>
              <w:bottom w:w="80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-0.537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60" w:type="dxa"/>
            <w:tcBorders>
              <w:bottom w:val="single" w:color="auto" w:sz="4" w:space="0"/>
            </w:tcBorders>
            <w:tcMar>
              <w:top w:w="80" w:type="dxa"/>
              <w:bottom w:w="80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gdp</w:t>
            </w:r>
          </w:p>
        </w:tc>
        <w:tc>
          <w:tcPr>
            <w:tcW w:w="1560" w:type="dxa"/>
            <w:tcBorders>
              <w:bottom w:val="single" w:color="auto" w:sz="4" w:space="0"/>
            </w:tcBorders>
            <w:tcMar>
              <w:top w:w="80" w:type="dxa"/>
              <w:bottom w:w="80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0.264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  <w:t>*</w:t>
            </w:r>
          </w:p>
        </w:tc>
        <w:tc>
          <w:tcPr>
            <w:tcW w:w="1560" w:type="dxa"/>
            <w:tcBorders>
              <w:bottom w:val="single" w:color="auto" w:sz="4" w:space="0"/>
            </w:tcBorders>
            <w:tcMar>
              <w:top w:w="80" w:type="dxa"/>
              <w:bottom w:w="80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-0.260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  <w:t>*</w:t>
            </w:r>
          </w:p>
        </w:tc>
        <w:tc>
          <w:tcPr>
            <w:tcW w:w="1560" w:type="dxa"/>
            <w:tcBorders>
              <w:bottom w:val="single" w:color="auto" w:sz="4" w:space="0"/>
            </w:tcBorders>
            <w:tcMar>
              <w:top w:w="80" w:type="dxa"/>
              <w:bottom w:w="80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0.067</w:t>
            </w:r>
          </w:p>
        </w:tc>
        <w:tc>
          <w:tcPr>
            <w:tcW w:w="1560" w:type="dxa"/>
            <w:tcBorders>
              <w:bottom w:val="single" w:color="auto" w:sz="4" w:space="0"/>
            </w:tcBorders>
            <w:tcMar>
              <w:top w:w="80" w:type="dxa"/>
              <w:bottom w:w="80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-0.537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  <w:t>*</w:t>
            </w:r>
          </w:p>
        </w:tc>
        <w:tc>
          <w:tcPr>
            <w:tcW w:w="1560" w:type="dxa"/>
            <w:tcBorders>
              <w:bottom w:val="single" w:color="auto" w:sz="4" w:space="0"/>
            </w:tcBorders>
            <w:tcMar>
              <w:top w:w="80" w:type="dxa"/>
              <w:bottom w:w="80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1.000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360" w:type="dxa"/>
            <w:gridSpan w:val="6"/>
            <w:tcBorders>
              <w:top w:val="single" w:color="auto" w:sz="4" w:space="0"/>
            </w:tcBorders>
            <w:tcMar>
              <w:top w:w="80" w:type="dxa"/>
              <w:bottom w:w="80" w:type="dxa"/>
            </w:tcMar>
            <w:vAlign w:val="center"/>
          </w:tcPr>
          <w:p>
            <w:pPr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2"/>
                <w:szCs w:val="22"/>
                <w:highlight w:val="none"/>
                <w:lang w:val="en-US" w:eastAsia="zh-CN"/>
              </w:rPr>
              <w:t>Note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  <w:t>:*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2"/>
                <w:szCs w:val="22"/>
                <w:highlight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  <w:t>&lt;0.05.</w:t>
            </w:r>
          </w:p>
        </w:tc>
      </w:tr>
    </w:tbl>
    <w:p>
      <w:pPr>
        <w:pStyle w:val="3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>Supplementary Table S5</w:t>
      </w:r>
    </w:p>
    <w:p>
      <w:pPr>
        <w:ind w:left="0" w:leftChars="0" w:right="0" w:rightChars="0" w:firstLine="0" w:firstLineChars="0"/>
        <w:jc w:val="center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>Table S5 | Variance inflation factors for the complete five-modifier candidate set, assessed before outcome-specific model selection.</w:t>
      </w:r>
    </w:p>
    <w:tbl>
      <w:tblPr>
        <w:tblStyle w:val="38"/>
        <w:tblW w:w="2618" w:type="dxa"/>
        <w:jc w:val="center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982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636" w:type="dxa"/>
            <w:tcBorders>
              <w:bottom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  <w:highlight w:val="none"/>
              </w:rPr>
              <w:t>predictor</w:t>
            </w:r>
          </w:p>
        </w:tc>
        <w:tc>
          <w:tcPr>
            <w:tcW w:w="982" w:type="dxa"/>
            <w:tcBorders>
              <w:bottom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  <w:highlight w:val="none"/>
              </w:rPr>
              <w:t>VIF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6" w:type="dxa"/>
            <w:tcBorders>
              <w:top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altitude</w:t>
            </w:r>
          </w:p>
        </w:tc>
        <w:tc>
          <w:tcPr>
            <w:tcW w:w="982" w:type="dxa"/>
            <w:tcBorders>
              <w:top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3.49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mean_temp</w:t>
            </w:r>
          </w:p>
        </w:tc>
        <w:tc>
          <w:tcPr>
            <w:tcW w:w="9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mean_rh</w:t>
            </w:r>
          </w:p>
        </w:tc>
        <w:tc>
          <w:tcPr>
            <w:tcW w:w="9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1.91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ndvi</w:t>
            </w:r>
          </w:p>
        </w:tc>
        <w:tc>
          <w:tcPr>
            <w:tcW w:w="9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1.69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gdp</w:t>
            </w:r>
          </w:p>
        </w:tc>
        <w:tc>
          <w:tcPr>
            <w:tcW w:w="9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1.46</w:t>
            </w:r>
          </w:p>
        </w:tc>
      </w:tr>
    </w:tbl>
    <w:p>
      <w:pPr>
        <w:pStyle w:val="3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>Supplementary Table S6</w:t>
      </w:r>
    </w:p>
    <w:p>
      <w:pPr>
        <w:ind w:left="0" w:leftChars="0" w:right="0" w:rightChars="0" w:firstLine="0" w:firstLineChars="0"/>
        <w:jc w:val="center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 xml:space="preserve">Table S6 | </w:t>
      </w:r>
      <w:r>
        <w:rPr>
          <w:rFonts w:hint="default" w:ascii="Times New Roman" w:hAnsi="Times New Roman" w:eastAsia="宋体" w:cs="Times New Roman"/>
          <w:highlight w:val="none"/>
          <w:lang w:val="en-US" w:eastAsia="zh-CN"/>
        </w:rPr>
        <w:t>M</w:t>
      </w:r>
      <w:r>
        <w:rPr>
          <w:rFonts w:hint="default" w:ascii="Times New Roman" w:hAnsi="Times New Roman" w:cs="Times New Roman"/>
          <w:highlight w:val="none"/>
        </w:rPr>
        <w:t>ultivariable Wald tests for all modifiers in the complete five-modifier model. Modifier retention was based on raw multivariable Wald P &lt; 0.05 within each outcome.</w:t>
      </w:r>
    </w:p>
    <w:tbl>
      <w:tblPr>
        <w:tblStyle w:val="38"/>
        <w:tblW w:w="9000" w:type="dxa"/>
        <w:jc w:val="center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1800"/>
        <w:gridCol w:w="1800"/>
        <w:gridCol w:w="1800"/>
        <w:gridCol w:w="180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800" w:type="dxa"/>
            <w:tcBorders>
              <w:bottom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highlight w:val="none"/>
              </w:rPr>
              <w:t>Outcome</w:t>
            </w:r>
          </w:p>
        </w:tc>
        <w:tc>
          <w:tcPr>
            <w:tcW w:w="1800" w:type="dxa"/>
            <w:tcBorders>
              <w:bottom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highlight w:val="none"/>
              </w:rPr>
              <w:t>Modifier</w:t>
            </w:r>
          </w:p>
        </w:tc>
        <w:tc>
          <w:tcPr>
            <w:tcW w:w="1800" w:type="dxa"/>
            <w:tcBorders>
              <w:bottom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highlight w:val="none"/>
              </w:rPr>
              <w:t>Wald χ²</w:t>
            </w:r>
          </w:p>
        </w:tc>
        <w:tc>
          <w:tcPr>
            <w:tcW w:w="1800" w:type="dxa"/>
            <w:tcBorders>
              <w:bottom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highlight w:val="none"/>
              </w:rPr>
              <w:t>df</w:t>
            </w:r>
          </w:p>
        </w:tc>
        <w:tc>
          <w:tcPr>
            <w:tcW w:w="1800" w:type="dxa"/>
            <w:tcBorders>
              <w:bottom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000000"/>
                <w:highlight w:val="none"/>
              </w:rPr>
              <w:t>P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highlight w:val="none"/>
              </w:rPr>
              <w:t xml:space="preserve"> value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Overall</w:t>
            </w:r>
          </w:p>
        </w:tc>
        <w:tc>
          <w:tcPr>
            <w:tcW w:w="1800" w:type="dxa"/>
            <w:tcBorders>
              <w:top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Altitude</w:t>
            </w:r>
          </w:p>
        </w:tc>
        <w:tc>
          <w:tcPr>
            <w:tcW w:w="1800" w:type="dxa"/>
            <w:tcBorders>
              <w:top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6.05</w:t>
            </w:r>
          </w:p>
        </w:tc>
        <w:tc>
          <w:tcPr>
            <w:tcW w:w="1800" w:type="dxa"/>
            <w:tcBorders>
              <w:top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</w:t>
            </w:r>
          </w:p>
        </w:tc>
        <w:tc>
          <w:tcPr>
            <w:tcW w:w="1800" w:type="dxa"/>
            <w:tcBorders>
              <w:top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0.196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Mean temperature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15.94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0.003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Mean relative humidity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4.32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0.364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NDVI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18.79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GDP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3.73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0.444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restart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Cardiovascular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Altitude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3.98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0.409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Mean temperature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7.33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0.119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Mean relative humidity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3.92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0.416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NDVI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14.06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0.007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GDP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5.61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0.230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restart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Male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Altitude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5.18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0.270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Mean temperature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13.41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0.009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Mean relative humidity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3.82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0.431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NDVI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8.87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0.064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GDP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6.66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0.155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restart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Female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Altitude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2.11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0.716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Mean temperature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6.06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0.195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Mean relative humidity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4.02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0.403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NDVI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10.85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0.028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GDP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0.93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0.920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restart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Age ≥65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Altitude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7.06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0.133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Mean temperature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12.77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0.012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Mean relative humidity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6.12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0.190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NDVI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17.78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GDP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4.17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0.383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restart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Age &lt;65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Altitude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3.70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0.448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Mean temperature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9.81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0.044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Mean relative humidity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11.89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0.018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NDVI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4.44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0.350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GDP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4.26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0.372</w:t>
            </w:r>
          </w:p>
        </w:tc>
      </w:tr>
    </w:tbl>
    <w:p>
      <w:pPr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br w:type="page"/>
      </w:r>
    </w:p>
    <w:p>
      <w:pPr>
        <w:pStyle w:val="3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>Supplementary Table S7</w:t>
      </w:r>
    </w:p>
    <w:p>
      <w:pPr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 xml:space="preserve">Table S7 | Residual heterogeneity for intercept-only, complete five-modifier and final Wald-P-selected multivariable meta-regression models. Values are residual Cochran's </w:t>
      </w:r>
      <w:r>
        <w:rPr>
          <w:rFonts w:hint="default" w:ascii="Times New Roman" w:hAnsi="Times New Roman" w:cs="Times New Roman"/>
          <w:i/>
          <w:iCs/>
          <w:highlight w:val="none"/>
        </w:rPr>
        <w:t>Q</w:t>
      </w:r>
      <w:r>
        <w:rPr>
          <w:rFonts w:hint="default" w:ascii="Times New Roman" w:hAnsi="Times New Roman" w:cs="Times New Roman"/>
          <w:highlight w:val="none"/>
        </w:rPr>
        <w:t xml:space="preserve">, degrees of freedom, residual </w:t>
      </w:r>
      <w:r>
        <w:rPr>
          <w:rFonts w:hint="default" w:ascii="Times New Roman" w:hAnsi="Times New Roman" w:cs="Times New Roman"/>
          <w:i/>
          <w:iCs/>
          <w:highlight w:val="none"/>
        </w:rPr>
        <w:t>P</w:t>
      </w:r>
      <w:r>
        <w:rPr>
          <w:rFonts w:hint="default" w:ascii="Times New Roman" w:hAnsi="Times New Roman" w:cs="Times New Roman"/>
          <w:highlight w:val="none"/>
        </w:rPr>
        <w:t xml:space="preserve"> value and residual </w:t>
      </w:r>
      <w:r>
        <w:rPr>
          <w:rFonts w:hint="default" w:ascii="Times New Roman" w:hAnsi="Times New Roman" w:cs="Times New Roman"/>
          <w:i/>
          <w:iCs/>
          <w:highlight w:val="none"/>
        </w:rPr>
        <w:t>I²</w:t>
      </w:r>
      <w:r>
        <w:rPr>
          <w:rFonts w:hint="default" w:ascii="Times New Roman" w:hAnsi="Times New Roman" w:cs="Times New Roman"/>
          <w:highlight w:val="none"/>
        </w:rPr>
        <w:t>.</w:t>
      </w:r>
    </w:p>
    <w:tbl>
      <w:tblPr>
        <w:tblStyle w:val="38"/>
        <w:tblW w:w="10800" w:type="dxa"/>
        <w:jc w:val="center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1800"/>
        <w:gridCol w:w="1800"/>
        <w:gridCol w:w="1800"/>
        <w:gridCol w:w="1800"/>
        <w:gridCol w:w="180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800" w:type="dxa"/>
            <w:tcBorders>
              <w:bottom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highlight w:val="none"/>
              </w:rPr>
              <w:t>Outcome</w:t>
            </w:r>
          </w:p>
        </w:tc>
        <w:tc>
          <w:tcPr>
            <w:tcW w:w="1800" w:type="dxa"/>
            <w:tcBorders>
              <w:bottom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highlight w:val="none"/>
              </w:rPr>
              <w:t>Model</w:t>
            </w:r>
          </w:p>
        </w:tc>
        <w:tc>
          <w:tcPr>
            <w:tcW w:w="1800" w:type="dxa"/>
            <w:tcBorders>
              <w:bottom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highlight w:val="none"/>
              </w:rPr>
              <w:t>Retained modifiers</w:t>
            </w:r>
          </w:p>
        </w:tc>
        <w:tc>
          <w:tcPr>
            <w:tcW w:w="1800" w:type="dxa"/>
            <w:tcBorders>
              <w:bottom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highlight w:val="none"/>
              </w:rPr>
              <w:t xml:space="preserve">Residual 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000000"/>
                <w:highlight w:val="none"/>
              </w:rPr>
              <w:t>Q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highlight w:val="none"/>
              </w:rPr>
              <w:t xml:space="preserve"> (df)</w:t>
            </w:r>
          </w:p>
        </w:tc>
        <w:tc>
          <w:tcPr>
            <w:tcW w:w="1800" w:type="dxa"/>
            <w:tcBorders>
              <w:bottom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highlight w:val="none"/>
              </w:rPr>
              <w:t xml:space="preserve">Residual 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000000"/>
                <w:highlight w:val="none"/>
              </w:rPr>
              <w:t>P</w:t>
            </w:r>
          </w:p>
        </w:tc>
        <w:tc>
          <w:tcPr>
            <w:tcW w:w="1800" w:type="dxa"/>
            <w:tcBorders>
              <w:bottom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highlight w:val="none"/>
              </w:rPr>
              <w:t xml:space="preserve">Residual 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000000"/>
                <w:highlight w:val="none"/>
              </w:rPr>
              <w:t>I²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highlight w:val="none"/>
              </w:rPr>
              <w:t>, 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Overall</w:t>
            </w:r>
          </w:p>
        </w:tc>
        <w:tc>
          <w:tcPr>
            <w:tcW w:w="1800" w:type="dxa"/>
            <w:tcBorders>
              <w:top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Intercept-only (unadjusted)</w:t>
            </w:r>
          </w:p>
        </w:tc>
        <w:tc>
          <w:tcPr>
            <w:tcW w:w="1800" w:type="dxa"/>
            <w:tcBorders>
              <w:top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Intercept only</w:t>
            </w:r>
          </w:p>
        </w:tc>
        <w:tc>
          <w:tcPr>
            <w:tcW w:w="1800" w:type="dxa"/>
            <w:tcBorders>
              <w:top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458.98 (348)</w:t>
            </w:r>
          </w:p>
        </w:tc>
        <w:tc>
          <w:tcPr>
            <w:tcW w:w="1800" w:type="dxa"/>
            <w:tcBorders>
              <w:top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0.000</w:t>
            </w:r>
          </w:p>
        </w:tc>
        <w:tc>
          <w:tcPr>
            <w:tcW w:w="1800" w:type="dxa"/>
            <w:tcBorders>
              <w:top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24.18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Complete five-modifier model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altitude, mean_temp, mean_rh, ndvi, gdp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386.02 (328)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0.015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15.03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Wald-P-selected model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mean_temp, ndvi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402.08 (340)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0.011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15.44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restart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Cardiovascular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Intercept-only (unadjusted)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Intercept only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364.01 (348)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0.267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4.40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Complete five-modifier model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altitude, mean_temp, mean_rh, ndvi, gdp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326.85 (328)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0.507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Wald-P-selected model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ndvi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350.70 (344)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0.390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1.91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restart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Male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Intercept-only (unadjusted)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Intercept only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397.79 (348)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0.034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12.52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Complete five-modifier model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altitude, mean_temp, mean_rh, ndvi, gdp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354.55 (328)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0.150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7.49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Wald-P-selected model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mean_temp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376.29 (344)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0.111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8.58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restart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Female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Intercept-only (unadjusted)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Intercept only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458.58 (348)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0.000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24.11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Complete five-modifier model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altitude, mean_temp, mean_rh, ndvi, gdp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405.18 (328)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0.002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19.05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Wald-P-selected model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ndvi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433.36 (344)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0.001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20.62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restart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Age ≥65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Intercept-only (unadjusted)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Intercept only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414.52 (348)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0.008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16.05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Complete five-modifier model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altitude, mean_temp, mean_rh, ndvi, gdp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342.98 (328)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0.274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4.37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Wald-P-selected model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mean_temp, ndvi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363.81 (340)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0.179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6.54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restart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Age &lt;65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Intercept-only (unadjusted)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Intercept only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367.03 (348)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0.232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5.19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Complete five-modifier model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altitude, mean_temp, mean_rh, ndvi, gdp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341.17 (328)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0.297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3.86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Wald-P-selected model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mean_temp, mean_rh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350.65 (340)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0.334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3.04</w:t>
            </w:r>
          </w:p>
        </w:tc>
      </w:tr>
    </w:tbl>
    <w:p>
      <w:pPr>
        <w:pStyle w:val="3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>Supplementary Table S8</w:t>
      </w:r>
    </w:p>
    <w:p>
      <w:pPr>
        <w:spacing w:after="60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>Table S8 | Predicted cumulative exposure-response estimates at the P25, P50 and P75 levels of each modifier retained in the final outcome-specific model. Other standardized modifiers were fixed at 0. Values are relative risks (95% confidence intervals) at the province-wide P2.5 (0.86°C) and P97.5 (26.75°C) temperatures; MMT denotes the profile-specific minimum mortality temperature.</w:t>
      </w:r>
    </w:p>
    <w:tbl>
      <w:tblPr>
        <w:tblStyle w:val="38"/>
        <w:tblW w:w="10408" w:type="dxa"/>
        <w:jc w:val="center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9"/>
        <w:gridCol w:w="1409"/>
        <w:gridCol w:w="936"/>
        <w:gridCol w:w="2273"/>
        <w:gridCol w:w="2364"/>
        <w:gridCol w:w="1827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599" w:type="dxa"/>
            <w:tcBorders>
              <w:bottom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  <w:highlight w:val="none"/>
              </w:rPr>
              <w:t>Outcome</w:t>
            </w:r>
          </w:p>
        </w:tc>
        <w:tc>
          <w:tcPr>
            <w:tcW w:w="1409" w:type="dxa"/>
            <w:tcBorders>
              <w:bottom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  <w:highlight w:val="none"/>
              </w:rPr>
              <w:t>Modifier</w:t>
            </w:r>
          </w:p>
        </w:tc>
        <w:tc>
          <w:tcPr>
            <w:tcW w:w="936" w:type="dxa"/>
            <w:tcBorders>
              <w:bottom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  <w:highlight w:val="none"/>
              </w:rPr>
              <w:t>Level</w:t>
            </w:r>
          </w:p>
        </w:tc>
        <w:tc>
          <w:tcPr>
            <w:tcW w:w="2273" w:type="dxa"/>
            <w:tcBorders>
              <w:bottom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  <w:highlight w:val="none"/>
              </w:rPr>
              <w:t>RR at P2.5 (95% CI)</w:t>
            </w:r>
          </w:p>
        </w:tc>
        <w:tc>
          <w:tcPr>
            <w:tcW w:w="2364" w:type="dxa"/>
            <w:tcBorders>
              <w:bottom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  <w:highlight w:val="none"/>
              </w:rPr>
              <w:t>RR at P97.5 (95% CI)</w:t>
            </w:r>
          </w:p>
        </w:tc>
        <w:tc>
          <w:tcPr>
            <w:tcW w:w="1827" w:type="dxa"/>
            <w:tcBorders>
              <w:bottom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2"/>
                <w:szCs w:val="22"/>
                <w:highlight w:val="none"/>
              </w:rPr>
              <w:t>Profile MMT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99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409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Mean temperature</w:t>
            </w:r>
          </w:p>
        </w:tc>
        <w:tc>
          <w:tcPr>
            <w:tcW w:w="936" w:type="dxa"/>
            <w:tcBorders>
              <w:top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P25</w:t>
            </w:r>
          </w:p>
        </w:tc>
        <w:tc>
          <w:tcPr>
            <w:tcW w:w="2273" w:type="dxa"/>
            <w:tcBorders>
              <w:top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1.56 (1.45–1.68)</w:t>
            </w:r>
          </w:p>
        </w:tc>
        <w:tc>
          <w:tcPr>
            <w:tcW w:w="2364" w:type="dxa"/>
            <w:tcBorders>
              <w:top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1.52 (1.37–1.69)</w:t>
            </w:r>
          </w:p>
        </w:tc>
        <w:tc>
          <w:tcPr>
            <w:tcW w:w="1827" w:type="dxa"/>
            <w:tcBorders>
              <w:top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20.43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40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93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P50</w:t>
            </w:r>
          </w:p>
        </w:tc>
        <w:tc>
          <w:tcPr>
            <w:tcW w:w="227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1.64 (1.53–1.77)</w:t>
            </w:r>
          </w:p>
        </w:tc>
        <w:tc>
          <w:tcPr>
            <w:tcW w:w="2364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1.42 (1.31–1.53)</w:t>
            </w:r>
          </w:p>
        </w:tc>
        <w:tc>
          <w:tcPr>
            <w:tcW w:w="1827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20.60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40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93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P75</w:t>
            </w:r>
          </w:p>
        </w:tc>
        <w:tc>
          <w:tcPr>
            <w:tcW w:w="227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1.74 (1.59–1.90)</w:t>
            </w:r>
          </w:p>
        </w:tc>
        <w:tc>
          <w:tcPr>
            <w:tcW w:w="2364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1.32 (1.22–1.42)</w:t>
            </w:r>
          </w:p>
        </w:tc>
        <w:tc>
          <w:tcPr>
            <w:tcW w:w="1827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20.84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409" w:type="dxa"/>
            <w:vMerge w:val="restart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NDVI</w:t>
            </w:r>
          </w:p>
        </w:tc>
        <w:tc>
          <w:tcPr>
            <w:tcW w:w="93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P25</w:t>
            </w:r>
          </w:p>
        </w:tc>
        <w:tc>
          <w:tcPr>
            <w:tcW w:w="227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1.58 (1.47–1.71)</w:t>
            </w:r>
          </w:p>
        </w:tc>
        <w:tc>
          <w:tcPr>
            <w:tcW w:w="2364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1.47 (1.35–1.60)</w:t>
            </w:r>
          </w:p>
        </w:tc>
        <w:tc>
          <w:tcPr>
            <w:tcW w:w="1827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20.43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40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93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P50</w:t>
            </w:r>
          </w:p>
        </w:tc>
        <w:tc>
          <w:tcPr>
            <w:tcW w:w="227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1.64 (1.53–1.76)</w:t>
            </w:r>
          </w:p>
        </w:tc>
        <w:tc>
          <w:tcPr>
            <w:tcW w:w="2364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1.42 (1.31–1.54)</w:t>
            </w:r>
          </w:p>
        </w:tc>
        <w:tc>
          <w:tcPr>
            <w:tcW w:w="1827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20.60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40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93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P75</w:t>
            </w:r>
          </w:p>
        </w:tc>
        <w:tc>
          <w:tcPr>
            <w:tcW w:w="227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1.72 (1.58–1.87)</w:t>
            </w:r>
          </w:p>
        </w:tc>
        <w:tc>
          <w:tcPr>
            <w:tcW w:w="2364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1.36 (1.24–1.49)</w:t>
            </w:r>
          </w:p>
        </w:tc>
        <w:tc>
          <w:tcPr>
            <w:tcW w:w="1827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20.84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99" w:type="dxa"/>
            <w:vMerge w:val="restart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409" w:type="dxa"/>
            <w:vMerge w:val="restart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NDVI</w:t>
            </w:r>
          </w:p>
        </w:tc>
        <w:tc>
          <w:tcPr>
            <w:tcW w:w="93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P25</w:t>
            </w:r>
          </w:p>
        </w:tc>
        <w:tc>
          <w:tcPr>
            <w:tcW w:w="227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1.57 (1.42–1.74)</w:t>
            </w:r>
          </w:p>
        </w:tc>
        <w:tc>
          <w:tcPr>
            <w:tcW w:w="2364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1.50 (1.33–1.68)</w:t>
            </w:r>
          </w:p>
        </w:tc>
        <w:tc>
          <w:tcPr>
            <w:tcW w:w="1827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20.63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40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93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P50</w:t>
            </w:r>
          </w:p>
        </w:tc>
        <w:tc>
          <w:tcPr>
            <w:tcW w:w="227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1.65 (1.50–1.82)</w:t>
            </w:r>
          </w:p>
        </w:tc>
        <w:tc>
          <w:tcPr>
            <w:tcW w:w="2364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1.41 (1.28–1.56)</w:t>
            </w:r>
          </w:p>
        </w:tc>
        <w:tc>
          <w:tcPr>
            <w:tcW w:w="1827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20.93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40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93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P75</w:t>
            </w:r>
          </w:p>
        </w:tc>
        <w:tc>
          <w:tcPr>
            <w:tcW w:w="227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1.76 (1.57–1.97)</w:t>
            </w:r>
          </w:p>
        </w:tc>
        <w:tc>
          <w:tcPr>
            <w:tcW w:w="2364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1.32 (1.19–1.46)</w:t>
            </w:r>
          </w:p>
        </w:tc>
        <w:tc>
          <w:tcPr>
            <w:tcW w:w="1827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21.34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99" w:type="dxa"/>
            <w:vMerge w:val="restart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409" w:type="dxa"/>
            <w:vMerge w:val="restart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Mean temperature</w:t>
            </w:r>
          </w:p>
        </w:tc>
        <w:tc>
          <w:tcPr>
            <w:tcW w:w="93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P25</w:t>
            </w:r>
          </w:p>
        </w:tc>
        <w:tc>
          <w:tcPr>
            <w:tcW w:w="227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1.51 (1.37–1.66)</w:t>
            </w:r>
          </w:p>
        </w:tc>
        <w:tc>
          <w:tcPr>
            <w:tcW w:w="2364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1.42 (1.26–1.59)</w:t>
            </w:r>
          </w:p>
        </w:tc>
        <w:tc>
          <w:tcPr>
            <w:tcW w:w="1827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20.72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40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93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P50</w:t>
            </w:r>
          </w:p>
        </w:tc>
        <w:tc>
          <w:tcPr>
            <w:tcW w:w="227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1.60 (1.45–1.76)</w:t>
            </w:r>
          </w:p>
        </w:tc>
        <w:tc>
          <w:tcPr>
            <w:tcW w:w="2364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1.30 (1.19–1.43)</w:t>
            </w:r>
          </w:p>
        </w:tc>
        <w:tc>
          <w:tcPr>
            <w:tcW w:w="1827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21.02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40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93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P75</w:t>
            </w:r>
          </w:p>
        </w:tc>
        <w:tc>
          <w:tcPr>
            <w:tcW w:w="227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1.70 (1.51–1.91)</w:t>
            </w:r>
          </w:p>
        </w:tc>
        <w:tc>
          <w:tcPr>
            <w:tcW w:w="2364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1.20 (1.10–1.30)</w:t>
            </w:r>
          </w:p>
        </w:tc>
        <w:tc>
          <w:tcPr>
            <w:tcW w:w="1827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21.43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99" w:type="dxa"/>
            <w:vMerge w:val="restart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409" w:type="dxa"/>
            <w:vMerge w:val="restart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NDVI</w:t>
            </w:r>
          </w:p>
        </w:tc>
        <w:tc>
          <w:tcPr>
            <w:tcW w:w="93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P25</w:t>
            </w:r>
          </w:p>
        </w:tc>
        <w:tc>
          <w:tcPr>
            <w:tcW w:w="227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1.54 (1.39–1.71)</w:t>
            </w:r>
          </w:p>
        </w:tc>
        <w:tc>
          <w:tcPr>
            <w:tcW w:w="2364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1.70 (1.49–1.95)</w:t>
            </w:r>
          </w:p>
        </w:tc>
        <w:tc>
          <w:tcPr>
            <w:tcW w:w="1827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19.75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40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93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P50</w:t>
            </w:r>
          </w:p>
        </w:tc>
        <w:tc>
          <w:tcPr>
            <w:tcW w:w="227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1.63 (1.47–1.81)</w:t>
            </w:r>
          </w:p>
        </w:tc>
        <w:tc>
          <w:tcPr>
            <w:tcW w:w="2364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1.55 (1.38–1.74)</w:t>
            </w:r>
          </w:p>
        </w:tc>
        <w:tc>
          <w:tcPr>
            <w:tcW w:w="1827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20.13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40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93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P75</w:t>
            </w:r>
          </w:p>
        </w:tc>
        <w:tc>
          <w:tcPr>
            <w:tcW w:w="227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1.75 (1.55–1.97)</w:t>
            </w:r>
          </w:p>
        </w:tc>
        <w:tc>
          <w:tcPr>
            <w:tcW w:w="2364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1.38 (1.21–1.56)</w:t>
            </w:r>
          </w:p>
        </w:tc>
        <w:tc>
          <w:tcPr>
            <w:tcW w:w="1827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20.66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99" w:type="dxa"/>
            <w:vMerge w:val="restart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409" w:type="dxa"/>
            <w:vMerge w:val="restart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Mean temperature</w:t>
            </w:r>
          </w:p>
        </w:tc>
        <w:tc>
          <w:tcPr>
            <w:tcW w:w="93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P25</w:t>
            </w:r>
          </w:p>
        </w:tc>
        <w:tc>
          <w:tcPr>
            <w:tcW w:w="227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1.66 (1.53–1.80)</w:t>
            </w:r>
          </w:p>
        </w:tc>
        <w:tc>
          <w:tcPr>
            <w:tcW w:w="2364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1.65 (1.47–1.86)</w:t>
            </w:r>
          </w:p>
        </w:tc>
        <w:tc>
          <w:tcPr>
            <w:tcW w:w="1827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20.31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40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93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P50</w:t>
            </w:r>
          </w:p>
        </w:tc>
        <w:tc>
          <w:tcPr>
            <w:tcW w:w="227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1.75 (1.61–1.90)</w:t>
            </w:r>
          </w:p>
        </w:tc>
        <w:tc>
          <w:tcPr>
            <w:tcW w:w="2364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1.51 (1.39–1.65)</w:t>
            </w:r>
          </w:p>
        </w:tc>
        <w:tc>
          <w:tcPr>
            <w:tcW w:w="1827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20.49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40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93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P75</w:t>
            </w:r>
          </w:p>
        </w:tc>
        <w:tc>
          <w:tcPr>
            <w:tcW w:w="227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1.85 (1.68–2.04)</w:t>
            </w:r>
          </w:p>
        </w:tc>
        <w:tc>
          <w:tcPr>
            <w:tcW w:w="2364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1.38 (1.26–1.51)</w:t>
            </w:r>
          </w:p>
        </w:tc>
        <w:tc>
          <w:tcPr>
            <w:tcW w:w="1827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20.72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409" w:type="dxa"/>
            <w:vMerge w:val="restart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NDVI</w:t>
            </w:r>
          </w:p>
        </w:tc>
        <w:tc>
          <w:tcPr>
            <w:tcW w:w="93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P25</w:t>
            </w:r>
          </w:p>
        </w:tc>
        <w:tc>
          <w:tcPr>
            <w:tcW w:w="227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1.68 (1.54–1.83)</w:t>
            </w:r>
          </w:p>
        </w:tc>
        <w:tc>
          <w:tcPr>
            <w:tcW w:w="2364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1.58 (1.44–1.74)</w:t>
            </w:r>
          </w:p>
        </w:tc>
        <w:tc>
          <w:tcPr>
            <w:tcW w:w="1827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20.34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40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93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P50</w:t>
            </w:r>
          </w:p>
        </w:tc>
        <w:tc>
          <w:tcPr>
            <w:tcW w:w="227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1.75 (1.61–1.90)</w:t>
            </w:r>
          </w:p>
        </w:tc>
        <w:tc>
          <w:tcPr>
            <w:tcW w:w="2364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1.52 (1.39–1.66)</w:t>
            </w:r>
          </w:p>
        </w:tc>
        <w:tc>
          <w:tcPr>
            <w:tcW w:w="1827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20.49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40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93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P75</w:t>
            </w:r>
          </w:p>
        </w:tc>
        <w:tc>
          <w:tcPr>
            <w:tcW w:w="227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1.84 (1.67–2.02)</w:t>
            </w:r>
          </w:p>
        </w:tc>
        <w:tc>
          <w:tcPr>
            <w:tcW w:w="2364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1.45 (1.30–1.61)</w:t>
            </w:r>
          </w:p>
        </w:tc>
        <w:tc>
          <w:tcPr>
            <w:tcW w:w="1827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20.66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99" w:type="dxa"/>
            <w:vMerge w:val="restart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409" w:type="dxa"/>
            <w:vMerge w:val="restart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Mean RH</w:t>
            </w:r>
          </w:p>
        </w:tc>
        <w:tc>
          <w:tcPr>
            <w:tcW w:w="93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P25</w:t>
            </w:r>
          </w:p>
        </w:tc>
        <w:tc>
          <w:tcPr>
            <w:tcW w:w="227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1.39 (1.19–1.63)</w:t>
            </w:r>
          </w:p>
        </w:tc>
        <w:tc>
          <w:tcPr>
            <w:tcW w:w="2364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1.27 (1.08–1.48)</w:t>
            </w:r>
          </w:p>
        </w:tc>
        <w:tc>
          <w:tcPr>
            <w:tcW w:w="1827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21.52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40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93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P50</w:t>
            </w:r>
          </w:p>
        </w:tc>
        <w:tc>
          <w:tcPr>
            <w:tcW w:w="227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1.34 (1.16–1.54)</w:t>
            </w:r>
          </w:p>
        </w:tc>
        <w:tc>
          <w:tcPr>
            <w:tcW w:w="2364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1.16 (1.01–1.32)</w:t>
            </w:r>
          </w:p>
        </w:tc>
        <w:tc>
          <w:tcPr>
            <w:tcW w:w="1827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20.99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40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93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P75</w:t>
            </w:r>
          </w:p>
        </w:tc>
        <w:tc>
          <w:tcPr>
            <w:tcW w:w="227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1.28 (1.07–1.54)</w:t>
            </w:r>
          </w:p>
        </w:tc>
        <w:tc>
          <w:tcPr>
            <w:tcW w:w="2364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1.06 (0.88–1.27)</w:t>
            </w:r>
          </w:p>
        </w:tc>
        <w:tc>
          <w:tcPr>
            <w:tcW w:w="1827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14.45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409" w:type="dxa"/>
            <w:vMerge w:val="restart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Mean temperature</w:t>
            </w:r>
          </w:p>
        </w:tc>
        <w:tc>
          <w:tcPr>
            <w:tcW w:w="93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P25</w:t>
            </w:r>
          </w:p>
        </w:tc>
        <w:tc>
          <w:tcPr>
            <w:tcW w:w="227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1.30 (1.13–1.49)</w:t>
            </w:r>
          </w:p>
        </w:tc>
        <w:tc>
          <w:tcPr>
            <w:tcW w:w="2364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1.26 (1.06–1.50)</w:t>
            </w:r>
          </w:p>
        </w:tc>
        <w:tc>
          <w:tcPr>
            <w:tcW w:w="1827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21.05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40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93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P50</w:t>
            </w:r>
          </w:p>
        </w:tc>
        <w:tc>
          <w:tcPr>
            <w:tcW w:w="227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1.35 (1.17–1.55)</w:t>
            </w:r>
          </w:p>
        </w:tc>
        <w:tc>
          <w:tcPr>
            <w:tcW w:w="2364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1.17 (1.03–1.33)</w:t>
            </w:r>
          </w:p>
        </w:tc>
        <w:tc>
          <w:tcPr>
            <w:tcW w:w="1827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21.16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9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409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936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P75</w:t>
            </w:r>
          </w:p>
        </w:tc>
        <w:tc>
          <w:tcPr>
            <w:tcW w:w="227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1.40 (1.18–1.67)</w:t>
            </w:r>
          </w:p>
        </w:tc>
        <w:tc>
          <w:tcPr>
            <w:tcW w:w="2364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1.08 (0.95–1.23)</w:t>
            </w:r>
          </w:p>
        </w:tc>
        <w:tc>
          <w:tcPr>
            <w:tcW w:w="1827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highlight w:val="none"/>
              </w:rPr>
              <w:t>21.49</w:t>
            </w:r>
          </w:p>
        </w:tc>
      </w:tr>
    </w:tbl>
    <w:p>
      <w:pPr>
        <w:keepNext/>
        <w:spacing w:after="60"/>
        <w:rPr>
          <w:rFonts w:hint="default" w:ascii="Times New Roman" w:hAnsi="Times New Roman" w:cs="Times New Roman"/>
          <w:highlight w:val="none"/>
        </w:rPr>
      </w:pPr>
    </w:p>
    <w:p>
      <w:pPr>
        <w:pStyle w:val="3"/>
        <w:keepNext/>
        <w:rPr>
          <w:rFonts w:hint="default" w:ascii="Times New Roman" w:hAnsi="Times New Roman" w:cs="Times New Roman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highlight w:val="none"/>
          <w:lang w:val="en-US" w:eastAsia="zh-CN"/>
        </w:rPr>
        <w:t>Supplementary Figure S1</w:t>
      </w:r>
    </w:p>
    <w:p>
      <w:pPr>
        <w:jc w:val="center"/>
        <w:rPr>
          <w:rFonts w:hint="default" w:ascii="Times New Roman" w:hAnsi="Times New Roman" w:cs="Times New Roman"/>
          <w:color w:val="000000"/>
          <w:highlight w:val="none"/>
        </w:rPr>
      </w:pPr>
      <w:r>
        <w:rPr>
          <w:rFonts w:hint="default" w:ascii="Times New Roman" w:hAnsi="Times New Roman" w:cs="Times New Roman"/>
          <w:color w:val="000000"/>
          <w:highlight w:val="none"/>
        </w:rPr>
        <w:drawing>
          <wp:inline distT="0" distB="0" distL="114300" distR="114300">
            <wp:extent cx="4638675" cy="3843020"/>
            <wp:effectExtent l="0" t="0" r="9525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384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60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>Figure S1 | Predicted pooled cumulative exposure-response functions at the P25, P50 and P75 levels of each modifier retained in the outcome-specific Wald-P-selected model. Other standardized modifiers were fixed at 0. Curves are centred at the pooled MMT for the reference profile (all modifiers = 0); shaded bands show 95% confidence intervals.</w:t>
      </w:r>
    </w:p>
    <w:p>
      <w:pPr>
        <w:jc w:val="center"/>
        <w:rPr>
          <w:rFonts w:hint="default" w:ascii="Times New Roman" w:hAnsi="Times New Roman" w:cs="Times New Roman"/>
          <w:color w:val="000000"/>
          <w:highlight w:val="none"/>
        </w:rPr>
      </w:pPr>
    </w:p>
    <w:p>
      <w:pPr>
        <w:pStyle w:val="3"/>
        <w:keepNext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>Supplementary Figure S2</w:t>
      </w:r>
    </w:p>
    <w:p>
      <w:pPr>
        <w:jc w:val="center"/>
        <w:rPr>
          <w:highlight w:val="none"/>
        </w:rPr>
      </w:pPr>
      <w:r>
        <w:rPr>
          <w:highlight w:val="none"/>
        </w:rPr>
        <w:drawing>
          <wp:inline distT="0" distB="0" distL="114300" distR="114300">
            <wp:extent cx="5486400" cy="5846445"/>
            <wp:effectExtent l="0" t="0" r="0" b="190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46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</w:rPr>
        <w:t xml:space="preserve">Figure S2 | Comparison of pooled cumulative exposure–response functions under five COVID-19 handling strategies: the primary analysis, an extended 28-day exclusion window, restriction to the pre-COVID-19 period, a complete-series model with a COVID-19 wave spline, and the complete series without COVID-19 adjustment. All sensitivity analyses were re-pooled using the outcome-specific selected second-stage models. </w:t>
      </w:r>
    </w:p>
    <w:p>
      <w:pPr>
        <w:jc w:val="center"/>
        <w:rPr>
          <w:rFonts w:hint="default"/>
          <w:highlight w:val="none"/>
        </w:rPr>
      </w:pPr>
    </w:p>
    <w:p>
      <w:pPr>
        <w:pStyle w:val="3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>Supplementary Table S9</w:t>
      </w:r>
    </w:p>
    <w:p>
      <w:pPr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>Table S9 | County- and outcome-specific COVID-19 wave-spline calibration results. All selected configurations met the prespecified criterion of no more than 5% of wave-period residuals outside the full-series residual 2.5th–97.5th percentile interval.</w:t>
      </w:r>
    </w:p>
    <w:tbl>
      <w:tblPr>
        <w:tblStyle w:val="38"/>
        <w:tblW w:w="6664" w:type="dxa"/>
        <w:jc w:val="center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2"/>
        <w:gridCol w:w="1550"/>
        <w:gridCol w:w="1900"/>
        <w:gridCol w:w="1582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632" w:type="dxa"/>
            <w:tcBorders>
              <w:bottom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</w:rPr>
              <w:t>Outcome</w:t>
            </w:r>
          </w:p>
        </w:tc>
        <w:tc>
          <w:tcPr>
            <w:tcW w:w="1550" w:type="dxa"/>
            <w:tcBorders>
              <w:bottom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</w:rPr>
              <w:t>County</w:t>
            </w:r>
          </w:p>
        </w:tc>
        <w:tc>
          <w:tcPr>
            <w:tcW w:w="1900" w:type="dxa"/>
            <w:tcBorders>
              <w:bottom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</w:rPr>
              <w:t>Wave df/year</w:t>
            </w:r>
          </w:p>
        </w:tc>
        <w:tc>
          <w:tcPr>
            <w:tcW w:w="1582" w:type="dxa"/>
            <w:tcBorders>
              <w:bottom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</w:rPr>
              <w:t>Outside, 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tcBorders>
              <w:top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tcBorders>
              <w:top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Anlong</w:t>
            </w:r>
          </w:p>
        </w:tc>
        <w:tc>
          <w:tcPr>
            <w:tcW w:w="1900" w:type="dxa"/>
            <w:tcBorders>
              <w:top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240</w:t>
            </w:r>
          </w:p>
        </w:tc>
        <w:tc>
          <w:tcPr>
            <w:tcW w:w="1582" w:type="dxa"/>
            <w:tcBorders>
              <w:top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Baiyun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250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Bijiang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147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Bozhou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163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Ceheng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70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Cengong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Changshun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Chishui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157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Congjiang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Dafang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Danzhai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Daozhen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Dejiang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163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Dushan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250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Duyun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Fenggang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Fuquan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178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Guanling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178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Guanshanhu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Guiding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Hezhang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Honghuagang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Huangping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157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Huaxi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Huichuan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Huishui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Jiangkou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Jianhe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281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Jinping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101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Jinsha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Kaili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307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Kaiyang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235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Leishan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Libo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296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Liping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127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Liuzhi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132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Longli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152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Luodian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152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Majiang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Meitan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Nanming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Nayong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188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Panzhou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183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Pingba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127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Pingtang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152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Pu'an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60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Puding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Qianxi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281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Qinglong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Qingzhen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235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Qixingguan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Renhuai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291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Rongjiang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147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Sandu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152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Sansui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152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Shibing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Shiqian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245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Shuicheng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91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Sinan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127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Songtao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Suiyang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157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Taijiang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255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Tianzhu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276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Tongzi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147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Wangmo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Wanshan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132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Weining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Weng'an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265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Wuchuan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Wudang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250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Xifeng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157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Xingren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Xingyi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Xishui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Xiuwen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152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Xixiu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307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Yanhe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157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Yinjiang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Yunyan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Yuping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Yuqing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Zhenfeng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Zheng'an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Zhenning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Zhenyuan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Zhijin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121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Zhongshan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281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Ziyun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Anlong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276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Baiyun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235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Bijiang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Bozhou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Ceheng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Cengong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Changshun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276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Chishui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96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Congjiang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163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Dafang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173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Danzhai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Daozhen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116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Dejiang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163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Dushan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Duyun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Fenggang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255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Fuquan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157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Guanling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168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Guanshanhu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178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Guiding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157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Hezhang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Honghuagang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255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Huangping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173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Huaxi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106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Huichuan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142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0.00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Huishui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Jiangkou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245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Jianhe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271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Jinping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Jinsha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Kaili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265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Kaiyang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235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Leishan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Libo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281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Liping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65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Liuzhi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322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Longli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137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Luodian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Majiang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Meitan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142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Nanming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183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Nayong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Panzhou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168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Pingba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106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Pingtang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188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Pu'an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147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Puding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Qianxi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188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Qinglong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265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Qingzhen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168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Qixingguan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286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Renhuai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Rongjiang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245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Sandu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Sansui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281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Shibing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286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Shiqian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Shuicheng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132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Sinan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Songtao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Suiyang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Taijiang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168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Tianzhu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291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Tongzi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132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Wangmo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Wanshan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255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Weining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235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Weng'an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Wuchuan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Wudang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Xifeng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163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Xingren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Xingyi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Xishui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132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Xiuwen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173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Xixiu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152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Yanhe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240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Yinjiang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132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Yunyan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Yuping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271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Yuqing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296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Zhenfeng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Zheng'an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188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Zhenning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245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Zhenyuan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Zhijin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157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Zhongshan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235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Ziyun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250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Anlong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265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Baiyun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281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Bijiang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111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Bozhou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Ceheng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147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Cengong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168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Changshun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Chishui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157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Congjiang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235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Dafang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Danzhai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Daozhen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178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Dejiang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Dushan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Duyun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173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Fenggang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Fuquan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Guanling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Guanshanhu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178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Guiding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137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Hezhang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Honghuagang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260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Huangping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157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Huaxi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245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Huichuan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245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Huishui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152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Jiangkou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80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Jianhe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291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Jinping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173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Jinsha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Kaili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281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Kaiyang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Leishan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183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Libo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276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Liping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157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Liuzhi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137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Longli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245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Luodian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Majiang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178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Meitan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Nanming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260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Nayong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152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Panzhou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Pingba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Pingtang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Pu'an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Puding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Qianxi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250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Qinglong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188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Qingzhen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245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Qixingguan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Renhuai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Rongjiang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Sandu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Sansui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142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Shibing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168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Shiqian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157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Shuicheng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Sinan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127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Songtao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Suiyang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137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Taijiang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163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Tianzhu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271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Tongzi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245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Wangmo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173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Wanshan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132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Weining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Weng'an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188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Wuchuan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245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Wudang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291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Xifeng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152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Xingren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Xingyi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Xishui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Xiuwen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132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Xixiu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255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Yanhe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101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Yinjiang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286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Yunyan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Yuping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Yuqing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132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Zhenfeng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Zheng'an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250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Zhenning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Zhenyuan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178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Zhijin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250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Zhongshan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271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Ziyun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286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Anlong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137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Baiyun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Bijiang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173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Bozhou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Ceheng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152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Cengong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137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Changshun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Chishui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Congjiang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142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Dafang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250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Danzhai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147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Daozhen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173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Dejiang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245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Dushan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291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Duyun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Fenggang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168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Fuquan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163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Guanling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332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Guanshanhu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Guiding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Hezhang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Honghuagang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235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Huangping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157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Huaxi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250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Huichuan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142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Huishui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281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Jiangkou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240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Jianhe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265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Jinping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Jinsha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173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Kaili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152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Kaiyang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240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Leishan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Libo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281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Liping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127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Liuzhi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Longli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152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Luodian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Majiang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245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Meitan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Nanming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142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Nayong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Panzhou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Pingba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Pingtang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147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Pu'an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168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Puding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152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Qianxi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235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Qinglong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Qingzhen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60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Qixingguan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142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Renhuai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327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Rongjiang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281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Sandu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178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Sansui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137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Shibing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Shiqian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Shuicheng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168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Sinan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Songtao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286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Suiyang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163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Taijiang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55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Tianzhu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240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Tongzi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163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Wangmo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Wanshan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168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Weining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Weng'an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317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Wuchuan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142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Wudang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152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Xifeng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183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Xingren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255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Xingyi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163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Xishui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Xiuwen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Xixiu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85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Yanhe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178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Yinjiang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265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Yunyan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Yuping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188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Yuqing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235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Zhenfeng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152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Zheng'an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168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Zhenning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121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Zhenyuan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Zhijin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Zhongshan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168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Ziyun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178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Anlong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240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Baiyun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250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Bijiang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178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Bozhou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Ceheng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70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Cengong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Changshun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Chishui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Congjiang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245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Dafang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235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Danzhai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Daozhen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Dejiang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Dushan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271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Duyun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183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Fenggang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271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Fuquan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178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Guanling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Guanshanhu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Guiding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Hezhang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235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Honghuagang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281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Huangping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147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Huaxi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Huichuan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255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Huishui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235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Jiangkou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168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Jianhe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317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Jinping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152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Jinsha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250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Kaili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250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Kaiyang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307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Leishan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Libo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296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Liping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147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Liuzhi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137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Longli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137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Luodian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Majiang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Meitan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178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Nanming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245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Nayong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152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Panzhou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183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Pingba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147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Pingtang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147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Pu'an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Puding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271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Qianxi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281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Qinglong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Qingzhen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250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Qixingguan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Renhuai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291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Rongjiang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255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Sandu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178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Sansui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178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Shibing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250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Shiqian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271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Shuicheng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Sinan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168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Songtao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286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Suiyang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Taijiang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255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Tianzhu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312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Tongzi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Wangmo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178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Wanshan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132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Weining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250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Weng'an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265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Wuchuan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183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Wudang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250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Xifeng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157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Xingren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Xingyi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Xishui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Xiuwen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152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Xixiu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157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Yanhe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Yinjiang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Yunyan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132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Yuping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188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Yuqing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235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Zhenfeng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Zheng'an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240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Zhenning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Zhenyuan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332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Zhijin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168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Zhongshan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281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Ziyun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Anlong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137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Baiyun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250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Bijiang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245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Bozhou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152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Ceheng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65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Cengong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250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Changshun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188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Chishui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147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Congjiang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147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Dafang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188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Danzhai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183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Daozhen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260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Dejiang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240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Dushan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163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Duyun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163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Fenggang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116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Fuquan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111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Guanling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168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Guanshanhu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132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Guiding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Hezhang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Honghuagang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Huangping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240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Huaxi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183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Huichuan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Huishui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111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Jiangkou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173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Jianhe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183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Jinping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178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Jinsha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178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Kaili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Kaiyang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Leishan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Libo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Liping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137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Liuzhi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Longli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Luodian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147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Majiang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147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Meitan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137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Nanming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Nayong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Panzhou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255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Pingba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121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Pingtang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152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Pu'an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Puding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142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Qianxi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Qinglong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173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Qingzhen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Qixingguan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106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Renhuai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163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Rongjiang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142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Sandu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147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Sansui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286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Shibing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Shiqian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132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Shuicheng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127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Sinan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127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Songtao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178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Suiyang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132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Taijiang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Tianzhu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Tongzi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163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Wangmo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142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Wanshan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173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Weining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188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Weng'an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276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Wuchuan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Wudang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80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Xifeng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178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Xingren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Xingyi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116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Xishui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142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Xiuwen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240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Xixiu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Yanhe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Yinjiang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235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Yunyan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Yuping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121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Yuqing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260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Zhenfeng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142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Zheng'an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Zhenning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29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Zhenyuan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Zhijin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Zhongshan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142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3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55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Ziyun</w:t>
            </w:r>
          </w:p>
        </w:tc>
        <w:tc>
          <w:tcPr>
            <w:tcW w:w="19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224</w:t>
            </w:r>
          </w:p>
        </w:tc>
        <w:tc>
          <w:tcPr>
            <w:tcW w:w="1582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2.82</w:t>
            </w:r>
          </w:p>
        </w:tc>
      </w:tr>
    </w:tbl>
    <w:p>
      <w:pPr>
        <w:pStyle w:val="3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>Supplementary Figure S3</w:t>
      </w:r>
    </w:p>
    <w:p>
      <w:pPr>
        <w:ind w:left="0" w:leftChars="0" w:right="0" w:rightChars="0" w:firstLine="0" w:firstLineChars="0"/>
        <w:jc w:val="center"/>
        <w:rPr>
          <w:rFonts w:hint="default" w:ascii="Times New Roman" w:hAnsi="Times New Roman" w:eastAsia="宋体" w:cs="Times New Roman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highlight w:val="none"/>
          <w:lang w:eastAsia="zh-CN"/>
        </w:rPr>
        <w:drawing>
          <wp:inline distT="0" distB="0" distL="114300" distR="114300">
            <wp:extent cx="5720080" cy="4001135"/>
            <wp:effectExtent l="0" t="0" r="7620" b="12065"/>
            <wp:docPr id="6" name="图片 6" descr="FigureS4_percentile_ER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ureS4_percentile_ER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20080" cy="400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0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</w:rPr>
        <w:t>Figure S3 | Pooled percentile-based temperature-mortality exposure-response functions from outcome-specific selected second-stage models. Within each county, daily population-weighted temperature was converted to its empirical percentile over 2020–2024; the percentile scale was then fitted using the same first-stage distributed-lag specification. Curves show selected-model pooled relative risks with 95% confidence intervals.</w:t>
      </w:r>
    </w:p>
    <w:p>
      <w:pPr>
        <w:ind w:left="0" w:leftChars="0" w:right="0" w:rightChars="0" w:firstLine="0" w:firstLineChars="0"/>
        <w:jc w:val="center"/>
        <w:rPr>
          <w:rFonts w:hint="default" w:ascii="Times New Roman" w:hAnsi="Times New Roman" w:eastAsia="宋体" w:cs="Times New Roman"/>
          <w:highlight w:val="none"/>
          <w:lang w:eastAsia="zh-CN"/>
        </w:rPr>
      </w:pPr>
    </w:p>
    <w:p>
      <w:pPr>
        <w:pStyle w:val="3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>Supplementary Figure S4</w:t>
      </w:r>
    </w:p>
    <w:p>
      <w:pPr>
        <w:jc w:val="center"/>
        <w:rPr>
          <w:rFonts w:hint="default" w:ascii="Times New Roman" w:hAnsi="Times New Roman" w:eastAsia="宋体" w:cs="Times New Roman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highlight w:val="none"/>
          <w:lang w:eastAsia="zh-CN"/>
        </w:rPr>
        <w:drawing>
          <wp:inline distT="0" distB="0" distL="114300" distR="114300">
            <wp:extent cx="4581525" cy="4326255"/>
            <wp:effectExtent l="0" t="0" r="9525" b="17145"/>
            <wp:docPr id="7" name="图片 7" descr="FigureS5_pollutant_adjustment_sensitivity_ER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ureS5_pollutant_adjustment_sensitivity_ER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432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</w:rPr>
        <w:t xml:space="preserve">Figure S4 | Comparison of pooled cumulative exposure-response functions from the primary analysis and models adjusted for PM2.5 only, SO2 only, PM2.5 + SO2 + O3, O3 only, or neither pollutant. </w:t>
      </w:r>
    </w:p>
    <w:p>
      <w:pPr>
        <w:jc w:val="center"/>
        <w:rPr>
          <w:rFonts w:hint="default" w:ascii="Times New Roman" w:hAnsi="Times New Roman" w:eastAsia="宋体" w:cs="Times New Roman"/>
          <w:highlight w:val="none"/>
          <w:lang w:eastAsia="zh-CN"/>
        </w:rPr>
      </w:pPr>
    </w:p>
    <w:p>
      <w:pPr>
        <w:pStyle w:val="3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>Supplementary Table S10</w:t>
      </w:r>
    </w:p>
    <w:p>
      <w:pPr>
        <w:rPr>
          <w:rFonts w:hint="default" w:ascii="Times New Roman" w:hAnsi="Times New Roman" w:cs="Times New Roman"/>
          <w:sz w:val="22"/>
          <w:szCs w:val="22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 xml:space="preserve">Table S10 | </w:t>
      </w:r>
      <w:r>
        <w:rPr>
          <w:rFonts w:hint="default" w:ascii="Times New Roman" w:hAnsi="Times New Roman" w:eastAsia="宋体" w:cs="Times New Roman"/>
          <w:sz w:val="22"/>
          <w:szCs w:val="22"/>
          <w:highlight w:val="none"/>
        </w:rPr>
        <w:t>GCM-specific projected temperature-attributable burdens estimated using county-specific overall-mortality BLUP exposure–response functions.</w:t>
      </w:r>
    </w:p>
    <w:tbl>
      <w:tblPr>
        <w:tblStyle w:val="38"/>
        <w:tblW w:w="10801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3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543" w:type="dxa"/>
            <w:tcBorders>
              <w:bottom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</w:rPr>
              <w:t>Scenario</w:t>
            </w:r>
          </w:p>
        </w:tc>
        <w:tc>
          <w:tcPr>
            <w:tcW w:w="1543" w:type="dxa"/>
            <w:tcBorders>
              <w:bottom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</w:rPr>
              <w:t>GCM</w:t>
            </w:r>
          </w:p>
        </w:tc>
        <w:tc>
          <w:tcPr>
            <w:tcW w:w="1543" w:type="dxa"/>
            <w:tcBorders>
              <w:bottom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</w:rPr>
              <w:t>Period</w:t>
            </w:r>
          </w:p>
        </w:tc>
        <w:tc>
          <w:tcPr>
            <w:tcW w:w="1543" w:type="dxa"/>
            <w:tcBorders>
              <w:bottom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</w:rPr>
              <w:t>Component</w:t>
            </w:r>
          </w:p>
        </w:tc>
        <w:tc>
          <w:tcPr>
            <w:tcW w:w="1543" w:type="dxa"/>
            <w:tcBorders>
              <w:bottom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</w:rPr>
              <w:t>AN</w:t>
            </w:r>
          </w:p>
        </w:tc>
        <w:tc>
          <w:tcPr>
            <w:tcW w:w="1543" w:type="dxa"/>
            <w:tcBorders>
              <w:bottom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</w:rPr>
              <w:t>Expected deaths</w:t>
            </w:r>
          </w:p>
        </w:tc>
        <w:tc>
          <w:tcPr>
            <w:tcW w:w="1543" w:type="dxa"/>
            <w:tcBorders>
              <w:bottom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</w:rPr>
              <w:t>AF, 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tcBorders>
              <w:top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tcBorders>
              <w:top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GFDL-ESM4</w:t>
            </w:r>
          </w:p>
        </w:tc>
        <w:tc>
          <w:tcPr>
            <w:tcW w:w="1543" w:type="dxa"/>
            <w:tcBorders>
              <w:top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tcBorders>
              <w:top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1543" w:type="dxa"/>
            <w:tcBorders>
              <w:top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263,393.79</w:t>
            </w:r>
          </w:p>
        </w:tc>
        <w:tc>
          <w:tcPr>
            <w:tcW w:w="1543" w:type="dxa"/>
            <w:tcBorders>
              <w:top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3,081,047.74</w:t>
            </w:r>
          </w:p>
        </w:tc>
        <w:tc>
          <w:tcPr>
            <w:tcW w:w="1543" w:type="dxa"/>
            <w:tcBorders>
              <w:top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8.55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GFDL-ESM4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274,098.88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3,081,343.63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8.90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GFDL-ESM4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280,969.24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3,773,890.36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7.45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GFDL-ESM4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251,402.29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3,721,133.17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6.76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GFDL-ESM4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301,107.28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4,553,511.50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6.61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GFDL-ESM4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220,729.49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4,280,136.85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5.16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GFDL-ESM4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32,708.22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3,081,047.74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GFDL-ESM4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39,696.07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3,081,343.63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1.29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GFDL-ESM4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24,157.59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3,773,890.36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0.64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GFDL-ESM4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14,589.07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3,721,133.17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0.39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GFDL-ESM4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23,885.43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4,553,511.50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0.52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GFDL-ESM4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9,764.43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4,280,136.85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0.23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GFDL-ESM4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29,218.02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3,081,047.74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0.95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GFDL-ESM4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39,789.73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3,081,343.63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1.29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GFDL-ESM4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89,785.57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3,773,890.36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2.38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GFDL-ESM4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150,675.57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3,721,133.17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GFDL-ESM4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121,941.80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4,553,511.50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2.68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GFDL-ESM4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351,954.81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4,280,136.85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8.22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GFDL-ESM4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97,169.45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3,081,047.74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3.15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GFDL-ESM4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115,090.02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3,081,343.63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3.74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GFDL-ESM4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184,220.32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3,773,890.36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4.88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GFDL-ESM4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239,394.71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3,721,133.17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6.43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GFDL-ESM4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249,959.47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4,553,511.50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5.49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GFDL-ESM4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446,120.85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4,280,136.85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10.42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GFDL-ESM4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360,563.24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3,081,047.74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11.70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GFDL-ESM4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389,188.90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3,081,343.63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12.63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GFDL-ESM4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465,189.56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3,773,890.36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12.33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GFDL-ESM4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490,797.00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3,721,133.17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13.19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GFDL-ESM4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551,066.75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4,553,511.50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12.10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GFDL-ESM4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666,850.35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4,280,136.85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15.58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IPSL-CM6A-LR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266,418.00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3,081,047.74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8.65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IPSL-CM6A-LR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268,876.22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3,081,343.63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8.73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IPSL-CM6A-LR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273,023.42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3,773,890.36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7.23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IPSL-CM6A-LR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221,225.42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3,721,133.17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5.95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IPSL-CM6A-LR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293,649.17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4,553,511.50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6.45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IPSL-CM6A-LR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160,062.99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4,280,136.85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3.74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IPSL-CM6A-LR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40,488.65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3,081,047.74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1.31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IPSL-CM6A-LR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51,732.50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3,081,343.63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1.68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IPSL-CM6A-LR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38,241.76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3,773,890.36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IPSL-CM6A-LR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27,959.88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3,721,133.17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0.75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IPSL-CM6A-LR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37,433.98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4,553,511.50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0.82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IPSL-CM6A-LR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5,402.66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4,280,136.85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0.13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IPSL-CM6A-LR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18,162.93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3,081,047.74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0.59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IPSL-CM6A-LR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22,566.11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3,081,343.63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0.73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IPSL-CM6A-LR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91,499.50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3,773,890.36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2.42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IPSL-CM6A-LR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163,855.07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3,721,133.17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4.40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IPSL-CM6A-LR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191,587.11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4,553,511.50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4.21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IPSL-CM6A-LR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628,200.97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4,280,136.85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14.68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IPSL-CM6A-LR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83,287.26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3,081,047.74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2.70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IPSL-CM6A-LR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93,498.47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3,081,343.63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3.03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IPSL-CM6A-LR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191,687.78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3,773,890.36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5.08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IPSL-CM6A-LR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275,737.82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3,721,133.17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7.41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IPSL-CM6A-LR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314,908.96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4,553,511.50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6.92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IPSL-CM6A-LR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713,463.11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4,280,136.85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IPSL-CM6A-LR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349,705.26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3,081,047.74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11.35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IPSL-CM6A-LR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362,374.69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3,081,343.63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11.76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IPSL-CM6A-LR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464,711.19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3,773,890.36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12.31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IPSL-CM6A-LR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496,963.24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3,721,133.17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13.36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IPSL-CM6A-LR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608,558.14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4,553,511.50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13.36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IPSL-CM6A-LR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873,526.10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4,280,136.85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20.41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MPI-ESM1-2-HR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274,523.74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3,081,047.74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8.91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MPI-ESM1-2-HR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268,023.65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3,081,343.63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8.70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MPI-ESM1-2-HR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293,465.88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3,773,890.36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7.78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MPI-ESM1-2-HR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263,579.12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3,721,133.17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7.08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MPI-ESM1-2-HR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308,149.17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4,553,511.50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6.77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MPI-ESM1-2-HR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218,919.60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4,280,136.85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5.11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MPI-ESM1-2-HR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30,363.07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3,081,047.74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0.99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MPI-ESM1-2-HR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33,525.35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3,081,343.63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MPI-ESM1-2-HR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38,885.73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3,773,890.36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1.03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MPI-ESM1-2-HR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24,890.70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3,721,133.17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0.67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MPI-ESM1-2-HR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22,069.70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4,553,511.50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0.48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MPI-ESM1-2-HR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8,396.70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4,280,136.85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0.20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MPI-ESM1-2-HR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13,932.52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3,081,047.74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0.45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MPI-ESM1-2-HR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25,576.91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3,081,343.63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0.83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MPI-ESM1-2-HR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54,360.80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3,773,890.36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1.44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MPI-ESM1-2-HR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101,927.29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3,721,133.17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2.74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MPI-ESM1-2-HR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99,890.72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4,553,511.50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2.19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MPI-ESM1-2-HR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342,541.11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4,280,136.85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8.00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MPI-ESM1-2-HR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74,849.61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3,081,047.74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2.43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MPI-ESM1-2-HR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93,566.67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3,081,343.63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3.04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MPI-ESM1-2-HR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147,657.47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3,773,890.36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3.91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MPI-ESM1-2-HR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205,726.75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3,721,133.17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5.53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MPI-ESM1-2-HR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224,949.57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4,553,511.50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4.94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MPI-ESM1-2-HR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439,204.06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4,280,136.85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10.26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MPI-ESM1-2-HR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349,373.35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3,081,047.74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11.34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MPI-ESM1-2-HR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361,590.31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3,081,343.63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11.73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MPI-ESM1-2-HR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441,123.35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3,773,890.36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11.69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MPI-ESM1-2-HR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469,305.87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3,721,133.17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12.61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MPI-ESM1-2-HR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533,098.74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4,553,511.50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11.71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MPI-ESM1-2-HR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658,123.67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4,280,136.85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15.38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MRI-ESM2-0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239,999.65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3,081,047.74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7.79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MRI-ESM2-0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228,853.10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3,081,343.63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7.43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MRI-ESM2-0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257,599.92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3,773,890.36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6.83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MRI-ESM2-0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217,909.36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3,721,133.17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5.86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MRI-ESM2-0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321,589.48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4,553,511.50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7.06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MRI-ESM2-0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208,378.10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4,280,136.85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4.87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MRI-ESM2-0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23,206.59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3,081,047.74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0.75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MRI-ESM2-0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29,636.04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3,081,343.63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0.96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MRI-ESM2-0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26,618.29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3,773,890.36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0.71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MRI-ESM2-0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15,166.25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3,721,133.17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0.41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MRI-ESM2-0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62,353.34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4,553,511.50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1.37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MRI-ESM2-0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11,699.67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4,280,136.85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0.27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MRI-ESM2-0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22,366.12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3,081,047.74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0.73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MRI-ESM2-0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36,941.10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3,081,343.63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1.20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MRI-ESM2-0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67,717.15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3,773,890.36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1.79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MRI-ESM2-0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104,304.33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3,721,133.17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MRI-ESM2-0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78,021.45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4,553,511.50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1.71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MRI-ESM2-0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312,224.48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4,280,136.85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7.29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MRI-ESM2-0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94,510.23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3,081,047.74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3.07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MRI-ESM2-0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116,719.23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3,081,343.63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3.79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MRI-ESM2-0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174,469.46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3,773,890.36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4.62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MRI-ESM2-0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213,825.14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3,721,133.17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5.75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MRI-ESM2-0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212,262.06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4,553,511.50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4.66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MRI-ESM2-0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418,070.87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4,280,136.85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9.77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MRI-ESM2-0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334,509.89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3,081,047.74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10.86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MRI-ESM2-0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345,572.32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3,081,343.63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11.21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MRI-ESM2-0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432,069.38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3,773,890.36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11.45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MRI-ESM2-0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431,734.50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3,721,133.17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11.60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MRI-ESM2-0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533,851.54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4,553,511.50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11.72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MRI-ESM2-0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626,448.96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4,280,136.85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14.64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UKESM1-0-LL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230,009.04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3,081,047.74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7.47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UKESM1-0-LL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228,280.31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3,081,343.63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7.41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UKESM1-0-LL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228,059.01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3,773,890.36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6.04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UKESM1-0-LL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195,920.75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3,721,133.17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5.27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UKESM1-0-LL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249,994.53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4,553,511.50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5.49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UKESM1-0-LL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121,526.67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4,280,136.85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2.84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UKESM1-0-LL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20,878.51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3,081,047.74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0.68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UKESM1-0-LL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24,178.95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3,081,343.63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0.78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UKESM1-0-LL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8,194.34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3,773,890.36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0.22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UKESM1-0-LL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7,416.21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3,721,133.17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0.20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UKESM1-0-LL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12,288.78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4,553,511.50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0.27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UKESM1-0-LL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cold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332.25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4,280,136.85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0.01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UKESM1-0-LL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43,054.72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3,081,047.74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1.40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UKESM1-0-LL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61,557.28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3,081,343.63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2.00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UKESM1-0-LL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220,012.31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3,773,890.36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5.83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UKESM1-0-LL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380,303.24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3,721,133.17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10.22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UKESM1-0-LL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313,065.92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4,553,511.50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6.88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UKESM1-0-LL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932,031.17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4,280,136.85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21.78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UKESM1-0-LL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123,414.30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3,081,047.74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UKESM1-0-LL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148,346.05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3,081,343.63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4.81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UKESM1-0-LL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302,822.84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3,773,890.36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8.02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UKESM1-0-LL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445,040.13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3,721,133.17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11.96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UKESM1-0-LL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423,745.03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4,553,511.50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9.31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UKESM1-0-LL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1,000,254.26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4,280,136.85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23.37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UKESM1-0-LL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353,423.34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3,081,047.74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11.47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UKESM1-0-LL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376,626.36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3,081,343.63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12.22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UKESM1-0-LL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530,881.85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3,773,890.36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14.07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UKESM1-0-LL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640,960.88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3,721,133.17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17.22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UKESM1-0-LL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673,739.57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4,553,511.50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14.80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UKESM1-0-LL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1,121,780.93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4,280,136.85</w:t>
            </w:r>
          </w:p>
        </w:tc>
        <w:tc>
          <w:tcPr>
            <w:tcW w:w="1543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26.21</w:t>
            </w:r>
          </w:p>
        </w:tc>
      </w:tr>
    </w:tbl>
    <w:p>
      <w:pPr>
        <w:pStyle w:val="3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>Supplementary Figure S5</w:t>
      </w:r>
    </w:p>
    <w:p>
      <w:pPr>
        <w:jc w:val="center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drawing>
          <wp:inline distT="0" distB="0" distL="114300" distR="114300">
            <wp:extent cx="5486400" cy="4645660"/>
            <wp:effectExtent l="0" t="0" r="0" b="254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6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</w:rPr>
        <w:t>Figure S5 | Global-climate-model-specific projected temperature-attributable burdens under SSP2-4.5 and SSP5-8.5.</w:t>
      </w:r>
    </w:p>
    <w:p>
      <w:pPr>
        <w:jc w:val="center"/>
        <w:rPr>
          <w:rFonts w:hint="default" w:ascii="Times New Roman" w:hAnsi="Times New Roman" w:cs="Times New Roman"/>
          <w:highlight w:val="none"/>
        </w:rPr>
      </w:pPr>
    </w:p>
    <w:p>
      <w:pPr>
        <w:pStyle w:val="3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>Supplementary Table S11</w:t>
      </w:r>
    </w:p>
    <w:p>
      <w:pPr>
        <w:jc w:val="center"/>
        <w:rPr>
          <w:rFonts w:hint="default" w:ascii="Times New Roman" w:hAnsi="Times New Roman" w:cs="Times New Roman"/>
          <w:highlight w:val="none"/>
        </w:rPr>
      </w:pPr>
      <w:bookmarkStart w:id="1" w:name="OLE_LINK1"/>
      <w:r>
        <w:rPr>
          <w:rFonts w:hint="default" w:ascii="Times New Roman" w:hAnsi="Times New Roman" w:cs="Times New Roman"/>
          <w:highlight w:val="none"/>
        </w:rPr>
        <w:t>Table S11 | Variation in projected attributable numbers across five global climate models.</w:t>
      </w:r>
    </w:p>
    <w:bookmarkEnd w:id="1"/>
    <w:tbl>
      <w:tblPr>
        <w:tblStyle w:val="38"/>
        <w:tblW w:w="10800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1800"/>
        <w:gridCol w:w="1800"/>
        <w:gridCol w:w="1800"/>
        <w:gridCol w:w="1800"/>
        <w:gridCol w:w="180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800" w:type="dxa"/>
            <w:tcBorders>
              <w:bottom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</w:rPr>
              <w:t>Scenario</w:t>
            </w:r>
          </w:p>
        </w:tc>
        <w:tc>
          <w:tcPr>
            <w:tcW w:w="1800" w:type="dxa"/>
            <w:tcBorders>
              <w:bottom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</w:rPr>
              <w:t>Period</w:t>
            </w:r>
          </w:p>
        </w:tc>
        <w:tc>
          <w:tcPr>
            <w:tcW w:w="1800" w:type="dxa"/>
            <w:tcBorders>
              <w:bottom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</w:rPr>
              <w:t>Component</w:t>
            </w:r>
          </w:p>
        </w:tc>
        <w:tc>
          <w:tcPr>
            <w:tcW w:w="1800" w:type="dxa"/>
            <w:tcBorders>
              <w:bottom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</w:rPr>
              <w:t>Minimum AN</w:t>
            </w:r>
          </w:p>
        </w:tc>
        <w:tc>
          <w:tcPr>
            <w:tcW w:w="1800" w:type="dxa"/>
            <w:tcBorders>
              <w:bottom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</w:rPr>
              <w:t>Maximum AN</w:t>
            </w:r>
          </w:p>
        </w:tc>
        <w:tc>
          <w:tcPr>
            <w:tcW w:w="1800" w:type="dxa"/>
            <w:tcBorders>
              <w:bottom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</w:rPr>
              <w:t>SD of AN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00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800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800" w:type="dxa"/>
            <w:tcBorders>
              <w:top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1800" w:type="dxa"/>
            <w:tcBorders>
              <w:top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230,009.04</w:t>
            </w:r>
          </w:p>
        </w:tc>
        <w:tc>
          <w:tcPr>
            <w:tcW w:w="1800" w:type="dxa"/>
            <w:tcBorders>
              <w:top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274,523.74</w:t>
            </w:r>
          </w:p>
        </w:tc>
        <w:tc>
          <w:tcPr>
            <w:tcW w:w="1800" w:type="dxa"/>
            <w:tcBorders>
              <w:top w:val="single" w:color="auto" w:sz="4" w:space="0"/>
            </w:tcBorders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18,917.42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cold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20,878.51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40,488.65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7,837.74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heat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13,932.52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43,054.72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11,394.46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74,849.61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123,414.30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18,404.61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334,509.89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360,563.24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9,520.35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Merge w:val="restart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228,059.01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293,465.88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25,178.95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cold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8,194.34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38,885.73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12,542.77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heat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54,360.80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220,012.31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66,323.80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147,657.47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302,822.84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59,753.72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432,069.38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530,881.85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38,661.82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Merge w:val="restart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249,994.53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321,589.48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27,131.46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cold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12,288.78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62,353.34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19,384.71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heat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78,021.45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313,065.92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95,137.91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212,262.06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423,745.03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86,990.37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533,098.74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673,739.57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60,764.29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00" w:type="dxa"/>
            <w:vMerge w:val="restart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800" w:type="dxa"/>
            <w:vMerge w:val="restart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228,280.31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274,098.88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22,995.11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cold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24,178.95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51,732.50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10,573.91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heat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22,566.11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61,557.28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15,405.03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93,498.47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148,346.05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22,497.34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345,572.32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389,188.90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16,543.83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Merge w:val="restart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195,920.75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263,579.12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27,249.71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cold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7,416.21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27,959.88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8,342.09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heat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101,927.29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380,303.24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115,181.30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205,726.75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445,040.13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98,385.22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431,734.50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640,960.88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79,669.70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Merge w:val="restart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121,526.67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220,729.49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43,646.67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cold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332.25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11,699.67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4,433.37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2" w:hRule="atLeast"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Extreme heat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312,224.48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932,031.17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266,533.40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418,070.87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1,000,254.26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252,809.77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Merge w:val="continue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626,448.96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1,121,780.93</w:t>
            </w:r>
          </w:p>
        </w:tc>
        <w:tc>
          <w:tcPr>
            <w:tcW w:w="1800" w:type="dxa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209,975.72</w:t>
            </w:r>
          </w:p>
        </w:tc>
      </w:tr>
    </w:tbl>
    <w:p>
      <w:pPr>
        <w:pStyle w:val="3"/>
        <w:spacing w:after="60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>Supplementary Table S12</w:t>
      </w:r>
    </w:p>
    <w:p>
      <w:pPr>
        <w:spacing w:after="100"/>
        <w:jc w:val="center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>Table S12 | County-specific projected temperature-attributable deaths for overall mortality. Values are cumulative attributable numbers over each 10-year reporting period and are presented as equal-weight means of five GCM-specific point estimates with 95% empirical intervals.</w:t>
      </w:r>
    </w:p>
    <w:tbl>
      <w:tblPr>
        <w:tblStyle w:val="38"/>
        <w:tblW w:w="10910" w:type="dxa"/>
        <w:jc w:val="center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5"/>
        <w:gridCol w:w="1561"/>
        <w:gridCol w:w="1601"/>
        <w:gridCol w:w="1620"/>
        <w:gridCol w:w="1562"/>
        <w:gridCol w:w="1601"/>
        <w:gridCol w:w="162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345" w:type="dxa"/>
            <w:tcBorders>
              <w:bottom w:val="single" w:color="auto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County</w:t>
            </w:r>
          </w:p>
        </w:tc>
        <w:tc>
          <w:tcPr>
            <w:tcW w:w="1561" w:type="dxa"/>
            <w:tcBorders>
              <w:bottom w:val="single" w:color="auto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SSP2-4.5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2030–2039</w:t>
            </w:r>
          </w:p>
        </w:tc>
        <w:tc>
          <w:tcPr>
            <w:tcW w:w="1601" w:type="dxa"/>
            <w:tcBorders>
              <w:bottom w:val="single" w:color="auto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SSP2-4.5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2060–2069</w:t>
            </w:r>
          </w:p>
        </w:tc>
        <w:tc>
          <w:tcPr>
            <w:tcW w:w="1620" w:type="dxa"/>
            <w:tcBorders>
              <w:bottom w:val="single" w:color="auto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SSP2-4.5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2090–2099</w:t>
            </w:r>
          </w:p>
        </w:tc>
        <w:tc>
          <w:tcPr>
            <w:tcW w:w="1562" w:type="dxa"/>
            <w:tcBorders>
              <w:bottom w:val="single" w:color="auto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SSP5-8.5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2030–2039</w:t>
            </w:r>
          </w:p>
        </w:tc>
        <w:tc>
          <w:tcPr>
            <w:tcW w:w="1601" w:type="dxa"/>
            <w:tcBorders>
              <w:bottom w:val="single" w:color="auto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SSP5-8.5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2060–2069</w:t>
            </w:r>
          </w:p>
        </w:tc>
        <w:tc>
          <w:tcPr>
            <w:tcW w:w="1620" w:type="dxa"/>
            <w:tcBorders>
              <w:bottom w:val="single" w:color="auto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SSP5-8.5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2090–2099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Borders>
              <w:top w:val="single" w:color="auto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Anlong</w:t>
            </w:r>
          </w:p>
        </w:tc>
        <w:tc>
          <w:tcPr>
            <w:tcW w:w="1561" w:type="dxa"/>
            <w:tcBorders>
              <w:top w:val="single" w:color="auto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2,137 (-191, 4,031)</w:t>
            </w:r>
          </w:p>
        </w:tc>
        <w:tc>
          <w:tcPr>
            <w:tcW w:w="1601" w:type="dxa"/>
            <w:tcBorders>
              <w:top w:val="single" w:color="auto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2,467 (56, 4,446)</w:t>
            </w:r>
          </w:p>
        </w:tc>
        <w:tc>
          <w:tcPr>
            <w:tcW w:w="1620" w:type="dxa"/>
            <w:tcBorders>
              <w:top w:val="single" w:color="auto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2,939 (146, 5,220)</w:t>
            </w:r>
          </w:p>
        </w:tc>
        <w:tc>
          <w:tcPr>
            <w:tcW w:w="1562" w:type="dxa"/>
            <w:tcBorders>
              <w:top w:val="single" w:color="auto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2,197 (-39, 4,045)</w:t>
            </w:r>
          </w:p>
        </w:tc>
        <w:tc>
          <w:tcPr>
            <w:tcW w:w="1601" w:type="dxa"/>
            <w:tcBorders>
              <w:top w:val="single" w:color="auto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2,445 (177, 4,316)</w:t>
            </w:r>
          </w:p>
        </w:tc>
        <w:tc>
          <w:tcPr>
            <w:tcW w:w="1620" w:type="dxa"/>
            <w:tcBorders>
              <w:top w:val="single" w:color="auto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3,587 (684, 7,137)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Baiyun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1,844 (-1,031, 4,268)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3,702 (-572, 7,406)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5,222 (-176, 10,001)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2,085 (-816, 4,539)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4,576 (162, 8,846)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9,043 (2,873, 16,111)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Bijiang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5,451 (2,187, 8,151)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8,079 (3,170, 12,152)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10,053 (3,866, 15,188)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5,557 (2,256, 8,267)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8,282 (3,192, 12,629)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11,203 (4,049, 17,654)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Bozhou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8,858 (1,667, 14,993)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13,048 (3,573, 21,492)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16,721 (5,175, 27,202)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9,665 (2,311, 15,912)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14,760 (4,672, 24,795)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24,029 (9,743, 40,061)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Ceheng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1,814 (-1,808, 4,718)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1,408 (-1,472, 3,763)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1,394 (-1,517, 3,774)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1,776 (-1,655, 4,542)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1,106 (-1,240, 3,012)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784 (-889, 2,200)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Cengong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2,317 (732, 3,472)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2,150 (660, 3,230)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2,269 (648, 3,452)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2,362 (753, 3,521)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2,040 (567, 3,130)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2,288 (658, 3,637)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Changshun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1,469 (-322, 2,937)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1,781 (-90, 3,295)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2,166 (92, 3,844)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1,566 (-206, 3,005)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1,909 (130, 3,416)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3,057 (744, 5,735)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Chishui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4,842 (1,836, 7,022)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6,080 (1,987, 9,001)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7,118 (2,118, 10,875)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5,107 (1,907, 7,472)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6,684 (1,880, 10,387)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8,727 (1,677, 14,219)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Congjiang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3,139 (-225, 5,811)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2,531 (-187, 4,647)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2,515 (-171, 4,596)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3,078 (-138, 5,597)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2,112 (-156, 3,891)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1,775 (-579, 3,498)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Dafang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7,590 (329, 13,513)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9,469 (1,442, 16,038)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11,437 (2,154, 19,127)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7,735 (672, 13,503)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9,855 (2,344, 16,726)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15,383 (5,855, 25,804)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Danzhai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1,225 (319, 2,002)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1,165 (332, 1,876)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1,258 (382, 2,019)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1,349 (375, 2,186)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1,380 (388, 2,269)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1,834 (601, 3,166)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Daozhen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2,651 (346, 4,422)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3,184 (766, 5,205)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3,722 (914, 6,219)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2,772 (453, 4,566)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3,510 (987, 5,890)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5,154 (2,014, 8,368)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Dejiang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5,059 (2,169, 7,499)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6,704 (2,989, 9,848)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8,093 (3,505, 12,185)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5,283 (2,345, 7,775)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7,172 (3,238, 10,838)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10,109 (4,857, 15,355)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Dushan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2,625 (353, 4,593)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3,134 (634, 5,351)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3,781 (977, 6,445)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2,775 (467, 4,731)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3,295 (846, 5,724)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4,919 (1,623, 9,032)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Duyun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7,539 (3,261, 11,018)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11,673 (5,430, 16,751)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15,073 (7,247, 21,527)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8,102 (3,665, 11,762)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13,265 (6,410, 19,592)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20,785 (10,557, 32,447)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Fenggang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3,147 (139, 5,656)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4,311 (645, 7,487)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5,299 (824, 9,300)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3,346 (320, 5,935)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4,777 (922, 8,306)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7,342 (2,221, 12,692)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Fuquan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2,150 (221, 3,891)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2,687 (541, 4,687)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3,235 (747, 5,560)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2,400 (353, 4,257)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3,198 (791, 5,614)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4,996 (1,799, 8,815)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Guanling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1,873 (-278, 3,550)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2,495 (-7, 4,513)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3,134 (169, 5,563)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1,988 (-136, 3,674)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2,646 (172, 4,778)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4,219 (855, 8,086)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Guanshanhu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1,364 (-1,167, 3,400)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2,371 (-928, 5,070)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3,226 (-954, 6,676)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1,588 (-951, 3,632)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2,967 (-554, 5,971)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5,719 (943, 10,692)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Guiding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2,732 (314, 4,636)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3,751 (760, 6,126)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4,679 (1,150, 7,532)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2,926 (474, 4,866)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4,220 (1,098, 7,005)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6,733 (2,467, 11,509)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Hezhang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6,140 (-913, 11,370)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6,492 (-196, 11,534)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7,385 (-51, 12,855)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6,076 (-637, 11,122)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6,234 (245, 10,882)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8,597 (2,231, 14,515)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Honghuagang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6,704 (1,528, 11,494)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11,744 (3,659, 19,485)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15,741 (5,318, 25,643)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7,219 (1,957, 12,068)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13,396 (4,808, 22,314)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22,277 (9,699, 36,236)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Huangping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2,791 (510, 4,684)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3,312 (895, 5,395)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3,901 (1,161, 6,262)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2,935 (679, 4,858)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3,472 (1,048, 5,741)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4,937 (1,848, 8,252)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Huaxi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4,420 (-646, 9,052)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8,749 (702, 16,301)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12,301 (1,972, 22,194)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5,046 (-155, 9,840)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10,762 (1,938, 19,925)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20,736 (7,438, 37,392)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Huichuan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8,952 (4,293, 13,143)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14,960 (7,567, 21,672)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19,701 (9,993, 28,581)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9,441 (4,731, 13,689)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16,567 (8,385, 24,594)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25,711 (13,868, 38,272)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Huishui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2,788 (46, 5,213)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3,398 (358, 6,016)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4,118 (627, 7,165)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2,949 (197, 5,343)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3,581 (602, 6,387)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5,523 (1,566, 10,230)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Jiangkou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2,211 (825, 3,354)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1,941 (731, 2,967)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1,999 (712, 3,087)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2,200 (848, 3,332)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1,760 (606, 2,774)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1,832 (541, 3,016)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Jianhe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2,703 (916, 4,190)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3,244 (1,103, 5,005)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3,800 (1,258, 5,917)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2,774 (953, 4,259)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3,216 (1,020, 5,139)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4,197 (1,189, 7,100)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Jinping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1,464 (-118, 2,782)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1,573 (-253, 3,041)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1,767 (-364, 3,459)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1,499 (-108, 2,823)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1,511 (-347, 2,992)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1,873 (-695, 3,883)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Jinsha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7,012 (3,271, 10,215)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8,390 (4,226, 12,145)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9,919 (5,109, 14,384)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7,366 (3,582, 10,662)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8,659 (4,339, 12,977)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11,956 (6,418, 18,037)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Kaili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6,203 (1,207, 10,525)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9,613 (2,592, 15,789)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12,368 (3,590, 20,080)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6,635 (1,595, 11,084)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10,677 (3,139, 17,726)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17,059 (5,898, 29,224)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Kaiyang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4,893 (1,756, 7,623)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6,620 (2,682, 10,108)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8,165 (3,413, 12,393)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5,171 (1,992, 7,944)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7,068 (2,953, 11,031)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10,504 (4,804, 16,707)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Leishan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1,382 (428, 2,214)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1,619 (578, 2,522)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1,910 (714, 2,957)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1,423 (477, 2,246)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1,640 (619, 2,601)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2,303 (941, 3,881)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Libo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1,234 (76, 2,222)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1,086 (25, 1,945)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1,137 (2, 2,049)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1,253 (103, 2,225)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996 (-37, 1,829)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1,102 (-172, 2,239)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Liping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5,109 (1,960, 7,555)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4,614 (1,719, 6,868)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4,813 (1,718, 7,232)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5,173 (2,007, 7,645)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4,249 (1,503, 6,468)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4,599 (1,374, 7,526)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Liuzhi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4,704 (541, 8,257)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6,696 (1,448, 11,167)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8,602 (2,221, 14,122)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4,956 (765, 8,488)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7,428 (2,178, 12,636)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12,681 (5,216, 22,342)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Longli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1,446 (-240, 2,741)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1,962 (-22, 3,603)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2,461 (142, 4,420)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1,583 (-123, 2,943)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2,256 (187, 4,113)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3,792 (1,016, 6,938)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Luodian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1,881 (-357, 3,758)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1,602 (-814, 3,504)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1,648 (-1,139, 3,838)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1,934 (-486, 3,923)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1,401 (-1,187, 3,395)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1,397 (-2,563, 4,202)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Majiang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1,461 (304, 2,412)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1,666 (442, 2,656)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1,941 (571, 3,076)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1,569 (385, 2,540)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1,813 (530, 2,943)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2,576 (976, 4,285)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Meitan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4,879 (1,374, 7,785)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6,780 (2,302, 10,557)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8,444 (2,951, 13,170)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5,160 (1,632, 8,141)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7,423 (2,764, 11,712)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11,190 (4,882, 17,713)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Nanming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7,269 (-4,651, 15,950)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15,422 (-4,229, 30,100)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22,202 (-4,074, 41,933)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8,202 (-3,683, 16,848)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19,155 (-1,794, 35,509)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37,476 (7,301, 66,265)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Nayong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4,706 (-599, 9,236)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5,399 (-88, 9,983)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6,367 (233, 11,504)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4,792 (-394, 9,179)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5,494 (489, 10,027)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8,580 (2,516, 15,457)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Panzhou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7,847 (163, 14,364)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9,092 (1,104, 15,813)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10,977 (1,795, 18,484)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8,019 (562, 14,307)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9,210 (1,810, 15,395)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14,899 (5,133, 28,025)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Pingba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1,617 (-784, 3,562)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2,738 (-326, 5,342)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3,705 (-23, 6,939)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1,837 (-608, 3,804)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3,313 (204, 6,355)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6,222 (1,781, 11,350)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Pingtang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2,188 (231, 3,895)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2,035 (303, 3,530)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2,200 (403, 3,759)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2,260 (342, 3,954)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1,946 (343, 3,395)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2,403 (590, 4,531)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Pu'an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1,682 (4, 3,121)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1,924 (257, 3,377)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2,304 (418, 3,972)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1,751 (120, 3,142)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1,962 (430, 3,419)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3,090 (1,041, 5,779)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Puding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2,889 (-387, 5,415)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4,276 (230, 7,448)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5,563 (622, 9,527)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3,220 (-166, 5,864)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5,024 (837, 8,685)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8,486 (2,957, 14,539)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Qianxi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5,449 (808, 9,565)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7,236 (1,938, 12,053)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8,942 (2,722, 14,520)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5,759 (1,136, 9,843)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7,970 (2,591, 13,439)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12,858 (5,463, 21,301)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Qinglong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1,313 (-158, 2,570)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1,624 (17, 3,051)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1,985 (60, 3,699)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1,421 (-62, 2,716)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1,715 (91, 3,220)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2,715 (489, 5,318)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Qingzhen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3,087 (-1,053, 6,767)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5,701 (-208, 11,156)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7,867 (513, 14,846)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3,505 (-682, 7,272)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6,898 (773, 13,176)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13,144 (4,386, 23,779)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Qixingguan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13,192 (1,296, 21,591)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18,498 (3,656, 29,314)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22,991 (5,278, 35,911)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13,400 (1,935, 21,700)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19,258 (4,902, 31,164)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30,045 (12,269, 48,215)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Renhuai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6,279 (1,542, 10,587)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9,225 (2,913, 15,013)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11,723 (4,000, 18,858)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6,609 (1,855, 10,926)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10,022 (3,584, 16,467)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15,726 (7,051, 25,299)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Rongjiang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3,384 (267, 5,607)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3,397 (301, 5,661)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3,719 (285, 6,239)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3,355 (375, 5,531)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3,034 (206, 5,175)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3,060 (-590, 5,725)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Sandu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2,626 (697, 4,197)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2,719 (670, 4,399)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3,065 (712, 5,039)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2,732 (735, 4,334)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2,657 (572, 4,480)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3,338 (687, 6,076)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Sansui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2,385 (650, 3,838)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2,847 (762, 4,557)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3,327 (830, 5,351)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2,444 (695, 3,889)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2,836 (669, 4,619)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3,732 (886, 6,386)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Shibing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1,331 (248, 2,274)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1,346 (297, 2,248)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1,474 (363, 2,439)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1,391 (286, 2,331)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1,328 (337, 2,228)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1,668 (528, 2,839)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Shiqian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4,381 (1,535, 6,780)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5,312 (2,028, 8,117)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6,261 (2,405, 9,627)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4,470 (1,651, 6,861)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5,356 (2,134, 8,317)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7,169 (3,004, 11,531)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Shuicheng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5,913 (-655, 11,214)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7,782 (135, 13,905)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9,661 (712, 16,733)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5,971 (-278, 11,061)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7,975 (755, 13,861)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13,020 (4,033, 23,357)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Sinan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5,109 (-277, 9,402)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6,615 (45, 11,820)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7,997 (113, 14,526)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5,393 (-29, 9,744)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7,075 (283, 12,736)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10,520 (1,756, 18,759)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Songtao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6,245 (2,385, 9,361)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6,804 (2,588, 10,185)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7,696 (2,880, 11,615)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6,309 (2,441, 9,433)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6,666 (2,523, 10,100)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8,315 (3,360, 12,952)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Suiyang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5,984 (2,496, 8,861)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7,714 (3,520, 11,365)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9,404 (4,357, 13,880)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6,307 (2,739, 9,226)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8,531 (3,984, 12,876)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12,333 (6,310, 18,684)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Taijiang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1,723 (431, 2,783)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2,337 (552, 3,761)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2,859 (668, 4,618)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1,797 (476, 2,883)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2,411 (543, 3,955)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3,401 (767, 5,794)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Tianzhu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3,808 (602, 6,244)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4,142 (523, 6,942)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4,664 (419, 7,947)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3,811 (645, 6,238)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3,893 (272, 6,761)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4,478 (-579, 8,380)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Tongzi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5,499 (972, 9,108)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7,877 (2,037, 12,757)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9,984 (2,694, 16,265)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5,812 (1,210, 9,552)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8,970 (2,608, 14,865)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14,293 (5,467, 23,314)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Wangmo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2,170 (-871, 4,639)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1,707 (-652, 3,625)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1,689 (-647, 3,550)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2,147 (-690, 4,465)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1,361 (-554, 2,859)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1,053 (-1,172, 2,477)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Wanshan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1,510 (377, 2,388)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1,341 (343, 2,113)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1,391 (341, 2,216)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1,509 (400, 2,380)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1,233 (311, 1,964)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1,327 (338, 2,203)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Weining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5,458 (-5,214, 13,783)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5,228 (-6,583, 14,190)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5,992 (-7,842, 16,663)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5,402 (-5,736, 13,863)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5,182 (-6,719, 14,421)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8,189 (-5,747, 20,777)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Weng'an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4,613 (1,541, 7,319)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6,100 (2,402, 9,440)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7,456 (3,014, 11,498)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4,866 (1,806, 7,629)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6,670 (2,807, 10,466)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9,879 (4,620, 15,889)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Wuchuan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3,831 (1,369, 5,934)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4,110 (1,639, 6,312)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4,573 (1,770, 7,233)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4,094 (1,521, 6,303)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4,732 (1,960, 7,510)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6,425 (2,854, 10,048)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Wudang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2,225 (86, 4,208)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3,462 (536, 6,116)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4,481 (914, 7,726)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2,363 (234, 4,333)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3,827 (845, 6,638)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6,436 (2,377, 11,207)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Xifeng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2,939 (1,135, 4,367)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3,788 (1,663, 5,561)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4,605 (2,114, 6,751)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3,118 (1,301, 4,592)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4,016 (1,876, 6,072)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5,850 (2,984, 8,982)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Xingren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2,981 (-297, 5,704)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3,868 (139, 6,970)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4,823 (403, 8,451)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3,079 (-89, 5,725)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4,000 (549, 6,979)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6,492 (1,746, 12,362)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Xingyi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8,310 (395, 14,837)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10,647 (1,087, 18,457)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13,031 (1,813, 22,040)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8,291 (633, 14,549)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10,238 (1,543, 17,224)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13,912 (3,550, 24,498)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Xishui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6,743 (2,886, 10,174)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7,670 (3,661, 11,465)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8,926 (4,308, 13,469)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7,341 (3,232, 11,031)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9,305 (4,460, 14,318)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13,415 (7,091, 20,182)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Xiuwen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2,534 (459, 4,341)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2,896 (801, 4,713)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3,376 (1,059, 5,417)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2,711 (630, 4,528)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3,120 (1,043, 5,138)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4,555 (1,996, 7,526)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Xixiu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4,245 (-3,836, 11,102)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8,041 (-3,685, 17,942)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11,365 (-3,200, 23,760)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4,738 (-3,393, 11,688)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10,007 (-1,857, 21,194)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21,464 (4,757, 42,871)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Yanhe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5,464 (2,443, 7,899)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6,499 (3,018, 9,377)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7,529 (3,398, 11,074)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5,608 (2,596, 8,079)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6,582 (3,057, 9,764)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8,685 (4,253, 12,983)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Yinjiang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3,613 (310, 6,645)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4,105 (421, 7,495)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4,694 (411, 8,631)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3,662 (390, 6,682)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4,073 (435, 7,490)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5,400 (846, 10,041)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Yunyan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10,065 (-235, 18,846)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21,472 (3,850, 36,515)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30,712 (7,971, 50,666)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11,448 (811, 20,576)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26,368 (7,823, 43,676)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48,388 (21,310, 77,277)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Yuping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1,773 (258, 2,966)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1,747 (282, 2,884)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1,907 (295, 3,139)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1,845 (300, 3,049)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1,735 (315, 2,840)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2,084 (510, 3,401)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Yuqing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2,704 (375, 4,635)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3,262 (621, 5,447)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3,862 (869, 6,329)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2,889 (511, 4,864)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3,680 (940, 6,114)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5,325 (1,827, 8,880)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Zhenfeng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2,921 (392, 4,963)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3,572 (674, 5,899)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4,314 (857, 7,065)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3,060 (540, 5,088)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3,594 (759, 6,027)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5,187 (991, 9,754)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Zheng'an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4,429 (569, 7,642)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5,464 (1,366, 9,112)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6,480 (1,642, 10,956)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4,702 (789, 8,004)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6,190 (1,832, 10,483)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9,321 (3,793, 15,256)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Zhenning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2,163 (-598, 4,577)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2,864 (-294, 5,589)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3,597 (-125, 6,808)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2,286 (-448, 4,644)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3,034 (45, 5,752)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4,957 (920, 9,658)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Zhenyuan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2,667 (1,132, 4,045)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2,509 (1,106, 3,793)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2,659 (1,178, 4,007)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2,733 (1,215, 4,114)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2,387 (1,062, 3,630)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2,732 (1,255, 4,263)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Zhijin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6,431 (289, 11,626)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8,667 (1,674, 14,766)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10,806 (2,710, 17,991)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6,797 (730, 11,965)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9,516 (2,639, 16,471)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15,734 (6,623, 27,478)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Zhongshan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3,420 (-3,762, 9,051)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5,202 (-3,973, 12,274)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6,838 (-4,297, 15,134)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3,544 (-3,466, 9,034)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5,943 (-2,897, 13,093)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12,242 (836, 24,970)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Ziyun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2,197 (125, 3,928)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2,261 (257, 3,907)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2,560 (349, 4,365)</w:t>
            </w:r>
          </w:p>
        </w:tc>
        <w:tc>
          <w:tcPr>
            <w:tcW w:w="156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2,258 (236, 3,960)</w:t>
            </w:r>
          </w:p>
        </w:tc>
        <w:tc>
          <w:tcPr>
            <w:tcW w:w="16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2,153 (295, 3,771)</w:t>
            </w:r>
          </w:p>
        </w:tc>
        <w:tc>
          <w:tcPr>
            <w:tcW w:w="16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2,797 (499, 5,435)</w:t>
            </w:r>
          </w:p>
        </w:tc>
      </w:tr>
    </w:tbl>
    <w:p>
      <w:pPr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br w:type="page"/>
      </w:r>
    </w:p>
    <w:p>
      <w:pPr>
        <w:pStyle w:val="3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>Supplementary Table S13</w:t>
      </w:r>
    </w:p>
    <w:p>
      <w:pPr>
        <w:jc w:val="center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>Table S13 | Province-level projected temperature-attributable numbers and fractions under SSP2-4.5 and SSP5-8.5 for the three reporting periods shown in the main figure. ANs are cumulative deaths over each 10-year period and are shown as equal-weight means of five climate-model-specific burdens with 95% empirical intervals. AFs indicate the corresponding percentage of expected deaths.</w:t>
      </w:r>
    </w:p>
    <w:tbl>
      <w:tblPr>
        <w:tblStyle w:val="38"/>
        <w:tblW w:w="9826" w:type="dxa"/>
        <w:jc w:val="center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2"/>
        <w:gridCol w:w="1582"/>
        <w:gridCol w:w="1264"/>
        <w:gridCol w:w="2872"/>
        <w:gridCol w:w="2746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362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Scenario</w:t>
            </w:r>
          </w:p>
        </w:tc>
        <w:tc>
          <w:tcPr>
            <w:tcW w:w="1582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Period</w:t>
            </w:r>
          </w:p>
        </w:tc>
        <w:tc>
          <w:tcPr>
            <w:tcW w:w="1264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Component</w:t>
            </w:r>
          </w:p>
        </w:tc>
        <w:tc>
          <w:tcPr>
            <w:tcW w:w="2872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AN (95% eCI)</w:t>
            </w:r>
          </w:p>
        </w:tc>
        <w:tc>
          <w:tcPr>
            <w:tcW w:w="2746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AF, % (95% eCI)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2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SSP2-4.5</w:t>
            </w:r>
          </w:p>
        </w:tc>
        <w:tc>
          <w:tcPr>
            <w:tcW w:w="1582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2030–2039</w:t>
            </w:r>
          </w:p>
        </w:tc>
        <w:tc>
          <w:tcPr>
            <w:tcW w:w="1264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Total</w:t>
            </w:r>
          </w:p>
        </w:tc>
        <w:tc>
          <w:tcPr>
            <w:tcW w:w="2872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349,515 (298,666–379,257)</w:t>
            </w:r>
          </w:p>
        </w:tc>
        <w:tc>
          <w:tcPr>
            <w:tcW w:w="2746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11.34 (9.69–12.31)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2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82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26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Cold</w:t>
            </w:r>
          </w:p>
        </w:tc>
        <w:tc>
          <w:tcPr>
            <w:tcW w:w="287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254,869 (201,933–291,570)</w:t>
            </w:r>
          </w:p>
        </w:tc>
        <w:tc>
          <w:tcPr>
            <w:tcW w:w="274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8.27 (6.55–9.46)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2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82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26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Heat</w:t>
            </w:r>
          </w:p>
        </w:tc>
        <w:tc>
          <w:tcPr>
            <w:tcW w:w="287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94,646 (62,399–131,087)</w:t>
            </w:r>
          </w:p>
        </w:tc>
        <w:tc>
          <w:tcPr>
            <w:tcW w:w="274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3.07 (2.03–4.25)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2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82" w:type="dxa"/>
            <w:vMerge w:val="restart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2060–2069</w:t>
            </w:r>
          </w:p>
        </w:tc>
        <w:tc>
          <w:tcPr>
            <w:tcW w:w="126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Total</w:t>
            </w:r>
          </w:p>
        </w:tc>
        <w:tc>
          <w:tcPr>
            <w:tcW w:w="287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466,795 (386,440–543,434)</w:t>
            </w:r>
          </w:p>
        </w:tc>
        <w:tc>
          <w:tcPr>
            <w:tcW w:w="274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12.37 (10.24–14.40)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2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82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26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Cold</w:t>
            </w:r>
          </w:p>
        </w:tc>
        <w:tc>
          <w:tcPr>
            <w:tcW w:w="287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266,623 (199,298–312,529)</w:t>
            </w:r>
          </w:p>
        </w:tc>
        <w:tc>
          <w:tcPr>
            <w:tcW w:w="274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7.06 (5.28–8.28)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2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82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26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Heat</w:t>
            </w:r>
          </w:p>
        </w:tc>
        <w:tc>
          <w:tcPr>
            <w:tcW w:w="287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200,172 (129,272–313,660)</w:t>
            </w:r>
          </w:p>
        </w:tc>
        <w:tc>
          <w:tcPr>
            <w:tcW w:w="274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5.30 (3.43–8.31)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2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82" w:type="dxa"/>
            <w:vMerge w:val="restart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2090–2099</w:t>
            </w:r>
          </w:p>
        </w:tc>
        <w:tc>
          <w:tcPr>
            <w:tcW w:w="126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Total</w:t>
            </w:r>
          </w:p>
        </w:tc>
        <w:tc>
          <w:tcPr>
            <w:tcW w:w="287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580,063 (471,828–689,275)</w:t>
            </w:r>
          </w:p>
        </w:tc>
        <w:tc>
          <w:tcPr>
            <w:tcW w:w="274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12.74 (10.36–15.14)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2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82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26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Cold</w:t>
            </w:r>
          </w:p>
        </w:tc>
        <w:tc>
          <w:tcPr>
            <w:tcW w:w="287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294,898 (217,953–344,837)</w:t>
            </w:r>
          </w:p>
        </w:tc>
        <w:tc>
          <w:tcPr>
            <w:tcW w:w="274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6.48 (4.79–7.57)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2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82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26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Heat</w:t>
            </w:r>
          </w:p>
        </w:tc>
        <w:tc>
          <w:tcPr>
            <w:tcW w:w="287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285,165 (184,434–438,012)</w:t>
            </w:r>
          </w:p>
        </w:tc>
        <w:tc>
          <w:tcPr>
            <w:tcW w:w="274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6.26 (4.05–9.62)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2" w:type="dxa"/>
            <w:vMerge w:val="restart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SSP5-8.5</w:t>
            </w:r>
          </w:p>
        </w:tc>
        <w:tc>
          <w:tcPr>
            <w:tcW w:w="1582" w:type="dxa"/>
            <w:vMerge w:val="restart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2030–2039</w:t>
            </w:r>
          </w:p>
        </w:tc>
        <w:tc>
          <w:tcPr>
            <w:tcW w:w="126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Total</w:t>
            </w:r>
          </w:p>
        </w:tc>
        <w:tc>
          <w:tcPr>
            <w:tcW w:w="287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367,071 (311,126–402,907)</w:t>
            </w:r>
          </w:p>
        </w:tc>
        <w:tc>
          <w:tcPr>
            <w:tcW w:w="274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11.91 (10.10–13.08)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2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82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26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Cold</w:t>
            </w:r>
          </w:p>
        </w:tc>
        <w:tc>
          <w:tcPr>
            <w:tcW w:w="287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253,626 (197,664–292,660)</w:t>
            </w:r>
          </w:p>
        </w:tc>
        <w:tc>
          <w:tcPr>
            <w:tcW w:w="274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8.23 (6.41–9.50)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2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82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26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Heat</w:t>
            </w:r>
          </w:p>
        </w:tc>
        <w:tc>
          <w:tcPr>
            <w:tcW w:w="287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113,444 (77,474–156,427)</w:t>
            </w:r>
          </w:p>
        </w:tc>
        <w:tc>
          <w:tcPr>
            <w:tcW w:w="274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3.68 (2.51–5.08)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2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82" w:type="dxa"/>
            <w:vMerge w:val="restart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2060–2069</w:t>
            </w:r>
          </w:p>
        </w:tc>
        <w:tc>
          <w:tcPr>
            <w:tcW w:w="126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Total</w:t>
            </w:r>
          </w:p>
        </w:tc>
        <w:tc>
          <w:tcPr>
            <w:tcW w:w="287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505,952 (392,904–652,437)</w:t>
            </w:r>
          </w:p>
        </w:tc>
        <w:tc>
          <w:tcPr>
            <w:tcW w:w="274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13.60 (10.56–17.53)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2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82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26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Cold</w:t>
            </w:r>
          </w:p>
        </w:tc>
        <w:tc>
          <w:tcPr>
            <w:tcW w:w="287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230,007 (169,187–281,008)</w:t>
            </w:r>
          </w:p>
        </w:tc>
        <w:tc>
          <w:tcPr>
            <w:tcW w:w="274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6.18 (4.55–7.55)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2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82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26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Heat</w:t>
            </w:r>
          </w:p>
        </w:tc>
        <w:tc>
          <w:tcPr>
            <w:tcW w:w="287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275,945 (181,757–454,848)</w:t>
            </w:r>
          </w:p>
        </w:tc>
        <w:tc>
          <w:tcPr>
            <w:tcW w:w="274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7.42 (4.88–12.22)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2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82" w:type="dxa"/>
            <w:vMerge w:val="restart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2090–2099</w:t>
            </w:r>
          </w:p>
        </w:tc>
        <w:tc>
          <w:tcPr>
            <w:tcW w:w="126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Total</w:t>
            </w:r>
          </w:p>
        </w:tc>
        <w:tc>
          <w:tcPr>
            <w:tcW w:w="287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789,346 (576,521–1,129,991)</w:t>
            </w:r>
          </w:p>
        </w:tc>
        <w:tc>
          <w:tcPr>
            <w:tcW w:w="274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18.44 (13.47–26.40)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2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82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26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Cold</w:t>
            </w:r>
          </w:p>
        </w:tc>
        <w:tc>
          <w:tcPr>
            <w:tcW w:w="287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185,923 (103,120–243,133)</w:t>
            </w:r>
          </w:p>
        </w:tc>
        <w:tc>
          <w:tcPr>
            <w:tcW w:w="274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4.34 (2.41–5.68)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2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582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126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Heat</w:t>
            </w:r>
          </w:p>
        </w:tc>
        <w:tc>
          <w:tcPr>
            <w:tcW w:w="287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603,423 (383,300–1,009,183)</w:t>
            </w:r>
          </w:p>
        </w:tc>
        <w:tc>
          <w:tcPr>
            <w:tcW w:w="274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</w:rPr>
              <w:t>14.10 (8.96–23.58)</w:t>
            </w:r>
          </w:p>
        </w:tc>
      </w:tr>
    </w:tbl>
    <w:p>
      <w:pPr>
        <w:pStyle w:val="3"/>
        <w:keepNext/>
        <w:spacing w:before="80" w:after="40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>Supplementary Figure S6</w:t>
      </w:r>
    </w:p>
    <w:p>
      <w:pPr>
        <w:rPr>
          <w:rFonts w:hint="default" w:ascii="Times New Roman" w:hAnsi="Times New Roman" w:cs="Times New Roman"/>
          <w:color w:val="000000"/>
          <w:highlight w:val="none"/>
        </w:rPr>
      </w:pPr>
      <w:r>
        <w:rPr>
          <w:rFonts w:hint="default" w:ascii="Times New Roman" w:hAnsi="Times New Roman" w:cs="Times New Roman"/>
          <w:color w:val="000000"/>
          <w:highlight w:val="none"/>
        </w:rPr>
        <w:drawing>
          <wp:inline distT="0" distB="0" distL="114300" distR="114300">
            <wp:extent cx="6126480" cy="3515360"/>
            <wp:effectExtent l="0" t="0" r="7620" b="889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515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0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</w:rPr>
        <w:t>Figure S6 | Province-level projected attributable numbers under SSP2-4.5 and SSP5-8.5, estimated using county-specific overall-mortality BLUP exposure–response functions. Points and lines show cumulative attributable deaths over each 10-year reporting period, obtained as the equal-weight mean of five GCM-specific burdens. Shaded bands show 95% empirical intervals.</w:t>
      </w:r>
    </w:p>
    <w:p>
      <w:pPr>
        <w:rPr>
          <w:rFonts w:hint="default" w:ascii="Times New Roman" w:hAnsi="Times New Roman" w:cs="Times New Roman"/>
          <w:color w:val="000000"/>
          <w:highlight w:val="none"/>
        </w:rPr>
      </w:pPr>
    </w:p>
    <w:p>
      <w:pPr>
        <w:pStyle w:val="3"/>
        <w:keepNext/>
        <w:spacing w:before="80" w:after="40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>Supplementary Table S14</w:t>
      </w:r>
    </w:p>
    <w:p>
      <w:pPr>
        <w:spacing w:before="0" w:after="120"/>
        <w:rPr>
          <w:rFonts w:hint="default" w:ascii="Times New Roman" w:hAnsi="Times New Roman" w:cs="Times New Roman"/>
          <w:sz w:val="22"/>
          <w:szCs w:val="22"/>
          <w:highlight w:val="none"/>
        </w:rPr>
      </w:pPr>
      <w:r>
        <w:rPr>
          <w:rFonts w:hint="default" w:ascii="Times New Roman" w:hAnsi="Times New Roman" w:eastAsia="Arial" w:cs="Times New Roman"/>
          <w:sz w:val="22"/>
          <w:szCs w:val="22"/>
          <w:highlight w:val="none"/>
        </w:rPr>
        <w:t>Table S14 | Detailed age-group results from the complete five-modifier meta-regression. AFs are presented with 95% empirical intervals.</w:t>
      </w:r>
    </w:p>
    <w:tbl>
      <w:tblPr>
        <w:tblStyle w:val="38"/>
        <w:tblW w:w="10801" w:type="dxa"/>
        <w:jc w:val="center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3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sz w:val="22"/>
                <w:szCs w:val="22"/>
                <w:highlight w:val="none"/>
              </w:rPr>
              <w:t>Age group</w:t>
            </w:r>
          </w:p>
        </w:tc>
        <w:tc>
          <w:tcPr>
            <w:tcW w:w="15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sz w:val="22"/>
                <w:szCs w:val="22"/>
                <w:highlight w:val="none"/>
              </w:rPr>
              <w:t>Deaths, n (%)</w:t>
            </w:r>
          </w:p>
        </w:tc>
        <w:tc>
          <w:tcPr>
            <w:tcW w:w="15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sz w:val="22"/>
                <w:szCs w:val="22"/>
                <w:highlight w:val="none"/>
              </w:rPr>
              <w:t>Male deaths, n (%)</w:t>
            </w:r>
          </w:p>
        </w:tc>
        <w:tc>
          <w:tcPr>
            <w:tcW w:w="15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sz w:val="22"/>
                <w:szCs w:val="22"/>
                <w:highlight w:val="none"/>
              </w:rPr>
              <w:t>Female deaths, n (%)</w:t>
            </w:r>
          </w:p>
        </w:tc>
        <w:tc>
          <w:tcPr>
            <w:tcW w:w="15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sz w:val="22"/>
                <w:szCs w:val="22"/>
                <w:highlight w:val="none"/>
              </w:rPr>
              <w:t>Total AF (%)</w:t>
            </w:r>
          </w:p>
        </w:tc>
        <w:tc>
          <w:tcPr>
            <w:tcW w:w="15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sz w:val="22"/>
                <w:szCs w:val="22"/>
                <w:highlight w:val="none"/>
              </w:rPr>
              <w:t>Cold AF (%)</w:t>
            </w:r>
          </w:p>
        </w:tc>
        <w:tc>
          <w:tcPr>
            <w:tcW w:w="15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sz w:val="22"/>
                <w:szCs w:val="22"/>
                <w:highlight w:val="none"/>
              </w:rPr>
              <w:t>Heat AF (%)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0–54 years</w:t>
            </w:r>
          </w:p>
        </w:tc>
        <w:tc>
          <w:tcPr>
            <w:tcW w:w="154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155,432 (14.1%)</w:t>
            </w:r>
          </w:p>
        </w:tc>
        <w:tc>
          <w:tcPr>
            <w:tcW w:w="154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111,601 (71.8%)</w:t>
            </w:r>
          </w:p>
        </w:tc>
        <w:tc>
          <w:tcPr>
            <w:tcW w:w="154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43,804 (28.2%)</w:t>
            </w:r>
          </w:p>
        </w:tc>
        <w:tc>
          <w:tcPr>
            <w:tcW w:w="154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12.58 (7.94–14.07)</w:t>
            </w:r>
          </w:p>
        </w:tc>
        <w:tc>
          <w:tcPr>
            <w:tcW w:w="154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7.08 (3.83–8.47)</w:t>
            </w:r>
          </w:p>
        </w:tc>
        <w:tc>
          <w:tcPr>
            <w:tcW w:w="154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5.51 (2.73–6.72)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3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55–64 years</w:t>
            </w:r>
          </w:p>
        </w:tc>
        <w:tc>
          <w:tcPr>
            <w:tcW w:w="1543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133,128 (12.1%)</w:t>
            </w:r>
          </w:p>
        </w:tc>
        <w:tc>
          <w:tcPr>
            <w:tcW w:w="1543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93,518 (70.2%)</w:t>
            </w:r>
          </w:p>
        </w:tc>
        <w:tc>
          <w:tcPr>
            <w:tcW w:w="1543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39,593 (29.7%)</w:t>
            </w:r>
          </w:p>
        </w:tc>
        <w:tc>
          <w:tcPr>
            <w:tcW w:w="1543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17.70 (7.04–18.47)</w:t>
            </w:r>
          </w:p>
        </w:tc>
        <w:tc>
          <w:tcPr>
            <w:tcW w:w="1543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13.59 (5.98–14.78)</w:t>
            </w:r>
          </w:p>
        </w:tc>
        <w:tc>
          <w:tcPr>
            <w:tcW w:w="1543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4.11 (-2.06–5.75)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3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65–74 years</w:t>
            </w:r>
          </w:p>
        </w:tc>
        <w:tc>
          <w:tcPr>
            <w:tcW w:w="1543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242,533 (22.0%)</w:t>
            </w:r>
          </w:p>
        </w:tc>
        <w:tc>
          <w:tcPr>
            <w:tcW w:w="1543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151,297 (62.4%)</w:t>
            </w:r>
          </w:p>
        </w:tc>
        <w:tc>
          <w:tcPr>
            <w:tcW w:w="1543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91,218 (37.6%)</w:t>
            </w:r>
          </w:p>
        </w:tc>
        <w:tc>
          <w:tcPr>
            <w:tcW w:w="1543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12.52 (10.15–13.70)</w:t>
            </w:r>
            <w:r>
              <w:rPr>
                <w:rFonts w:hint="default" w:ascii="Times New Roman" w:hAnsi="Times New Roman" w:eastAsia="Arial" w:cs="Times New Roman"/>
                <w:sz w:val="22"/>
                <w:szCs w:val="22"/>
                <w:highlight w:val="none"/>
                <w:vertAlign w:val="superscript"/>
              </w:rPr>
              <w:t>a</w:t>
            </w:r>
          </w:p>
        </w:tc>
        <w:tc>
          <w:tcPr>
            <w:tcW w:w="1543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10.59 (8.37–11.79)</w:t>
            </w:r>
          </w:p>
        </w:tc>
        <w:tc>
          <w:tcPr>
            <w:tcW w:w="1543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1.93 (1.26–2.36)</w:t>
            </w:r>
            <w:r>
              <w:rPr>
                <w:rFonts w:hint="default" w:ascii="Times New Roman" w:hAnsi="Times New Roman" w:eastAsia="Arial" w:cs="Times New Roman"/>
                <w:sz w:val="22"/>
                <w:szCs w:val="22"/>
                <w:highlight w:val="none"/>
                <w:vertAlign w:val="superscript"/>
              </w:rPr>
              <w:t>bcd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3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75–84 years</w:t>
            </w:r>
          </w:p>
        </w:tc>
        <w:tc>
          <w:tcPr>
            <w:tcW w:w="1543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355,111 (32.2%)</w:t>
            </w:r>
          </w:p>
        </w:tc>
        <w:tc>
          <w:tcPr>
            <w:tcW w:w="1543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188,129 (53.0%)</w:t>
            </w:r>
          </w:p>
        </w:tc>
        <w:tc>
          <w:tcPr>
            <w:tcW w:w="1543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166,949 (47.0%)</w:t>
            </w:r>
          </w:p>
        </w:tc>
        <w:tc>
          <w:tcPr>
            <w:tcW w:w="1543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16.26 (13.62–17.30)</w:t>
            </w:r>
          </w:p>
        </w:tc>
        <w:tc>
          <w:tcPr>
            <w:tcW w:w="1543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10.80 (8.72–11.70)</w:t>
            </w:r>
          </w:p>
        </w:tc>
        <w:tc>
          <w:tcPr>
            <w:tcW w:w="1543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5.46 (4.06–6.29)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≥85 years</w:t>
            </w:r>
          </w:p>
        </w:tc>
        <w:tc>
          <w:tcPr>
            <w:tcW w:w="15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216,980 (19.7%)</w:t>
            </w:r>
          </w:p>
        </w:tc>
        <w:tc>
          <w:tcPr>
            <w:tcW w:w="15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94,503 (43.6%)</w:t>
            </w:r>
          </w:p>
        </w:tc>
        <w:tc>
          <w:tcPr>
            <w:tcW w:w="15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122,455 (56.4%)</w:t>
            </w:r>
          </w:p>
        </w:tc>
        <w:tc>
          <w:tcPr>
            <w:tcW w:w="15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16.85 (11.77–17.92)</w:t>
            </w:r>
          </w:p>
        </w:tc>
        <w:tc>
          <w:tcPr>
            <w:tcW w:w="15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11.08 (7.70–12.02)</w:t>
            </w:r>
          </w:p>
        </w:tc>
        <w:tc>
          <w:tcPr>
            <w:tcW w:w="15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5.77 (2.40–7.10)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b w:val="0"/>
                <w:bCs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sz w:val="22"/>
                <w:szCs w:val="22"/>
                <w:highlight w:val="none"/>
              </w:rPr>
              <w:t>Wald chi-square (df)</w:t>
            </w:r>
          </w:p>
        </w:tc>
        <w:tc>
          <w:tcPr>
            <w:tcW w:w="154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b w:val="0"/>
                <w:bCs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sz w:val="22"/>
                <w:szCs w:val="22"/>
                <w:highlight w:val="none"/>
              </w:rPr>
              <w:t>—</w:t>
            </w:r>
          </w:p>
        </w:tc>
        <w:tc>
          <w:tcPr>
            <w:tcW w:w="154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b w:val="0"/>
                <w:bCs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sz w:val="22"/>
                <w:szCs w:val="22"/>
                <w:highlight w:val="none"/>
              </w:rPr>
              <w:t>—</w:t>
            </w:r>
          </w:p>
        </w:tc>
        <w:tc>
          <w:tcPr>
            <w:tcW w:w="154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b w:val="0"/>
                <w:bCs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sz w:val="22"/>
                <w:szCs w:val="22"/>
                <w:highlight w:val="none"/>
              </w:rPr>
              <w:t>—</w:t>
            </w:r>
          </w:p>
        </w:tc>
        <w:tc>
          <w:tcPr>
            <w:tcW w:w="154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b w:val="0"/>
                <w:bCs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sz w:val="22"/>
                <w:szCs w:val="22"/>
                <w:highlight w:val="none"/>
              </w:rPr>
              <w:t>13.46 (4)*</w:t>
            </w:r>
          </w:p>
        </w:tc>
        <w:tc>
          <w:tcPr>
            <w:tcW w:w="154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b w:val="0"/>
                <w:bCs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sz w:val="22"/>
                <w:szCs w:val="22"/>
                <w:highlight w:val="none"/>
              </w:rPr>
              <w:t>10.78 (4)</w:t>
            </w:r>
          </w:p>
        </w:tc>
        <w:tc>
          <w:tcPr>
            <w:tcW w:w="154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b w:val="0"/>
                <w:bCs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sz w:val="22"/>
                <w:szCs w:val="22"/>
                <w:highlight w:val="none"/>
              </w:rPr>
              <w:t>46.23 (4)*</w:t>
            </w:r>
          </w:p>
        </w:tc>
      </w:tr>
    </w:tbl>
    <w:p>
      <w:pPr>
        <w:spacing w:before="40" w:after="120"/>
        <w:rPr>
          <w:rFonts w:hint="default" w:ascii="Times New Roman" w:hAnsi="Times New Roman" w:cs="Times New Roman"/>
          <w:sz w:val="20"/>
          <w:szCs w:val="20"/>
          <w:highlight w:val="none"/>
        </w:rPr>
      </w:pPr>
      <w:r>
        <w:rPr>
          <w:rFonts w:hint="default" w:ascii="Times New Roman" w:hAnsi="Times New Roman" w:eastAsia="宋体" w:cs="Times New Roman"/>
          <w:i/>
          <w:iCs/>
          <w:sz w:val="20"/>
          <w:szCs w:val="20"/>
          <w:highlight w:val="none"/>
          <w:lang w:val="en-US" w:eastAsia="zh-CN"/>
        </w:rPr>
        <w:t>Note</w:t>
      </w:r>
      <w:r>
        <w:rPr>
          <w:rFonts w:hint="default" w:ascii="Times New Roman" w:hAnsi="Times New Roman" w:eastAsia="宋体" w:cs="Times New Roman"/>
          <w:sz w:val="20"/>
          <w:szCs w:val="20"/>
          <w:highlight w:val="none"/>
          <w:lang w:val="en-US" w:eastAsia="zh-CN"/>
        </w:rPr>
        <w:t xml:space="preserve">: </w:t>
      </w:r>
      <w:r>
        <w:rPr>
          <w:rFonts w:hint="default" w:ascii="Times New Roman" w:hAnsi="Times New Roman" w:eastAsia="Arial" w:cs="Times New Roman"/>
          <w:sz w:val="20"/>
          <w:szCs w:val="20"/>
          <w:highlight w:val="none"/>
        </w:rPr>
        <w:t>*</w:t>
      </w:r>
      <w:r>
        <w:rPr>
          <w:rFonts w:hint="default" w:ascii="Times New Roman" w:hAnsi="Times New Roman" w:eastAsia="Arial" w:cs="Times New Roman"/>
          <w:i/>
          <w:iCs/>
          <w:sz w:val="20"/>
          <w:szCs w:val="20"/>
          <w:highlight w:val="none"/>
        </w:rPr>
        <w:t>P</w:t>
      </w:r>
      <w:r>
        <w:rPr>
          <w:rFonts w:hint="default" w:ascii="Times New Roman" w:hAnsi="Times New Roman" w:eastAsia="Arial" w:cs="Times New Roman"/>
          <w:sz w:val="20"/>
          <w:szCs w:val="20"/>
          <w:highlight w:val="none"/>
        </w:rPr>
        <w:t xml:space="preserve"> &lt; 0.05 for the omnibus Wald chi-square test. </w:t>
      </w:r>
      <w:r>
        <w:rPr>
          <w:rFonts w:hint="default" w:ascii="Times New Roman" w:hAnsi="Times New Roman" w:eastAsia="Arial" w:cs="Times New Roman"/>
          <w:sz w:val="20"/>
          <w:szCs w:val="20"/>
          <w:highlight w:val="none"/>
          <w:vertAlign w:val="superscript"/>
        </w:rPr>
        <w:t>a</w:t>
      </w:r>
      <w:r>
        <w:rPr>
          <w:rFonts w:hint="default" w:ascii="Times New Roman" w:hAnsi="Times New Roman" w:eastAsia="Arial" w:cs="Times New Roman"/>
          <w:sz w:val="20"/>
          <w:szCs w:val="20"/>
          <w:highlight w:val="none"/>
        </w:rPr>
        <w:t xml:space="preserve"> Total AF differed between the 65–74 and 75–84 year groups (Bonferroni-adjusted P = 0.038). </w:t>
      </w:r>
      <w:r>
        <w:rPr>
          <w:rFonts w:hint="default" w:ascii="Times New Roman" w:hAnsi="Times New Roman" w:eastAsia="Arial" w:cs="Times New Roman"/>
          <w:sz w:val="20"/>
          <w:szCs w:val="20"/>
          <w:highlight w:val="none"/>
          <w:vertAlign w:val="superscript"/>
        </w:rPr>
        <w:t>b</w:t>
      </w:r>
      <w:r>
        <w:rPr>
          <w:rFonts w:hint="default" w:ascii="Times New Roman" w:hAnsi="Times New Roman" w:eastAsia="Arial" w:cs="Times New Roman"/>
          <w:sz w:val="20"/>
          <w:szCs w:val="20"/>
          <w:highlight w:val="none"/>
        </w:rPr>
        <w:t xml:space="preserve"> Heat AF differed between the 65–74 and 75–84 year groups (Bonferroni-adjusted P &lt; 0.001). </w:t>
      </w:r>
      <w:r>
        <w:rPr>
          <w:rFonts w:hint="default" w:ascii="Times New Roman" w:hAnsi="Times New Roman" w:eastAsia="Arial" w:cs="Times New Roman"/>
          <w:sz w:val="20"/>
          <w:szCs w:val="20"/>
          <w:highlight w:val="none"/>
          <w:vertAlign w:val="superscript"/>
        </w:rPr>
        <w:t>c</w:t>
      </w:r>
      <w:r>
        <w:rPr>
          <w:rFonts w:hint="default" w:ascii="Times New Roman" w:hAnsi="Times New Roman" w:eastAsia="Arial" w:cs="Times New Roman"/>
          <w:sz w:val="20"/>
          <w:szCs w:val="20"/>
          <w:highlight w:val="none"/>
        </w:rPr>
        <w:t xml:space="preserve"> Heat AF differed between the 0–54 and 65–74 year groups (Bonferroni-adjusted P = 0.007). </w:t>
      </w:r>
      <w:r>
        <w:rPr>
          <w:rFonts w:hint="default" w:ascii="Times New Roman" w:hAnsi="Times New Roman" w:eastAsia="Arial" w:cs="Times New Roman"/>
          <w:sz w:val="20"/>
          <w:szCs w:val="20"/>
          <w:highlight w:val="none"/>
          <w:vertAlign w:val="superscript"/>
        </w:rPr>
        <w:t>d</w:t>
      </w:r>
      <w:r>
        <w:rPr>
          <w:rFonts w:hint="default" w:ascii="Times New Roman" w:hAnsi="Times New Roman" w:eastAsia="Arial" w:cs="Times New Roman"/>
          <w:sz w:val="20"/>
          <w:szCs w:val="20"/>
          <w:highlight w:val="none"/>
        </w:rPr>
        <w:t xml:space="preserve"> Heat AF differed between the 65–74 and ≥85 year groups (Bonferroni-adjusted P = 0.020).</w:t>
      </w:r>
    </w:p>
    <w:p>
      <w:pPr>
        <w:pStyle w:val="3"/>
        <w:keepNext/>
        <w:spacing w:before="80" w:after="40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>Supplementary Figure S7</w:t>
      </w:r>
    </w:p>
    <w:p>
      <w:pPr>
        <w:jc w:val="center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drawing>
          <wp:inline distT="0" distB="0" distL="114300" distR="114300">
            <wp:extent cx="5897880" cy="3856355"/>
            <wp:effectExtent l="0" t="0" r="7620" b="444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856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120"/>
        <w:rPr>
          <w:rFonts w:hint="default" w:ascii="Times New Roman" w:hAnsi="Times New Roman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</w:rPr>
        <w:t>Figure S7 | Pooled cumulative exposure–response curves for daily mean temperature and mortality in five age groups across 88 counties in Guizhou Province, 2020–2024. Curves were estimated using the complete five-modifier meta-regression and represent cumulative relative risks over a 28-day lag period. Red dashed lines indicate the pooled minimum mortality temperature in each panel; shaded areas indicate 95% confidence intervals.</w:t>
      </w:r>
    </w:p>
    <w:p>
      <w:pPr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</w:rPr>
        <w:br w:type="page"/>
      </w:r>
    </w:p>
    <w:p>
      <w:pPr>
        <w:pStyle w:val="3"/>
        <w:keepNext/>
        <w:spacing w:before="80" w:after="40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>Supplementary Table S15</w:t>
      </w:r>
    </w:p>
    <w:p>
      <w:pPr>
        <w:spacing w:before="0" w:after="120"/>
        <w:rPr>
          <w:rFonts w:hint="default" w:ascii="Times New Roman" w:hAnsi="Times New Roman" w:cs="Times New Roman"/>
          <w:sz w:val="22"/>
          <w:szCs w:val="22"/>
          <w:highlight w:val="none"/>
        </w:rPr>
      </w:pPr>
      <w:r>
        <w:rPr>
          <w:rFonts w:hint="default" w:ascii="Times New Roman" w:hAnsi="Times New Roman" w:eastAsia="Arial" w:cs="Times New Roman"/>
          <w:sz w:val="22"/>
          <w:szCs w:val="22"/>
          <w:highlight w:val="none"/>
        </w:rPr>
        <w:t>Table S15 | Twenty-year-window sensitivity analysis of projected province-level temperature-attributable burdens. Results use 2030–2049, 2050–2069 and 2080–2099 reporting windows, with equal-weight averaging of five GCM-specific burdens. Values are cumulative AN or AF (95% empirical interval).</w:t>
      </w:r>
    </w:p>
    <w:tbl>
      <w:tblPr>
        <w:tblStyle w:val="38"/>
        <w:tblW w:w="10800" w:type="dxa"/>
        <w:jc w:val="center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2160"/>
        <w:gridCol w:w="2160"/>
        <w:gridCol w:w="2160"/>
        <w:gridCol w:w="216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16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sz w:val="22"/>
                <w:szCs w:val="22"/>
                <w:highlight w:val="none"/>
              </w:rPr>
              <w:t>Scenario</w:t>
            </w:r>
          </w:p>
        </w:tc>
        <w:tc>
          <w:tcPr>
            <w:tcW w:w="216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sz w:val="22"/>
                <w:szCs w:val="22"/>
                <w:highlight w:val="none"/>
              </w:rPr>
              <w:t>Period</w:t>
            </w:r>
          </w:p>
        </w:tc>
        <w:tc>
          <w:tcPr>
            <w:tcW w:w="216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sz w:val="22"/>
                <w:szCs w:val="22"/>
                <w:highlight w:val="none"/>
              </w:rPr>
              <w:t>Component</w:t>
            </w:r>
          </w:p>
        </w:tc>
        <w:tc>
          <w:tcPr>
            <w:tcW w:w="216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sz w:val="22"/>
                <w:szCs w:val="22"/>
                <w:highlight w:val="none"/>
              </w:rPr>
              <w:t>AN</w:t>
            </w:r>
          </w:p>
        </w:tc>
        <w:tc>
          <w:tcPr>
            <w:tcW w:w="216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sz w:val="22"/>
                <w:szCs w:val="22"/>
                <w:highlight w:val="none"/>
              </w:rPr>
              <w:t>AF (%)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2160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2030–2049</w:t>
            </w:r>
          </w:p>
        </w:tc>
        <w:tc>
          <w:tcPr>
            <w:tcW w:w="216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216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761,838 (646,570–832,521)</w:t>
            </w:r>
          </w:p>
        </w:tc>
        <w:tc>
          <w:tcPr>
            <w:tcW w:w="216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11.52 (9.78–12.59)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vMerge w:val="continue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2160" w:type="dxa"/>
            <w:vMerge w:val="continue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533,037 (414,360–614,009)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8.06 (6.27–9.29)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vMerge w:val="continue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2160" w:type="dxa"/>
            <w:vMerge w:val="continue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228,802 (139,515–341,051)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3.46 (2.11–5.16)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vMerge w:val="continue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2160" w:type="dxa"/>
            <w:vMerge w:val="restart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2050–2069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873,931 (726,094–991,951)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12.11 (10.06–13.74)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vMerge w:val="continue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2160" w:type="dxa"/>
            <w:vMerge w:val="continue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527,269 (397,680–624,183)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7.31 (5.51–8.65)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vMerge w:val="continue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2160" w:type="dxa"/>
            <w:vMerge w:val="continue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346,662 (222,602–531,373)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4.80 (3.08–7.36)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vMerge w:val="continue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2160" w:type="dxa"/>
            <w:vMerge w:val="restart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2080–2099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1,112,596 (890,943–1,341,757)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12.75 (10.21–15.38)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vMerge w:val="continue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2160" w:type="dxa"/>
            <w:vMerge w:val="continue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572,121 (418,641–664,102)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6.56 (4.80–7.61)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vMerge w:val="continue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2160" w:type="dxa"/>
            <w:vMerge w:val="continue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540,475 (353,738–860,905)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6.19 (4.05–9.87)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vMerge w:val="restart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2160" w:type="dxa"/>
            <w:vMerge w:val="restart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2030–2049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783,338 (664,725–855,111)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11.88 (10.08–12.97)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vMerge w:val="continue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2160" w:type="dxa"/>
            <w:vMerge w:val="continue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515,229 (391,005–604,481)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7.82 (5.93–9.17)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vMerge w:val="continue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2160" w:type="dxa"/>
            <w:vMerge w:val="continue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268,110 (173,029–391,473)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4.07 (2.62–5.94)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vMerge w:val="continue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2160" w:type="dxa"/>
            <w:vMerge w:val="restart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2050–2069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930,063 (726,469–1,168,033)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13.08 (10.22–16.43)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vMerge w:val="continue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2160" w:type="dxa"/>
            <w:vMerge w:val="continue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459,892 (338,224–552,879)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6.47 (4.76–7.77)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vMerge w:val="continue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2160" w:type="dxa"/>
            <w:vMerge w:val="continue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470,171 (303,308–774,813)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6.61 (4.27–10.90)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vMerge w:val="continue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2160" w:type="dxa"/>
            <w:vMerge w:val="restart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2080–2099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1,465,468 (1,083,757–2,053,005)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17.45 (12.91–24.45)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vMerge w:val="continue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2160" w:type="dxa"/>
            <w:vMerge w:val="continue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390,496 (233,650–503,452)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4.65 (2.78–6.00)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vMerge w:val="continue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2160" w:type="dxa"/>
            <w:vMerge w:val="continue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1,074,972 (681,493–1,778,394)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highlight w:val="none"/>
              </w:rPr>
              <w:t>12.80 (8.12–21.18)</w:t>
            </w:r>
          </w:p>
        </w:tc>
      </w:tr>
    </w:tbl>
    <w:p>
      <w:pPr>
        <w:rPr>
          <w:rFonts w:hint="default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br w:type="page"/>
      </w:r>
    </w:p>
    <w:p>
      <w:pPr>
        <w:pStyle w:val="3"/>
        <w:keepNext/>
        <w:spacing w:before="80" w:after="40"/>
        <w:rPr>
          <w:rFonts w:hint="default" w:ascii="Times New Roman" w:hAnsi="Times New Roman" w:cs="Times New Roman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highlight w:val="none"/>
        </w:rPr>
        <w:t>Supplementary Table S1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6</w:t>
      </w:r>
    </w:p>
    <w:p>
      <w:pPr>
        <w:keepNext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</w:rPr>
        <w:t>Table S1</w:t>
      </w:r>
      <w:r>
        <w:rPr>
          <w:rFonts w:hint="default" w:ascii="Times New Roman" w:hAnsi="Times New Roman" w:eastAsia="宋体" w:cs="Times New Roman"/>
          <w:color w:val="auto"/>
          <w:highlight w:val="none"/>
          <w:lang w:val="en-US" w:eastAsia="zh-CN"/>
        </w:rPr>
        <w:t>6</w:t>
      </w:r>
      <w:r>
        <w:rPr>
          <w:rFonts w:hint="default" w:ascii="Times New Roman" w:hAnsi="Times New Roman" w:cs="Times New Roman"/>
          <w:color w:val="auto"/>
          <w:highlight w:val="none"/>
        </w:rPr>
        <w:t xml:space="preserve"> | Wald tests for pooled cumulative temperature-mortality associations and departures from linearity. Tests were conducted at the reference modifier profile (all standardised modifiers = 0).</w:t>
      </w:r>
    </w:p>
    <w:tbl>
      <w:tblPr>
        <w:tblStyle w:val="38"/>
        <w:tblW w:w="9144" w:type="dxa"/>
        <w:jc w:val="center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4"/>
        <w:gridCol w:w="2232"/>
        <w:gridCol w:w="1008"/>
        <w:gridCol w:w="2952"/>
        <w:gridCol w:w="1008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4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highlight w:val="none"/>
              </w:rPr>
              <w:t>Outcome</w:t>
            </w:r>
          </w:p>
        </w:tc>
        <w:tc>
          <w:tcPr>
            <w:tcW w:w="2232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highlight w:val="none"/>
              </w:rPr>
              <w:t>Overall association, Wald χ² (df)</w:t>
            </w:r>
          </w:p>
        </w:tc>
        <w:tc>
          <w:tcPr>
            <w:tcW w:w="1008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i/>
                <w:iCs/>
                <w:color w:val="auto"/>
                <w:highlight w:val="none"/>
              </w:rPr>
              <w:t>P</w:t>
            </w:r>
            <w:r>
              <w:rPr>
                <w:rFonts w:hint="default" w:ascii="Times New Roman" w:hAnsi="Times New Roman" w:cs="Times New Roman"/>
                <w:b/>
                <w:color w:val="auto"/>
                <w:highlight w:val="none"/>
              </w:rPr>
              <w:t xml:space="preserve"> value</w:t>
            </w:r>
          </w:p>
        </w:tc>
        <w:tc>
          <w:tcPr>
            <w:tcW w:w="2952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highlight w:val="none"/>
              </w:rPr>
              <w:t>Departure from linearity, Wald χ² (df)</w:t>
            </w:r>
          </w:p>
        </w:tc>
        <w:tc>
          <w:tcPr>
            <w:tcW w:w="1008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highlight w:val="none"/>
              </w:rPr>
              <w:t>P value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4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highlight w:val="none"/>
              </w:rPr>
              <w:t>Overall mortality</w:t>
            </w:r>
          </w:p>
        </w:tc>
        <w:tc>
          <w:tcPr>
            <w:tcW w:w="2232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highlight w:val="none"/>
              </w:rPr>
              <w:t>346.46 (4)</w:t>
            </w:r>
          </w:p>
        </w:tc>
        <w:tc>
          <w:tcPr>
            <w:tcW w:w="1008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highlight w:val="none"/>
              </w:rPr>
              <w:t>&lt;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auto"/>
                <w:highlight w:val="none"/>
              </w:rPr>
              <w:t>0.001</w:t>
            </w:r>
          </w:p>
        </w:tc>
        <w:tc>
          <w:tcPr>
            <w:tcW w:w="2952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highlight w:val="none"/>
              </w:rPr>
              <w:t>253.84 (3)</w:t>
            </w:r>
          </w:p>
        </w:tc>
        <w:tc>
          <w:tcPr>
            <w:tcW w:w="1008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highlight w:val="none"/>
              </w:rPr>
              <w:t>&lt;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auto"/>
                <w:highlight w:val="none"/>
              </w:rPr>
              <w:t>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highlight w:val="none"/>
              </w:rPr>
              <w:t>Cardiovascular mortality</w:t>
            </w:r>
          </w:p>
        </w:tc>
        <w:tc>
          <w:tcPr>
            <w:tcW w:w="223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highlight w:val="none"/>
              </w:rPr>
              <w:t>177.67 (4)</w:t>
            </w:r>
          </w:p>
        </w:tc>
        <w:tc>
          <w:tcPr>
            <w:tcW w:w="100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highlight w:val="none"/>
              </w:rPr>
              <w:t>&lt;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auto"/>
                <w:highlight w:val="none"/>
              </w:rPr>
              <w:t>0.001</w:t>
            </w:r>
          </w:p>
        </w:tc>
        <w:tc>
          <w:tcPr>
            <w:tcW w:w="295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highlight w:val="none"/>
              </w:rPr>
              <w:t>123.53 (3)</w:t>
            </w:r>
          </w:p>
        </w:tc>
        <w:tc>
          <w:tcPr>
            <w:tcW w:w="100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highlight w:val="none"/>
              </w:rPr>
              <w:t>&lt;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auto"/>
                <w:highlight w:val="none"/>
              </w:rPr>
              <w:t>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highlight w:val="none"/>
              </w:rPr>
              <w:t>Males</w:t>
            </w:r>
          </w:p>
        </w:tc>
        <w:tc>
          <w:tcPr>
            <w:tcW w:w="223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highlight w:val="none"/>
              </w:rPr>
              <w:t>152.83 (4)</w:t>
            </w:r>
          </w:p>
        </w:tc>
        <w:tc>
          <w:tcPr>
            <w:tcW w:w="100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highlight w:val="none"/>
              </w:rPr>
              <w:t>&lt;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auto"/>
                <w:highlight w:val="none"/>
              </w:rPr>
              <w:t>0.001</w:t>
            </w:r>
          </w:p>
        </w:tc>
        <w:tc>
          <w:tcPr>
            <w:tcW w:w="295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highlight w:val="none"/>
              </w:rPr>
              <w:t>105.47 (3)</w:t>
            </w:r>
          </w:p>
        </w:tc>
        <w:tc>
          <w:tcPr>
            <w:tcW w:w="100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highlight w:val="none"/>
              </w:rPr>
              <w:t>&lt;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auto"/>
                <w:highlight w:val="none"/>
              </w:rPr>
              <w:t>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highlight w:val="none"/>
              </w:rPr>
              <w:t>Females</w:t>
            </w:r>
          </w:p>
        </w:tc>
        <w:tc>
          <w:tcPr>
            <w:tcW w:w="223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highlight w:val="none"/>
              </w:rPr>
              <w:t>204.64 (4)</w:t>
            </w:r>
          </w:p>
        </w:tc>
        <w:tc>
          <w:tcPr>
            <w:tcW w:w="100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highlight w:val="none"/>
              </w:rPr>
              <w:t>&lt;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auto"/>
                <w:highlight w:val="none"/>
              </w:rPr>
              <w:t>0.001</w:t>
            </w:r>
          </w:p>
        </w:tc>
        <w:tc>
          <w:tcPr>
            <w:tcW w:w="295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highlight w:val="none"/>
              </w:rPr>
              <w:t>167.39 (3)</w:t>
            </w:r>
          </w:p>
        </w:tc>
        <w:tc>
          <w:tcPr>
            <w:tcW w:w="100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highlight w:val="none"/>
              </w:rPr>
              <w:t>&lt;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auto"/>
                <w:highlight w:val="none"/>
              </w:rPr>
              <w:t>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highlight w:val="none"/>
              </w:rPr>
              <w:t>Age ≥65 years</w:t>
            </w:r>
          </w:p>
        </w:tc>
        <w:tc>
          <w:tcPr>
            <w:tcW w:w="223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highlight w:val="none"/>
              </w:rPr>
              <w:t>345.13 (4)</w:t>
            </w:r>
          </w:p>
        </w:tc>
        <w:tc>
          <w:tcPr>
            <w:tcW w:w="100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highlight w:val="none"/>
              </w:rPr>
              <w:t>&lt;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auto"/>
                <w:highlight w:val="none"/>
              </w:rPr>
              <w:t>0.001</w:t>
            </w:r>
          </w:p>
        </w:tc>
        <w:tc>
          <w:tcPr>
            <w:tcW w:w="295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highlight w:val="none"/>
              </w:rPr>
              <w:t>257.45 (3)</w:t>
            </w:r>
          </w:p>
        </w:tc>
        <w:tc>
          <w:tcPr>
            <w:tcW w:w="100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highlight w:val="none"/>
              </w:rPr>
              <w:t>&lt;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auto"/>
                <w:highlight w:val="none"/>
              </w:rPr>
              <w:t>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highlight w:val="none"/>
              </w:rPr>
              <w:t>Age &lt;65 years</w:t>
            </w:r>
          </w:p>
        </w:tc>
        <w:tc>
          <w:tcPr>
            <w:tcW w:w="223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highlight w:val="none"/>
              </w:rPr>
              <w:t>29.49 (4)</w:t>
            </w:r>
          </w:p>
        </w:tc>
        <w:tc>
          <w:tcPr>
            <w:tcW w:w="100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highlight w:val="none"/>
              </w:rPr>
              <w:t>&lt;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auto"/>
                <w:highlight w:val="none"/>
              </w:rPr>
              <w:t>0.001</w:t>
            </w:r>
          </w:p>
        </w:tc>
        <w:tc>
          <w:tcPr>
            <w:tcW w:w="295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highlight w:val="none"/>
              </w:rPr>
              <w:t>19.87 (3)</w:t>
            </w:r>
          </w:p>
        </w:tc>
        <w:tc>
          <w:tcPr>
            <w:tcW w:w="100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highlight w:val="none"/>
              </w:rPr>
              <w:t>&lt;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auto"/>
                <w:highlight w:val="none"/>
              </w:rPr>
              <w:t>0.001</w:t>
            </w:r>
          </w:p>
        </w:tc>
      </w:tr>
    </w:tbl>
    <w:p>
      <w:pPr>
        <w:rPr>
          <w:rFonts w:hint="default" w:ascii="Times New Roman" w:hAnsi="Times New Roman" w:cs="Times New Roman"/>
          <w:highlight w:val="none"/>
        </w:rPr>
      </w:pPr>
    </w:p>
    <w:p>
      <w:pPr>
        <w:rPr>
          <w:highlight w:val="none"/>
        </w:rPr>
      </w:pPr>
      <w:r>
        <w:rPr>
          <w:highlight w:val="none"/>
        </w:rPr>
        <w:br w:type="page"/>
      </w:r>
    </w:p>
    <w:p>
      <w:pPr>
        <w:pStyle w:val="3"/>
        <w:rPr>
          <w:highlight w:val="none"/>
        </w:rPr>
      </w:pPr>
      <w:r>
        <w:rPr>
          <w:highlight w:val="none"/>
        </w:rPr>
        <w:t>Supplementary Table S17</w:t>
      </w:r>
    </w:p>
    <w:p>
      <w:pPr>
        <w:spacing w:after="60"/>
        <w:rPr>
          <w:highlight w:val="none"/>
        </w:rPr>
      </w:pPr>
      <w:r>
        <w:rPr>
          <w:rFonts w:hint="eastAsia" w:ascii="Times New Roman" w:hAnsi="Times New Roman"/>
          <w:sz w:val="22"/>
          <w:highlight w:val="none"/>
        </w:rPr>
        <w:t>Table S17 | Alternative reference temperatures for boundary MMT estimates.</w:t>
      </w:r>
      <w:r>
        <w:rPr>
          <w:rFonts w:hint="eastAsia" w:ascii="Times New Roman" w:hAnsi="Times New Roman" w:eastAsia="宋体"/>
          <w:sz w:val="22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/>
          <w:sz w:val="22"/>
          <w:highlight w:val="none"/>
        </w:rPr>
        <w:t>For boundary MMTs, the provincial percentile of the outcome-specific pooled MMT was mapped to the corresponding county temperature distribution.</w:t>
      </w:r>
    </w:p>
    <w:tbl>
      <w:tblPr>
        <w:tblStyle w:val="38"/>
        <w:tblW w:w="872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4"/>
        <w:gridCol w:w="1744"/>
        <w:gridCol w:w="1744"/>
        <w:gridCol w:w="1744"/>
        <w:gridCol w:w="17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  <w:highlight w:val="none"/>
              </w:rPr>
              <w:t>Outcome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  <w:highlight w:val="none"/>
              </w:rPr>
              <w:t>County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  <w:highlight w:val="none"/>
              </w:rPr>
              <w:t xml:space="preserve">Boundary MMT, </w:t>
            </w:r>
            <w:r>
              <w:rPr>
                <w:rFonts w:hint="default" w:ascii="Times New Roman" w:hAnsi="Times New Roman" w:eastAsia="宋体" w:cs="Times New Roman"/>
                <w:b/>
                <w:sz w:val="22"/>
                <w:szCs w:val="22"/>
                <w:highlight w:val="none"/>
                <w:lang w:val="en-US" w:eastAsia="zh-CN"/>
              </w:rPr>
              <w:t>℃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  <w:highlight w:val="none"/>
              </w:rPr>
              <w:t>Pooled MMT percentile, %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eastAsia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  <w:highlight w:val="none"/>
              </w:rPr>
              <w:t xml:space="preserve">Fallback MMT, </w:t>
            </w:r>
            <w:r>
              <w:rPr>
                <w:rFonts w:hint="default" w:ascii="Times New Roman" w:hAnsi="Times New Roman" w:eastAsia="宋体" w:cs="Times New Roman"/>
                <w:b/>
                <w:sz w:val="22"/>
                <w:szCs w:val="22"/>
                <w:highlight w:val="none"/>
                <w:lang w:val="en-US" w:eastAsia="zh-CN"/>
              </w:rPr>
              <w:t>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Ceheng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27.42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68.00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22.94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Weining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20.52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69.49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16.36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4" w:type="dxa"/>
            <w:vMerge w:val="restart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Ceheng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27.42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69.93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23.19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4" w:type="dxa"/>
            <w:vMerge w:val="continue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Luodian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27.80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69.93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23.78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4" w:type="dxa"/>
            <w:vMerge w:val="continue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Wangmo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27.59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69.93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23.44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Ceheng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27.42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67.47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22.86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4" w:type="dxa"/>
            <w:vMerge w:val="restart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Chishui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31.42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70.79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22.82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4" w:type="dxa"/>
            <w:vMerge w:val="continue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Congjiang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27.96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70.79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23.85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4" w:type="dxa"/>
            <w:vMerge w:val="continue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Danzhai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26.65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70.79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22.40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4" w:type="dxa"/>
            <w:vMerge w:val="continue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Libo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26.63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70.79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22.89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4" w:type="dxa"/>
            <w:vMerge w:val="continue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Rongjiang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27.83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70.79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23.83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4" w:type="dxa"/>
            <w:vMerge w:val="continue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Sandu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26.98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70.79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23.08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4" w:type="dxa"/>
            <w:vMerge w:val="continue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Weining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20.52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70.79</w:t>
            </w:r>
          </w:p>
        </w:tc>
        <w:tc>
          <w:tcPr>
            <w:tcW w:w="174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16.70</w:t>
            </w:r>
          </w:p>
        </w:tc>
      </w:tr>
    </w:tbl>
    <w:p>
      <w:pPr>
        <w:rPr>
          <w:highlight w:val="none"/>
        </w:rPr>
      </w:pPr>
      <w:r>
        <w:rPr>
          <w:highlight w:val="none"/>
        </w:rPr>
        <w:br w:type="page"/>
      </w:r>
    </w:p>
    <w:p>
      <w:pPr>
        <w:pStyle w:val="3"/>
        <w:rPr>
          <w:highlight w:val="none"/>
        </w:rPr>
      </w:pPr>
      <w:r>
        <w:rPr>
          <w:highlight w:val="none"/>
        </w:rPr>
        <w:t>Supplementary Table S18</w:t>
      </w:r>
    </w:p>
    <w:p>
      <w:pPr>
        <w:spacing w:after="60"/>
        <w:rPr>
          <w:highlight w:val="none"/>
        </w:rPr>
      </w:pPr>
      <w:r>
        <w:rPr>
          <w:rFonts w:ascii="Times New Roman" w:hAnsi="Times New Roman"/>
          <w:sz w:val="22"/>
          <w:highlight w:val="none"/>
        </w:rPr>
        <w:t>Table S18 | Comparison of province-level historical attributable fractions between the primary analysis and the percentile-matched pooled-MMT fallback sensitivity analysis. County-specific BLUP exposure-response functions were retained; only the reference MMT and cold/heat classification were replaced for boundary county-outcome combinations.</w:t>
      </w:r>
    </w:p>
    <w:tbl>
      <w:tblPr>
        <w:tblStyle w:val="38"/>
        <w:tblW w:w="10106" w:type="dxa"/>
        <w:jc w:val="center"/>
        <w:tblInd w:w="-138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1"/>
        <w:gridCol w:w="1350"/>
        <w:gridCol w:w="2809"/>
        <w:gridCol w:w="2805"/>
        <w:gridCol w:w="15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61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  <w:highlight w:val="none"/>
              </w:rPr>
              <w:t>Outcome</w:t>
            </w:r>
          </w:p>
        </w:tc>
        <w:tc>
          <w:tcPr>
            <w:tcW w:w="1350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  <w:highlight w:val="none"/>
              </w:rPr>
              <w:t>Component</w:t>
            </w:r>
          </w:p>
        </w:tc>
        <w:tc>
          <w:tcPr>
            <w:tcW w:w="2809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  <w:highlight w:val="none"/>
              </w:rPr>
              <w:t>Primary AF, % (95% eCI)</w:t>
            </w:r>
          </w:p>
        </w:tc>
        <w:tc>
          <w:tcPr>
            <w:tcW w:w="2805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  <w:highlight w:val="none"/>
              </w:rPr>
              <w:t>Fallback AF, % (95% eCI)</w:t>
            </w:r>
          </w:p>
        </w:tc>
        <w:tc>
          <w:tcPr>
            <w:tcW w:w="1581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  <w:highlight w:val="none"/>
              </w:rPr>
              <w:t>AF difference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1" w:type="dxa"/>
            <w:vMerge w:val="restart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Overall</w:t>
            </w:r>
          </w:p>
        </w:tc>
        <w:tc>
          <w:tcPr>
            <w:tcW w:w="1350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2809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11.61 (10.12–12.45)</w:t>
            </w:r>
          </w:p>
        </w:tc>
        <w:tc>
          <w:tcPr>
            <w:tcW w:w="2805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11.60 (10.12–12.43)</w:t>
            </w:r>
          </w:p>
        </w:tc>
        <w:tc>
          <w:tcPr>
            <w:tcW w:w="1581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-0.02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1" w:type="dxa"/>
            <w:vMerge w:val="continue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350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2809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8.66 (7.37–9.45)</w:t>
            </w:r>
          </w:p>
        </w:tc>
        <w:tc>
          <w:tcPr>
            <w:tcW w:w="2805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8.65 (7.38–9.44)</w:t>
            </w:r>
          </w:p>
        </w:tc>
        <w:tc>
          <w:tcPr>
            <w:tcW w:w="1581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-0.01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1" w:type="dxa"/>
            <w:vMerge w:val="continue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350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2809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2.95 (2.32–3.40)</w:t>
            </w:r>
          </w:p>
        </w:tc>
        <w:tc>
          <w:tcPr>
            <w:tcW w:w="2805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2.95 (2.31–3.40)</w:t>
            </w:r>
          </w:p>
        </w:tc>
        <w:tc>
          <w:tcPr>
            <w:tcW w:w="1581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-0.00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1" w:type="dxa"/>
            <w:vMerge w:val="restart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Cardiovascular</w:t>
            </w:r>
          </w:p>
        </w:tc>
        <w:tc>
          <w:tcPr>
            <w:tcW w:w="1350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2809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14.04 (12.53–14.90)</w:t>
            </w:r>
          </w:p>
        </w:tc>
        <w:tc>
          <w:tcPr>
            <w:tcW w:w="2805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13.75 (12.27–14.62)</w:t>
            </w:r>
          </w:p>
        </w:tc>
        <w:tc>
          <w:tcPr>
            <w:tcW w:w="1581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-0.30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1" w:type="dxa"/>
            <w:vMerge w:val="continue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350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2809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11.08 (9.72–11.95)</w:t>
            </w:r>
          </w:p>
        </w:tc>
        <w:tc>
          <w:tcPr>
            <w:tcW w:w="2805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10.83 (9.51–11.68)</w:t>
            </w:r>
          </w:p>
        </w:tc>
        <w:tc>
          <w:tcPr>
            <w:tcW w:w="1581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-0.24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1" w:type="dxa"/>
            <w:vMerge w:val="continue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350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2809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2.97 (2.40–3.33)</w:t>
            </w:r>
          </w:p>
        </w:tc>
        <w:tc>
          <w:tcPr>
            <w:tcW w:w="2805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2.91 (2.34–3.28)</w:t>
            </w:r>
          </w:p>
        </w:tc>
        <w:tc>
          <w:tcPr>
            <w:tcW w:w="1581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-0.05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1" w:type="dxa"/>
            <w:vMerge w:val="restart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350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2809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11.95 (9.87–12.97)</w:t>
            </w:r>
          </w:p>
        </w:tc>
        <w:tc>
          <w:tcPr>
            <w:tcW w:w="2805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11.82 (9.79–12.81)</w:t>
            </w:r>
          </w:p>
        </w:tc>
        <w:tc>
          <w:tcPr>
            <w:tcW w:w="1581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-0.13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1" w:type="dxa"/>
            <w:vMerge w:val="continue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350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2809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9.64 (7.62–10.72)</w:t>
            </w:r>
          </w:p>
        </w:tc>
        <w:tc>
          <w:tcPr>
            <w:tcW w:w="2805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9.53 (7.51–10.61)</w:t>
            </w:r>
          </w:p>
        </w:tc>
        <w:tc>
          <w:tcPr>
            <w:tcW w:w="1581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-0.11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1" w:type="dxa"/>
            <w:vMerge w:val="continue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350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2809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2.31 (1.69–2.76)</w:t>
            </w:r>
          </w:p>
        </w:tc>
        <w:tc>
          <w:tcPr>
            <w:tcW w:w="2805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2.29 (1.67–2.74)</w:t>
            </w:r>
          </w:p>
        </w:tc>
        <w:tc>
          <w:tcPr>
            <w:tcW w:w="1581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-0.02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1" w:type="dxa"/>
            <w:vMerge w:val="restart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350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2809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12.42 (10.55–13.26)</w:t>
            </w:r>
          </w:p>
        </w:tc>
        <w:tc>
          <w:tcPr>
            <w:tcW w:w="2805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12.42 (10.55–13.26)</w:t>
            </w:r>
          </w:p>
        </w:tc>
        <w:tc>
          <w:tcPr>
            <w:tcW w:w="1581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+0.00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1" w:type="dxa"/>
            <w:vMerge w:val="continue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350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2809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8.38 (6.88–9.22)</w:t>
            </w:r>
          </w:p>
        </w:tc>
        <w:tc>
          <w:tcPr>
            <w:tcW w:w="2805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8.38 (6.88–9.22)</w:t>
            </w:r>
          </w:p>
        </w:tc>
        <w:tc>
          <w:tcPr>
            <w:tcW w:w="1581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+0.00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1" w:type="dxa"/>
            <w:vMerge w:val="continue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350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2809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4.03 (3.15–4.54)</w:t>
            </w:r>
          </w:p>
        </w:tc>
        <w:tc>
          <w:tcPr>
            <w:tcW w:w="2805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4.03 (3.15–4.54)</w:t>
            </w:r>
          </w:p>
        </w:tc>
        <w:tc>
          <w:tcPr>
            <w:tcW w:w="1581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+0.00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1" w:type="dxa"/>
            <w:vMerge w:val="restart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Age ≥65</w:t>
            </w:r>
          </w:p>
        </w:tc>
        <w:tc>
          <w:tcPr>
            <w:tcW w:w="1350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2809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12.89 (11.12–13.82)</w:t>
            </w:r>
          </w:p>
        </w:tc>
        <w:tc>
          <w:tcPr>
            <w:tcW w:w="2805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12.87 (11.12–13.81)</w:t>
            </w:r>
          </w:p>
        </w:tc>
        <w:tc>
          <w:tcPr>
            <w:tcW w:w="1581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-0.02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1" w:type="dxa"/>
            <w:vMerge w:val="continue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350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2809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9.60 (8.02–10.53)</w:t>
            </w:r>
          </w:p>
        </w:tc>
        <w:tc>
          <w:tcPr>
            <w:tcW w:w="2805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9.58 (8.01–10.51)</w:t>
            </w:r>
          </w:p>
        </w:tc>
        <w:tc>
          <w:tcPr>
            <w:tcW w:w="1581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-0.02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1" w:type="dxa"/>
            <w:vMerge w:val="continue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350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2809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3.29 (2.72–3.69)</w:t>
            </w:r>
          </w:p>
        </w:tc>
        <w:tc>
          <w:tcPr>
            <w:tcW w:w="2805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3.28 (2.72–3.68)</w:t>
            </w:r>
          </w:p>
        </w:tc>
        <w:tc>
          <w:tcPr>
            <w:tcW w:w="1581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-0.00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1" w:type="dxa"/>
            <w:vMerge w:val="restart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Age &lt;65</w:t>
            </w:r>
          </w:p>
        </w:tc>
        <w:tc>
          <w:tcPr>
            <w:tcW w:w="1350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Total</w:t>
            </w:r>
          </w:p>
        </w:tc>
        <w:tc>
          <w:tcPr>
            <w:tcW w:w="2809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9.00 (6.25–10.22)</w:t>
            </w:r>
          </w:p>
        </w:tc>
        <w:tc>
          <w:tcPr>
            <w:tcW w:w="2805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7.39 (4.89–8.58)</w:t>
            </w:r>
          </w:p>
        </w:tc>
        <w:tc>
          <w:tcPr>
            <w:tcW w:w="1581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-1.61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1" w:type="dxa"/>
            <w:vMerge w:val="continue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350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2809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7.38 (4.78–8.66)</w:t>
            </w:r>
          </w:p>
        </w:tc>
        <w:tc>
          <w:tcPr>
            <w:tcW w:w="2805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6.01 (3.69–7.26)</w:t>
            </w:r>
          </w:p>
        </w:tc>
        <w:tc>
          <w:tcPr>
            <w:tcW w:w="1581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-1.37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1" w:type="dxa"/>
            <w:vMerge w:val="continue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350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2809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1.62 (0.89–2.12)</w:t>
            </w:r>
          </w:p>
        </w:tc>
        <w:tc>
          <w:tcPr>
            <w:tcW w:w="2805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1.38 (0.63–1.89)</w:t>
            </w:r>
          </w:p>
        </w:tc>
        <w:tc>
          <w:tcPr>
            <w:tcW w:w="1581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-0.24</w:t>
            </w:r>
          </w:p>
        </w:tc>
      </w:tr>
    </w:tbl>
    <w:p>
      <w:pPr>
        <w:spacing w:after="40"/>
        <w:rPr>
          <w:highlight w:val="none"/>
        </w:rPr>
      </w:pPr>
    </w:p>
    <w:p>
      <w:pPr>
        <w:rPr>
          <w:highlight w:val="none"/>
        </w:rPr>
      </w:pPr>
      <w:r>
        <w:rPr>
          <w:highlight w:val="none"/>
        </w:rPr>
        <w:br w:type="page"/>
      </w:r>
    </w:p>
    <w:p>
      <w:pPr>
        <w:pStyle w:val="3"/>
        <w:rPr>
          <w:highlight w:val="none"/>
        </w:rPr>
      </w:pPr>
      <w:r>
        <w:rPr>
          <w:highlight w:val="none"/>
        </w:rPr>
        <w:t>Supplementary Table S19</w:t>
      </w:r>
    </w:p>
    <w:p>
      <w:pPr>
        <w:spacing w:after="60"/>
        <w:rPr>
          <w:rFonts w:ascii="Times New Roman" w:hAnsi="Times New Roman"/>
          <w:sz w:val="22"/>
          <w:highlight w:val="none"/>
        </w:rPr>
      </w:pPr>
      <w:r>
        <w:rPr>
          <w:rFonts w:ascii="Times New Roman" w:hAnsi="Times New Roman"/>
          <w:sz w:val="22"/>
          <w:highlight w:val="none"/>
        </w:rPr>
        <w:t xml:space="preserve">Table S19 | </w:t>
      </w:r>
      <w:r>
        <w:rPr>
          <w:rFonts w:hint="eastAsia" w:ascii="Times New Roman" w:hAnsi="Times New Roman"/>
          <w:sz w:val="22"/>
          <w:highlight w:val="none"/>
        </w:rPr>
        <w:t xml:space="preserve">Sensitivity analysis of subgroup-specific attributable fractions </w:t>
      </w:r>
      <w:r>
        <w:rPr>
          <w:rFonts w:hint="eastAsia" w:ascii="Times New Roman" w:hAnsi="Times New Roman" w:eastAsia="宋体"/>
          <w:sz w:val="22"/>
          <w:highlight w:val="none"/>
          <w:lang w:val="en-US" w:eastAsia="zh-CN"/>
        </w:rPr>
        <w:t>in</w:t>
      </w:r>
      <w:r>
        <w:rPr>
          <w:rFonts w:hint="eastAsia" w:ascii="Times New Roman" w:hAnsi="Times New Roman"/>
          <w:sz w:val="22"/>
          <w:highlight w:val="none"/>
        </w:rPr>
        <w:t xml:space="preserve"> alternative MMT references.</w:t>
      </w:r>
    </w:p>
    <w:tbl>
      <w:tblPr>
        <w:tblStyle w:val="38"/>
        <w:tblW w:w="10464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4"/>
        <w:gridCol w:w="1814"/>
        <w:gridCol w:w="1744"/>
        <w:gridCol w:w="1744"/>
        <w:gridCol w:w="1744"/>
        <w:gridCol w:w="1744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4" w:type="dxa"/>
            <w:tcBorders>
              <w:bottom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  <w:highlight w:val="none"/>
              </w:rPr>
              <w:t>Outcome</w:t>
            </w:r>
          </w:p>
        </w:tc>
        <w:tc>
          <w:tcPr>
            <w:tcW w:w="1814" w:type="dxa"/>
            <w:tcBorders>
              <w:bottom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  <w:highlight w:val="none"/>
              </w:rPr>
              <w:t>Total, % (95% eCI)</w:t>
            </w:r>
          </w:p>
        </w:tc>
        <w:tc>
          <w:tcPr>
            <w:tcW w:w="1744" w:type="dxa"/>
            <w:tcBorders>
              <w:bottom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  <w:highlight w:val="none"/>
              </w:rPr>
              <w:t>Cold, % (95% eCI)</w:t>
            </w:r>
          </w:p>
        </w:tc>
        <w:tc>
          <w:tcPr>
            <w:tcW w:w="1744" w:type="dxa"/>
            <w:tcBorders>
              <w:bottom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  <w:highlight w:val="none"/>
              </w:rPr>
              <w:t>Heat, % (95% eCI)</w:t>
            </w:r>
          </w:p>
        </w:tc>
        <w:tc>
          <w:tcPr>
            <w:tcW w:w="1744" w:type="dxa"/>
            <w:tcBorders>
              <w:bottom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  <w:highlight w:val="none"/>
              </w:rPr>
              <w:t>Extreme cold, % (95% eCI)</w:t>
            </w:r>
          </w:p>
        </w:tc>
        <w:tc>
          <w:tcPr>
            <w:tcW w:w="1744" w:type="dxa"/>
            <w:tcBorders>
              <w:bottom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  <w:highlight w:val="none"/>
              </w:rPr>
              <w:t>Extreme heat, % (95% eCI)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4" w:type="dxa"/>
            <w:tcBorders>
              <w:top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Male</w:t>
            </w:r>
          </w:p>
        </w:tc>
        <w:tc>
          <w:tcPr>
            <w:tcW w:w="1814" w:type="dxa"/>
            <w:tcBorders>
              <w:top w:val="single" w:color="auto" w:sz="4" w:space="0"/>
            </w:tcBorders>
            <w:vAlign w:val="center"/>
          </w:tcPr>
          <w:p>
            <w:pPr>
              <w:spacing w:after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11.82 (9.79-12.81)</w:t>
            </w:r>
          </w:p>
        </w:tc>
        <w:tc>
          <w:tcPr>
            <w:tcW w:w="1744" w:type="dxa"/>
            <w:tcBorders>
              <w:top w:val="single" w:color="auto" w:sz="4" w:space="0"/>
            </w:tcBorders>
            <w:vAlign w:val="center"/>
          </w:tcPr>
          <w:p>
            <w:pPr>
              <w:spacing w:after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9.53 (7.51-10.61)</w:t>
            </w:r>
          </w:p>
        </w:tc>
        <w:tc>
          <w:tcPr>
            <w:tcW w:w="1744" w:type="dxa"/>
            <w:tcBorders>
              <w:top w:val="single" w:color="auto" w:sz="4" w:space="0"/>
            </w:tcBorders>
            <w:vAlign w:val="center"/>
          </w:tcPr>
          <w:p>
            <w:pPr>
              <w:spacing w:after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2.29 (1.67-2.74)</w:t>
            </w:r>
          </w:p>
        </w:tc>
        <w:tc>
          <w:tcPr>
            <w:tcW w:w="1744" w:type="dxa"/>
            <w:tcBorders>
              <w:top w:val="single" w:color="auto" w:sz="4" w:space="0"/>
            </w:tcBorders>
            <w:vAlign w:val="center"/>
          </w:tcPr>
          <w:p>
            <w:pPr>
              <w:spacing w:after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1.16 (1.05-1.20)</w:t>
            </w:r>
          </w:p>
        </w:tc>
        <w:tc>
          <w:tcPr>
            <w:tcW w:w="1744" w:type="dxa"/>
            <w:tcBorders>
              <w:top w:val="single" w:color="auto" w:sz="4" w:space="0"/>
            </w:tcBorders>
            <w:vAlign w:val="center"/>
          </w:tcPr>
          <w:p>
            <w:pPr>
              <w:spacing w:after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0.52 (0.46-0.56)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4" w:type="dxa"/>
            <w:vAlign w:val="center"/>
          </w:tcPr>
          <w:p>
            <w:pPr>
              <w:spacing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Female</w:t>
            </w:r>
          </w:p>
        </w:tc>
        <w:tc>
          <w:tcPr>
            <w:tcW w:w="1814" w:type="dxa"/>
            <w:vAlign w:val="center"/>
          </w:tcPr>
          <w:p>
            <w:pPr>
              <w:spacing w:after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12.42 (10.55-13.26)</w:t>
            </w:r>
          </w:p>
        </w:tc>
        <w:tc>
          <w:tcPr>
            <w:tcW w:w="1744" w:type="dxa"/>
            <w:vAlign w:val="center"/>
          </w:tcPr>
          <w:p>
            <w:pPr>
              <w:spacing w:after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8.38 (6.88-9.22)</w:t>
            </w:r>
          </w:p>
        </w:tc>
        <w:tc>
          <w:tcPr>
            <w:tcW w:w="1744" w:type="dxa"/>
            <w:vAlign w:val="center"/>
          </w:tcPr>
          <w:p>
            <w:pPr>
              <w:spacing w:after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4.03 (3.15-4.54)</w:t>
            </w: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  <w:vertAlign w:val="superscript"/>
              </w:rPr>
              <w:t>*</w:t>
            </w:r>
          </w:p>
        </w:tc>
        <w:tc>
          <w:tcPr>
            <w:tcW w:w="1744" w:type="dxa"/>
            <w:vAlign w:val="center"/>
          </w:tcPr>
          <w:p>
            <w:pPr>
              <w:spacing w:after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1.23 (1.13-1.27)</w:t>
            </w:r>
          </w:p>
        </w:tc>
        <w:tc>
          <w:tcPr>
            <w:tcW w:w="1744" w:type="dxa"/>
            <w:vAlign w:val="center"/>
          </w:tcPr>
          <w:p>
            <w:pPr>
              <w:spacing w:after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0.86 (0.75-0.90)</w:t>
            </w: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  <w:vertAlign w:val="superscript"/>
              </w:rPr>
              <w:t>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4" w:type="dxa"/>
            <w:vAlign w:val="center"/>
          </w:tcPr>
          <w:p>
            <w:pPr>
              <w:spacing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 xml:space="preserve">Age </w:t>
            </w:r>
            <w:r>
              <w:rPr>
                <w:rFonts w:hint="eastAsia" w:ascii="Times New Roman" w:hAnsi="Times New Roman" w:eastAsia="宋体" w:cs="Times New Roman"/>
                <w:b w:val="0"/>
                <w:sz w:val="22"/>
                <w:szCs w:val="22"/>
                <w:highlight w:val="none"/>
                <w:lang w:val="en-US" w:eastAsia="zh-CN"/>
              </w:rPr>
              <w:t>≥</w:t>
            </w: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65 years</w:t>
            </w:r>
          </w:p>
        </w:tc>
        <w:tc>
          <w:tcPr>
            <w:tcW w:w="1814" w:type="dxa"/>
            <w:vAlign w:val="center"/>
          </w:tcPr>
          <w:p>
            <w:pPr>
              <w:spacing w:after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12.87 (11.12-13.81)</w:t>
            </w: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  <w:vertAlign w:val="superscript"/>
              </w:rPr>
              <w:t>#</w:t>
            </w:r>
          </w:p>
        </w:tc>
        <w:tc>
          <w:tcPr>
            <w:tcW w:w="1744" w:type="dxa"/>
            <w:vAlign w:val="center"/>
          </w:tcPr>
          <w:p>
            <w:pPr>
              <w:spacing w:after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9.58 (8.01-10.51)</w:t>
            </w: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  <w:vertAlign w:val="superscript"/>
              </w:rPr>
              <w:t>#</w:t>
            </w:r>
          </w:p>
        </w:tc>
        <w:tc>
          <w:tcPr>
            <w:tcW w:w="1744" w:type="dxa"/>
            <w:vAlign w:val="center"/>
          </w:tcPr>
          <w:p>
            <w:pPr>
              <w:spacing w:after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3.28 (2.72-3.68)</w:t>
            </w: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  <w:vertAlign w:val="superscript"/>
              </w:rPr>
              <w:t>#</w:t>
            </w:r>
          </w:p>
        </w:tc>
        <w:tc>
          <w:tcPr>
            <w:tcW w:w="1744" w:type="dxa"/>
            <w:vAlign w:val="center"/>
          </w:tcPr>
          <w:p>
            <w:pPr>
              <w:spacing w:after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1.34 (1.27-1.37)</w:t>
            </w: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  <w:vertAlign w:val="superscript"/>
              </w:rPr>
              <w:t>#</w:t>
            </w:r>
          </w:p>
        </w:tc>
        <w:tc>
          <w:tcPr>
            <w:tcW w:w="1744" w:type="dxa"/>
            <w:vAlign w:val="center"/>
          </w:tcPr>
          <w:p>
            <w:pPr>
              <w:spacing w:after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0.78 (0.71-0.82)</w:t>
            </w: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  <w:vertAlign w:val="superscript"/>
              </w:rPr>
              <w:t>#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4" w:type="dxa"/>
            <w:vAlign w:val="center"/>
          </w:tcPr>
          <w:p>
            <w:pPr>
              <w:spacing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Age &lt;65 years</w:t>
            </w:r>
          </w:p>
        </w:tc>
        <w:tc>
          <w:tcPr>
            <w:tcW w:w="1814" w:type="dxa"/>
            <w:vAlign w:val="center"/>
          </w:tcPr>
          <w:p>
            <w:pPr>
              <w:spacing w:after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7.39 (4.89-8.58)</w:t>
            </w:r>
          </w:p>
        </w:tc>
        <w:tc>
          <w:tcPr>
            <w:tcW w:w="1744" w:type="dxa"/>
            <w:vAlign w:val="center"/>
          </w:tcPr>
          <w:p>
            <w:pPr>
              <w:spacing w:after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6.01 (3.69-7.26)</w:t>
            </w:r>
          </w:p>
        </w:tc>
        <w:tc>
          <w:tcPr>
            <w:tcW w:w="1744" w:type="dxa"/>
            <w:vAlign w:val="center"/>
          </w:tcPr>
          <w:p>
            <w:pPr>
              <w:spacing w:after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1.38 (0.63-1.89)</w:t>
            </w:r>
          </w:p>
        </w:tc>
        <w:tc>
          <w:tcPr>
            <w:tcW w:w="1744" w:type="dxa"/>
            <w:vAlign w:val="center"/>
          </w:tcPr>
          <w:p>
            <w:pPr>
              <w:spacing w:after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0.71 (0.54-0.78)</w:t>
            </w:r>
          </w:p>
        </w:tc>
        <w:tc>
          <w:tcPr>
            <w:tcW w:w="1744" w:type="dxa"/>
            <w:vAlign w:val="center"/>
          </w:tcPr>
          <w:p>
            <w:pPr>
              <w:spacing w:after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0.30 (0.21-0.35)</w:t>
            </w:r>
          </w:p>
        </w:tc>
      </w:tr>
    </w:tbl>
    <w:p>
      <w:pPr>
        <w:spacing w:after="40"/>
        <w:rPr>
          <w:highlight w:val="none"/>
        </w:rPr>
      </w:pPr>
      <w:r>
        <w:rPr>
          <w:rFonts w:hint="default" w:ascii="Times New Roman" w:hAnsi="Times New Roman" w:cs="Times New Roman"/>
          <w:i/>
          <w:iCs/>
          <w:color w:val="auto"/>
          <w:sz w:val="21"/>
          <w:szCs w:val="21"/>
          <w:highlight w:val="none"/>
          <w:lang w:val="en-US" w:eastAsia="zh-CN"/>
        </w:rPr>
        <w:t xml:space="preserve">Note: </w:t>
      </w:r>
      <w:r>
        <w:rPr>
          <w:rStyle w:val="36"/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 xml:space="preserve">*Indicates </w:t>
      </w:r>
      <w:r>
        <w:rPr>
          <w:rStyle w:val="36"/>
          <w:rFonts w:hint="default" w:ascii="Times New Roman" w:hAnsi="Times New Roman" w:eastAsia="宋体" w:cs="Times New Roman"/>
          <w:i/>
          <w:iCs/>
          <w:color w:val="auto"/>
          <w:sz w:val="21"/>
          <w:szCs w:val="21"/>
          <w:highlight w:val="none"/>
        </w:rPr>
        <w:t>P</w:t>
      </w:r>
      <w:r>
        <w:rPr>
          <w:rStyle w:val="36"/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&lt;0.05 for the male–female comparison,</w:t>
      </w:r>
      <w:r>
        <w:rPr>
          <w:rStyle w:val="36"/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 # </w:t>
      </w:r>
      <w:r>
        <w:rPr>
          <w:rStyle w:val="36"/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 xml:space="preserve">Indicates </w:t>
      </w:r>
      <w:r>
        <w:rPr>
          <w:rStyle w:val="36"/>
          <w:rFonts w:hint="default" w:ascii="Times New Roman" w:hAnsi="Times New Roman" w:eastAsia="宋体" w:cs="Times New Roman"/>
          <w:i/>
          <w:iCs/>
          <w:color w:val="auto"/>
          <w:sz w:val="21"/>
          <w:szCs w:val="21"/>
          <w:highlight w:val="none"/>
        </w:rPr>
        <w:t>P</w:t>
      </w:r>
      <w:r>
        <w:rPr>
          <w:rStyle w:val="36"/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 xml:space="preserve">&lt;0.05 for the </w:t>
      </w:r>
      <w:r>
        <w:rPr>
          <w:rStyle w:val="36"/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age ≥65-age ＜65</w:t>
      </w:r>
      <w:r>
        <w:rPr>
          <w:rStyle w:val="36"/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 xml:space="preserve"> comparison</w:t>
      </w:r>
      <w:r>
        <w:rPr>
          <w:rStyle w:val="36"/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, </w:t>
      </w:r>
      <w:r>
        <w:rPr>
          <w:rStyle w:val="36"/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based on a two-sided Z test.</w:t>
      </w:r>
      <w:r>
        <w:rPr>
          <w:rFonts w:ascii="Arial" w:hAnsi="Arial"/>
          <w:b w:val="0"/>
          <w:sz w:val="14"/>
          <w:highlight w:val="none"/>
        </w:rPr>
        <w:t>.</w:t>
      </w:r>
    </w:p>
    <w:p>
      <w:pPr>
        <w:rPr>
          <w:highlight w:val="none"/>
        </w:rPr>
      </w:pPr>
      <w:r>
        <w:rPr>
          <w:highlight w:val="none"/>
        </w:rPr>
        <w:br w:type="page"/>
      </w:r>
    </w:p>
    <w:p>
      <w:pPr>
        <w:pStyle w:val="3"/>
        <w:rPr>
          <w:highlight w:val="none"/>
        </w:rPr>
      </w:pPr>
      <w:r>
        <w:rPr>
          <w:highlight w:val="none"/>
        </w:rPr>
        <w:t>Supplementary Table S20</w:t>
      </w:r>
    </w:p>
    <w:p>
      <w:pPr>
        <w:spacing w:after="60"/>
        <w:rPr>
          <w:highlight w:val="none"/>
        </w:rPr>
      </w:pPr>
      <w:r>
        <w:rPr>
          <w:rFonts w:ascii="Times New Roman" w:hAnsi="Times New Roman"/>
          <w:sz w:val="22"/>
          <w:highlight w:val="none"/>
        </w:rPr>
        <w:t xml:space="preserve">Table S20 | </w:t>
      </w:r>
      <w:r>
        <w:rPr>
          <w:rFonts w:hint="eastAsia" w:ascii="Times New Roman" w:hAnsi="Times New Roman"/>
          <w:sz w:val="22"/>
          <w:highlight w:val="none"/>
        </w:rPr>
        <w:t>Comparison of projected province-level cold- and heat-attributable numbers between the primary analysis and the alternative MMT reference sensitivity analysis.</w:t>
      </w:r>
    </w:p>
    <w:tbl>
      <w:tblPr>
        <w:tblStyle w:val="38"/>
        <w:tblW w:w="104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9"/>
        <w:gridCol w:w="1250"/>
        <w:gridCol w:w="1334"/>
        <w:gridCol w:w="1941"/>
        <w:gridCol w:w="2159"/>
        <w:gridCol w:w="1208"/>
        <w:gridCol w:w="15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049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  <w:highlight w:val="none"/>
              </w:rPr>
              <w:t>Scenario</w:t>
            </w:r>
          </w:p>
        </w:tc>
        <w:tc>
          <w:tcPr>
            <w:tcW w:w="1250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  <w:highlight w:val="none"/>
              </w:rPr>
              <w:t>Period</w:t>
            </w:r>
          </w:p>
        </w:tc>
        <w:tc>
          <w:tcPr>
            <w:tcW w:w="133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  <w:highlight w:val="none"/>
              </w:rPr>
              <w:t>Component</w:t>
            </w:r>
          </w:p>
        </w:tc>
        <w:tc>
          <w:tcPr>
            <w:tcW w:w="1941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  <w:highlight w:val="none"/>
              </w:rPr>
              <w:t>Primary AN (95% eCI)</w:t>
            </w:r>
          </w:p>
        </w:tc>
        <w:tc>
          <w:tcPr>
            <w:tcW w:w="2159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  <w:highlight w:val="none"/>
              </w:rPr>
              <w:t>Fallback AN (95% eCI)</w:t>
            </w:r>
          </w:p>
        </w:tc>
        <w:tc>
          <w:tcPr>
            <w:tcW w:w="1208" w:type="dxa"/>
            <w:vAlign w:val="center"/>
          </w:tcPr>
          <w:p>
            <w:pPr>
              <w:spacing w:before="0" w:after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  <w:highlight w:val="none"/>
              </w:rPr>
              <w:t xml:space="preserve">AN </w:t>
            </w:r>
            <w:r>
              <w:rPr>
                <w:rFonts w:hint="eastAsia" w:ascii="Times New Roman" w:hAnsi="Times New Roman" w:eastAsia="宋体" w:cs="Times New Roman"/>
                <w:b/>
                <w:sz w:val="22"/>
                <w:szCs w:val="22"/>
                <w:highlight w:val="none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  <w:highlight w:val="none"/>
              </w:rPr>
              <w:t>ifference</w:t>
            </w:r>
          </w:p>
        </w:tc>
        <w:tc>
          <w:tcPr>
            <w:tcW w:w="152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  <w:highlight w:val="none"/>
              </w:rPr>
              <w:t>AN difference, 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" w:type="dxa"/>
            <w:vMerge w:val="restart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SSP2-4.5</w:t>
            </w:r>
          </w:p>
        </w:tc>
        <w:tc>
          <w:tcPr>
            <w:tcW w:w="1250" w:type="dxa"/>
            <w:vMerge w:val="restart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33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1941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254,869 (201,933–291,570)</w:t>
            </w:r>
          </w:p>
        </w:tc>
        <w:tc>
          <w:tcPr>
            <w:tcW w:w="2159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254,568 (201,844–291,196)</w:t>
            </w:r>
          </w:p>
        </w:tc>
        <w:tc>
          <w:tcPr>
            <w:tcW w:w="1208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-301</w:t>
            </w:r>
          </w:p>
        </w:tc>
        <w:tc>
          <w:tcPr>
            <w:tcW w:w="152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-0.12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" w:type="dxa"/>
            <w:vMerge w:val="continue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250" w:type="dxa"/>
            <w:vMerge w:val="continue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33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1941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94,646 (62,399–131,087)</w:t>
            </w:r>
          </w:p>
        </w:tc>
        <w:tc>
          <w:tcPr>
            <w:tcW w:w="2159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94,562 (62,296–131,008)</w:t>
            </w:r>
          </w:p>
        </w:tc>
        <w:tc>
          <w:tcPr>
            <w:tcW w:w="1208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-84</w:t>
            </w:r>
          </w:p>
        </w:tc>
        <w:tc>
          <w:tcPr>
            <w:tcW w:w="152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-0.09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" w:type="dxa"/>
            <w:vMerge w:val="continue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250" w:type="dxa"/>
            <w:vMerge w:val="restart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33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1941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266,623 (199,298–312,529)</w:t>
            </w:r>
          </w:p>
        </w:tc>
        <w:tc>
          <w:tcPr>
            <w:tcW w:w="2159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266,388 (199,380–312,201)</w:t>
            </w:r>
          </w:p>
        </w:tc>
        <w:tc>
          <w:tcPr>
            <w:tcW w:w="1208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-236</w:t>
            </w:r>
          </w:p>
        </w:tc>
        <w:tc>
          <w:tcPr>
            <w:tcW w:w="152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-0.09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" w:type="dxa"/>
            <w:vMerge w:val="continue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250" w:type="dxa"/>
            <w:vMerge w:val="continue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33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1941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200,172 (129,272–313,660)</w:t>
            </w:r>
          </w:p>
        </w:tc>
        <w:tc>
          <w:tcPr>
            <w:tcW w:w="2159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200,064 (129,123–313,485)</w:t>
            </w:r>
          </w:p>
        </w:tc>
        <w:tc>
          <w:tcPr>
            <w:tcW w:w="1208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-108</w:t>
            </w:r>
          </w:p>
        </w:tc>
        <w:tc>
          <w:tcPr>
            <w:tcW w:w="152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-0.05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" w:type="dxa"/>
            <w:vMerge w:val="continue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250" w:type="dxa"/>
            <w:vMerge w:val="restart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33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1941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294,898 (217,953–344,837)</w:t>
            </w:r>
          </w:p>
        </w:tc>
        <w:tc>
          <w:tcPr>
            <w:tcW w:w="2159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294,660 (218,016–344,677)</w:t>
            </w:r>
          </w:p>
        </w:tc>
        <w:tc>
          <w:tcPr>
            <w:tcW w:w="1208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-238</w:t>
            </w:r>
          </w:p>
        </w:tc>
        <w:tc>
          <w:tcPr>
            <w:tcW w:w="152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-0.08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" w:type="dxa"/>
            <w:vMerge w:val="continue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250" w:type="dxa"/>
            <w:vMerge w:val="continue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33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1941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285,165 (184,434–438,012)</w:t>
            </w:r>
          </w:p>
        </w:tc>
        <w:tc>
          <w:tcPr>
            <w:tcW w:w="2159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285,037 (184,225–437,804)</w:t>
            </w:r>
          </w:p>
        </w:tc>
        <w:tc>
          <w:tcPr>
            <w:tcW w:w="1208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-128</w:t>
            </w:r>
          </w:p>
        </w:tc>
        <w:tc>
          <w:tcPr>
            <w:tcW w:w="152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-0.04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" w:type="dxa"/>
            <w:vMerge w:val="restart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SSP5-8.5</w:t>
            </w:r>
          </w:p>
        </w:tc>
        <w:tc>
          <w:tcPr>
            <w:tcW w:w="1250" w:type="dxa"/>
            <w:vMerge w:val="restart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2030-2039</w:t>
            </w:r>
          </w:p>
        </w:tc>
        <w:tc>
          <w:tcPr>
            <w:tcW w:w="133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1941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253,626 (197,664–292,660)</w:t>
            </w:r>
          </w:p>
        </w:tc>
        <w:tc>
          <w:tcPr>
            <w:tcW w:w="2159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253,344 (197,548–292,305)</w:t>
            </w:r>
          </w:p>
        </w:tc>
        <w:tc>
          <w:tcPr>
            <w:tcW w:w="1208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-283</w:t>
            </w:r>
          </w:p>
        </w:tc>
        <w:tc>
          <w:tcPr>
            <w:tcW w:w="152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-0.11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" w:type="dxa"/>
            <w:vMerge w:val="continue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250" w:type="dxa"/>
            <w:vMerge w:val="continue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33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1941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113,444 (77,474–156,427)</w:t>
            </w:r>
          </w:p>
        </w:tc>
        <w:tc>
          <w:tcPr>
            <w:tcW w:w="2159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113,348 (77,288–156,309)</w:t>
            </w:r>
          </w:p>
        </w:tc>
        <w:tc>
          <w:tcPr>
            <w:tcW w:w="1208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-96</w:t>
            </w:r>
          </w:p>
        </w:tc>
        <w:tc>
          <w:tcPr>
            <w:tcW w:w="152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-0.08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" w:type="dxa"/>
            <w:vMerge w:val="continue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250" w:type="dxa"/>
            <w:vMerge w:val="restart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2060-2069</w:t>
            </w:r>
          </w:p>
        </w:tc>
        <w:tc>
          <w:tcPr>
            <w:tcW w:w="133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1941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230,007 (169,187–281,008)</w:t>
            </w:r>
          </w:p>
        </w:tc>
        <w:tc>
          <w:tcPr>
            <w:tcW w:w="2159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229,814 (169,220–280,702)</w:t>
            </w:r>
          </w:p>
        </w:tc>
        <w:tc>
          <w:tcPr>
            <w:tcW w:w="1208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-193</w:t>
            </w:r>
          </w:p>
        </w:tc>
        <w:tc>
          <w:tcPr>
            <w:tcW w:w="152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-0.08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" w:type="dxa"/>
            <w:vMerge w:val="continue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250" w:type="dxa"/>
            <w:vMerge w:val="continue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33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1941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275,945 (181,757–454,848)</w:t>
            </w:r>
          </w:p>
        </w:tc>
        <w:tc>
          <w:tcPr>
            <w:tcW w:w="2159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275,829 (181,601–454,675)</w:t>
            </w:r>
          </w:p>
        </w:tc>
        <w:tc>
          <w:tcPr>
            <w:tcW w:w="1208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-116</w:t>
            </w:r>
          </w:p>
        </w:tc>
        <w:tc>
          <w:tcPr>
            <w:tcW w:w="152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-0.04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" w:type="dxa"/>
            <w:vMerge w:val="continue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250" w:type="dxa"/>
            <w:vMerge w:val="restart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2090-2099</w:t>
            </w:r>
          </w:p>
        </w:tc>
        <w:tc>
          <w:tcPr>
            <w:tcW w:w="133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Cold</w:t>
            </w:r>
          </w:p>
        </w:tc>
        <w:tc>
          <w:tcPr>
            <w:tcW w:w="1941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185,923 (103,120–243,133)</w:t>
            </w:r>
          </w:p>
        </w:tc>
        <w:tc>
          <w:tcPr>
            <w:tcW w:w="2159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185,771 (103,125–242,990)</w:t>
            </w:r>
          </w:p>
        </w:tc>
        <w:tc>
          <w:tcPr>
            <w:tcW w:w="1208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-153</w:t>
            </w:r>
          </w:p>
        </w:tc>
        <w:tc>
          <w:tcPr>
            <w:tcW w:w="152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-0.08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" w:type="dxa"/>
            <w:vMerge w:val="continue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250" w:type="dxa"/>
            <w:vMerge w:val="continue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133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Heat</w:t>
            </w:r>
          </w:p>
        </w:tc>
        <w:tc>
          <w:tcPr>
            <w:tcW w:w="1941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603,423 (383,300–1,009,183)</w:t>
            </w:r>
          </w:p>
        </w:tc>
        <w:tc>
          <w:tcPr>
            <w:tcW w:w="2159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603,277 (383,222–1,008,810)</w:t>
            </w:r>
          </w:p>
        </w:tc>
        <w:tc>
          <w:tcPr>
            <w:tcW w:w="1208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-145</w:t>
            </w:r>
          </w:p>
        </w:tc>
        <w:tc>
          <w:tcPr>
            <w:tcW w:w="1524" w:type="dxa"/>
            <w:vAlign w:val="center"/>
          </w:tcPr>
          <w:p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sz w:val="22"/>
                <w:szCs w:val="22"/>
                <w:highlight w:val="none"/>
              </w:rPr>
              <w:t>-0.02</w:t>
            </w:r>
          </w:p>
        </w:tc>
      </w:tr>
    </w:tbl>
    <w:p>
      <w:pPr>
        <w:spacing w:after="40"/>
        <w:rPr>
          <w:highlight w:val="none"/>
        </w:rPr>
      </w:pPr>
    </w:p>
    <w:sectPr>
      <w:footerReference r:id="rId3" w:type="default"/>
      <w:pgSz w:w="11906" w:h="16838"/>
      <w:pgMar w:top="720" w:right="720" w:bottom="720" w:left="72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ＭＳ 明朝">
    <w:altName w:val="ESRI AMFM Electr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ESRI AMFM Electric">
    <w:panose1 w:val="02000400000000000000"/>
    <w:charset w:val="00"/>
    <w:family w:val="auto"/>
    <w:pitch w:val="default"/>
    <w:sig w:usb0="00000003" w:usb1="00000000" w:usb2="00000000" w:usb3="00000000" w:csb0="00000001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4"/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54710154-E33A-4726-99A7-1A767F94C013}"/>
    <w:docVar w:name="KY_MEDREF_VERSION" w:val="3"/>
  </w:docVars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B156287"/>
    <w:rsid w:val="0C3E656C"/>
    <w:rsid w:val="1A654166"/>
    <w:rsid w:val="1C9F2906"/>
    <w:rsid w:val="1D096F1A"/>
    <w:rsid w:val="1D941B07"/>
    <w:rsid w:val="229004B2"/>
    <w:rsid w:val="22C2045E"/>
    <w:rsid w:val="24B81CF0"/>
    <w:rsid w:val="2F9C21A2"/>
    <w:rsid w:val="302A2348"/>
    <w:rsid w:val="30845ACD"/>
    <w:rsid w:val="33130293"/>
    <w:rsid w:val="379B2CEB"/>
    <w:rsid w:val="38F55568"/>
    <w:rsid w:val="3AD43E19"/>
    <w:rsid w:val="3D407F0C"/>
    <w:rsid w:val="40CD2603"/>
    <w:rsid w:val="47195FE2"/>
    <w:rsid w:val="48F377DF"/>
    <w:rsid w:val="4A383AB6"/>
    <w:rsid w:val="56CB3252"/>
    <w:rsid w:val="5B3F6C5D"/>
    <w:rsid w:val="6312740B"/>
    <w:rsid w:val="63EB729F"/>
    <w:rsid w:val="64E80087"/>
    <w:rsid w:val="71B656D5"/>
    <w:rsid w:val="79D0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qFormat="1" w:unhideWhenUsed="0" w:uiPriority="0" w:semiHidden="0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264" w:lineRule="auto"/>
    </w:pPr>
    <w:rPr>
      <w:rFonts w:ascii="Calibri" w:hAnsi="Calibr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40"/>
    <w:qFormat/>
    <w:uiPriority w:val="9"/>
    <w:pPr>
      <w:keepNext/>
      <w:keepLines/>
      <w:spacing w:before="320" w:after="160"/>
      <w:outlineLvl w:val="0"/>
    </w:pPr>
    <w:rPr>
      <w:rFonts w:asciiTheme="majorHAnsi" w:hAnsiTheme="majorHAnsi" w:eastAsiaTheme="majorEastAsia" w:cstheme="majorBidi"/>
      <w:b/>
      <w:bCs/>
      <w:color w:val="2E74B5"/>
      <w:sz w:val="32"/>
      <w:szCs w:val="28"/>
    </w:rPr>
  </w:style>
  <w:style w:type="paragraph" w:styleId="3">
    <w:name w:val="heading 2"/>
    <w:basedOn w:val="1"/>
    <w:next w:val="1"/>
    <w:link w:val="141"/>
    <w:unhideWhenUsed/>
    <w:qFormat/>
    <w:uiPriority w:val="9"/>
    <w:pPr>
      <w:keepNext/>
      <w:keepLines/>
      <w:spacing w:before="240" w:after="120"/>
      <w:outlineLvl w:val="1"/>
    </w:pPr>
    <w:rPr>
      <w:rFonts w:asciiTheme="majorHAnsi" w:hAnsiTheme="majorHAnsi" w:eastAsiaTheme="majorEastAsia" w:cstheme="majorBidi"/>
      <w:b/>
      <w:bCs/>
      <w:color w:val="2E74B5"/>
      <w:sz w:val="26"/>
      <w:szCs w:val="26"/>
    </w:rPr>
  </w:style>
  <w:style w:type="paragraph" w:styleId="4">
    <w:name w:val="heading 3"/>
    <w:basedOn w:val="1"/>
    <w:next w:val="1"/>
    <w:link w:val="142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b/>
      <w:bCs/>
      <w:color w:val="1F4D78"/>
      <w:sz w:val="24"/>
    </w:rPr>
  </w:style>
  <w:style w:type="paragraph" w:styleId="5">
    <w:name w:val="heading 4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33">
    <w:name w:val="Default Paragraph Font"/>
    <w:semiHidden/>
    <w:unhideWhenUsed/>
    <w:qFormat/>
    <w:uiPriority w:val="1"/>
  </w:style>
  <w:style w:type="table" w:default="1" w:styleId="3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2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3">
    <w:name w:val="macro"/>
    <w:link w:val="1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8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6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7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styleId="34">
    <w:name w:val="Strong"/>
    <w:basedOn w:val="33"/>
    <w:qFormat/>
    <w:uiPriority w:val="22"/>
    <w:rPr>
      <w:b/>
      <w:bCs/>
    </w:rPr>
  </w:style>
  <w:style w:type="character" w:styleId="35">
    <w:name w:val="Emphasis"/>
    <w:basedOn w:val="33"/>
    <w:qFormat/>
    <w:uiPriority w:val="20"/>
    <w:rPr>
      <w:i/>
      <w:iCs/>
    </w:rPr>
  </w:style>
  <w:style w:type="character" w:styleId="36">
    <w:name w:val="HTML Code"/>
    <w:basedOn w:val="33"/>
    <w:qFormat/>
    <w:uiPriority w:val="0"/>
    <w:rPr>
      <w:rFonts w:ascii="Courier New" w:hAnsi="Courier New"/>
      <w:sz w:val="20"/>
    </w:rPr>
  </w:style>
  <w:style w:type="table" w:styleId="38">
    <w:name w:val="Table Grid"/>
    <w:basedOn w:val="37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9">
    <w:name w:val="Light Shading"/>
    <w:basedOn w:val="37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40">
    <w:name w:val="Light Shading Accent 1"/>
    <w:basedOn w:val="37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41">
    <w:name w:val="Light Shading Accent 2"/>
    <w:basedOn w:val="37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2">
    <w:name w:val="Light Shading Accent 3"/>
    <w:basedOn w:val="37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3">
    <w:name w:val="Light Shading Accent 4"/>
    <w:basedOn w:val="37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4">
    <w:name w:val="Light Shading Accent 5"/>
    <w:basedOn w:val="37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5">
    <w:name w:val="Light Shading Accent 6"/>
    <w:basedOn w:val="37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6">
    <w:name w:val="Light List"/>
    <w:basedOn w:val="37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7">
    <w:name w:val="Light List Accent 1"/>
    <w:basedOn w:val="37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8">
    <w:name w:val="Light List Accent 2"/>
    <w:basedOn w:val="37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9">
    <w:name w:val="Light List Accent 3"/>
    <w:basedOn w:val="37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50">
    <w:name w:val="Light List Accent 4"/>
    <w:basedOn w:val="37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51">
    <w:name w:val="Light List Accent 5"/>
    <w:basedOn w:val="37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2">
    <w:name w:val="Light List Accent 6"/>
    <w:basedOn w:val="37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3">
    <w:name w:val="Light Grid"/>
    <w:basedOn w:val="37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4">
    <w:name w:val="Light Grid Accent 1"/>
    <w:basedOn w:val="37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5">
    <w:name w:val="Light Grid Accent 2"/>
    <w:basedOn w:val="37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6">
    <w:name w:val="Light Grid Accent 3"/>
    <w:basedOn w:val="37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7">
    <w:name w:val="Light Grid Accent 4"/>
    <w:basedOn w:val="37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8">
    <w:name w:val="Light Grid Accent 5"/>
    <w:basedOn w:val="37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9">
    <w:name w:val="Light Grid Accent 6"/>
    <w:basedOn w:val="37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60">
    <w:name w:val="Medium Shading 1"/>
    <w:basedOn w:val="37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1">
    <w:name w:val="Medium Shading 1 Accent 1"/>
    <w:basedOn w:val="37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2">
    <w:name w:val="Medium Shading 1 Accent 2"/>
    <w:basedOn w:val="37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3">
    <w:name w:val="Medium Shading 1 Accent 3"/>
    <w:basedOn w:val="37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4">
    <w:name w:val="Medium Shading 1 Accent 4"/>
    <w:basedOn w:val="37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5">
    <w:name w:val="Medium Shading 1 Accent 5"/>
    <w:basedOn w:val="37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6">
    <w:name w:val="Medium Shading 1 Accent 6"/>
    <w:basedOn w:val="37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7">
    <w:name w:val="Medium Shading 2"/>
    <w:basedOn w:val="37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1"/>
    <w:basedOn w:val="37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2"/>
    <w:basedOn w:val="37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3"/>
    <w:basedOn w:val="37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4"/>
    <w:basedOn w:val="37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Shading 2 Accent 5"/>
    <w:basedOn w:val="37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3">
    <w:name w:val="Medium Shading 2 Accent 6"/>
    <w:basedOn w:val="37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4">
    <w:name w:val="Medium List 1"/>
    <w:basedOn w:val="37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>
        <w:tblLayout w:type="fixed"/>
      </w:tblPr>
      <w:tcPr>
        <w:shd w:val="clear" w:color="auto" w:fill="BFBFBF" w:themeFill="text1" w:themeFillTint="3F"/>
      </w:tcPr>
    </w:tblStylePr>
    <w:tblStylePr w:type="band1Horz">
      <w:tblPr>
        <w:tblLayout w:type="fixed"/>
      </w:tblPr>
      <w:tcPr>
        <w:shd w:val="clear" w:color="auto" w:fill="BFBFBF" w:themeFill="text1" w:themeFillTint="3F"/>
      </w:tcPr>
    </w:tblStylePr>
  </w:style>
  <w:style w:type="table" w:styleId="75">
    <w:name w:val="Medium List 1 Accent 1"/>
    <w:basedOn w:val="37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>
        <w:tblLayout w:type="fixed"/>
      </w:tblPr>
      <w:tcPr>
        <w:shd w:val="clear" w:color="auto" w:fill="D3DFEE" w:themeFill="accent1" w:themeFillTint="3F"/>
      </w:tcPr>
    </w:tblStylePr>
    <w:tblStylePr w:type="band1Horz">
      <w:tblPr>
        <w:tblLayout w:type="fixed"/>
      </w:tblPr>
      <w:tcPr>
        <w:shd w:val="clear" w:color="auto" w:fill="D3DFEE" w:themeFill="accent1" w:themeFillTint="3F"/>
      </w:tcPr>
    </w:tblStylePr>
  </w:style>
  <w:style w:type="table" w:styleId="76">
    <w:name w:val="Medium List 1 Accent 2"/>
    <w:basedOn w:val="37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>
        <w:tblLayout w:type="fixed"/>
      </w:tblPr>
      <w:tcPr>
        <w:shd w:val="clear" w:color="auto" w:fill="EFD3D3" w:themeFill="accent2" w:themeFillTint="3F"/>
      </w:tcPr>
    </w:tblStylePr>
    <w:tblStylePr w:type="band1Horz">
      <w:tblPr>
        <w:tblLayout w:type="fixed"/>
      </w:tblPr>
      <w:tcPr>
        <w:shd w:val="clear" w:color="auto" w:fill="EFD3D3" w:themeFill="accent2" w:themeFillTint="3F"/>
      </w:tcPr>
    </w:tblStylePr>
  </w:style>
  <w:style w:type="table" w:styleId="77">
    <w:name w:val="Medium List 1 Accent 3"/>
    <w:basedOn w:val="37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>
        <w:tblLayout w:type="fixed"/>
      </w:tblPr>
      <w:tcPr>
        <w:shd w:val="clear" w:color="auto" w:fill="E6EED5" w:themeFill="accent3" w:themeFillTint="3F"/>
      </w:tcPr>
    </w:tblStylePr>
    <w:tblStylePr w:type="band1Horz">
      <w:tblPr>
        <w:tblLayout w:type="fixed"/>
      </w:tblPr>
      <w:tcPr>
        <w:shd w:val="clear" w:color="auto" w:fill="E6EED5" w:themeFill="accent3" w:themeFillTint="3F"/>
      </w:tcPr>
    </w:tblStylePr>
  </w:style>
  <w:style w:type="table" w:styleId="78">
    <w:name w:val="Medium List 1 Accent 4"/>
    <w:basedOn w:val="37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>
        <w:tblLayout w:type="fixed"/>
      </w:tblPr>
      <w:tcPr>
        <w:shd w:val="clear" w:color="auto" w:fill="DFD8E8" w:themeFill="accent4" w:themeFillTint="3F"/>
      </w:tcPr>
    </w:tblStylePr>
    <w:tblStylePr w:type="band1Horz">
      <w:tblPr>
        <w:tblLayout w:type="fixed"/>
      </w:tblPr>
      <w:tcPr>
        <w:shd w:val="clear" w:color="auto" w:fill="DFD8E8" w:themeFill="accent4" w:themeFillTint="3F"/>
      </w:tcPr>
    </w:tblStylePr>
  </w:style>
  <w:style w:type="table" w:styleId="79">
    <w:name w:val="Medium List 1 Accent 5"/>
    <w:basedOn w:val="37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>
        <w:tblLayout w:type="fixed"/>
      </w:tblPr>
      <w:tcPr>
        <w:shd w:val="clear" w:color="auto" w:fill="D2EAF0" w:themeFill="accent5" w:themeFillTint="3F"/>
      </w:tcPr>
    </w:tblStylePr>
    <w:tblStylePr w:type="band1Horz">
      <w:tblPr>
        <w:tblLayout w:type="fixed"/>
      </w:tblPr>
      <w:tcPr>
        <w:shd w:val="clear" w:color="auto" w:fill="D2EAF0" w:themeFill="accent5" w:themeFillTint="3F"/>
      </w:tcPr>
    </w:tblStylePr>
  </w:style>
  <w:style w:type="table" w:styleId="80">
    <w:name w:val="Medium List 1 Accent 6"/>
    <w:basedOn w:val="37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>
        <w:tblLayout w:type="fixed"/>
      </w:tblPr>
      <w:tcPr>
        <w:shd w:val="clear" w:color="auto" w:fill="FDE5D1" w:themeFill="accent6" w:themeFillTint="3F"/>
      </w:tcPr>
    </w:tblStylePr>
    <w:tblStylePr w:type="band1Horz">
      <w:tblPr>
        <w:tblLayout w:type="fixed"/>
      </w:tblPr>
      <w:tcPr>
        <w:shd w:val="clear" w:color="auto" w:fill="FDE5D1" w:themeFill="accent6" w:themeFillTint="3F"/>
      </w:tcPr>
    </w:tblStylePr>
  </w:style>
  <w:style w:type="table" w:styleId="81">
    <w:name w:val="Medium List 2"/>
    <w:basedOn w:val="37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2">
    <w:name w:val="Medium List 2 Accent 1"/>
    <w:basedOn w:val="37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3">
    <w:name w:val="Medium List 2 Accent 2"/>
    <w:basedOn w:val="37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4">
    <w:name w:val="Medium List 2 Accent 3"/>
    <w:basedOn w:val="37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5">
    <w:name w:val="Medium List 2 Accent 4"/>
    <w:basedOn w:val="37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6">
    <w:name w:val="Medium List 2 Accent 5"/>
    <w:basedOn w:val="37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7">
    <w:name w:val="Medium List 2 Accent 6"/>
    <w:basedOn w:val="37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8">
    <w:name w:val="Medium Grid 1"/>
    <w:basedOn w:val="37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</w:style>
  <w:style w:type="table" w:styleId="89">
    <w:name w:val="Medium Grid 1 Accent 1"/>
    <w:basedOn w:val="37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</w:style>
  <w:style w:type="table" w:styleId="90">
    <w:name w:val="Medium Grid 1 Accent 2"/>
    <w:basedOn w:val="37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</w:style>
  <w:style w:type="table" w:styleId="91">
    <w:name w:val="Medium Grid 1 Accent 3"/>
    <w:basedOn w:val="37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92">
    <w:name w:val="Medium Grid 1 Accent 4"/>
    <w:basedOn w:val="37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</w:style>
  <w:style w:type="table" w:styleId="93">
    <w:name w:val="Medium Grid 1 Accent 5"/>
    <w:basedOn w:val="37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</w:style>
  <w:style w:type="table" w:styleId="94">
    <w:name w:val="Medium Grid 1 Accent 6"/>
    <w:basedOn w:val="37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</w:style>
  <w:style w:type="table" w:styleId="95">
    <w:name w:val="Medium Grid 2"/>
    <w:basedOn w:val="37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6">
    <w:name w:val="Medium Grid 2 Accent 1"/>
    <w:basedOn w:val="37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7">
    <w:name w:val="Medium Grid 2 Accent 2"/>
    <w:basedOn w:val="37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8">
    <w:name w:val="Medium Grid 2 Accent 3"/>
    <w:basedOn w:val="37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9">
    <w:name w:val="Medium Grid 2 Accent 4"/>
    <w:basedOn w:val="37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100">
    <w:name w:val="Medium Grid 2 Accent 5"/>
    <w:basedOn w:val="37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101">
    <w:name w:val="Medium Grid 2 Accent 6"/>
    <w:basedOn w:val="37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102">
    <w:name w:val="Medium Grid 3"/>
    <w:basedOn w:val="37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3">
    <w:name w:val="Medium Grid 3 Accent 1"/>
    <w:basedOn w:val="37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4">
    <w:name w:val="Medium Grid 3 Accent 2"/>
    <w:basedOn w:val="37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5">
    <w:name w:val="Medium Grid 3 Accent 3"/>
    <w:basedOn w:val="37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6">
    <w:name w:val="Medium Grid 3 Accent 4"/>
    <w:basedOn w:val="37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7">
    <w:name w:val="Medium Grid 3 Accent 5"/>
    <w:basedOn w:val="37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8">
    <w:name w:val="Medium Grid 3 Accent 6"/>
    <w:basedOn w:val="37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9">
    <w:name w:val="Dark List"/>
    <w:basedOn w:val="37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0">
    <w:name w:val="Dark List Accent 1"/>
    <w:basedOn w:val="37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11">
    <w:name w:val="Dark List Accent 2"/>
    <w:basedOn w:val="37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2">
    <w:name w:val="Dark List Accent 3"/>
    <w:basedOn w:val="37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3">
    <w:name w:val="Dark List Accent 4"/>
    <w:basedOn w:val="37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4">
    <w:name w:val="Dark List Accent 5"/>
    <w:basedOn w:val="37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5">
    <w:name w:val="Dark List Accent 6"/>
    <w:basedOn w:val="37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6">
    <w:name w:val="Colorful Shading"/>
    <w:basedOn w:val="37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>
        <w:tblLayout w:type="fixed"/>
      </w:tblPr>
      <w:tcPr>
        <w:shd w:val="clear" w:color="auto" w:fill="999999" w:themeFill="text1" w:themeFillTint="66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1"/>
    <w:basedOn w:val="37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>
        <w:tblLayout w:type="fixed"/>
      </w:tblPr>
      <w:tcPr>
        <w:shd w:val="clear" w:color="auto" w:fill="B8CCE4" w:themeFill="accent1" w:themeFillTint="66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2"/>
    <w:basedOn w:val="37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>
        <w:tblLayout w:type="fixed"/>
      </w:tblPr>
      <w:tcPr>
        <w:shd w:val="clear" w:color="auto" w:fill="E5B8B7" w:themeFill="accent2" w:themeFillTint="66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3"/>
    <w:basedOn w:val="37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>
        <w:tblLayout w:type="fixed"/>
      </w:tblPr>
      <w:tcPr>
        <w:shd w:val="clear" w:color="auto" w:fill="D6E3BC" w:themeFill="accent3" w:themeFillTint="66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120">
    <w:name w:val="Colorful Shading Accent 4"/>
    <w:basedOn w:val="37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>
        <w:tblLayout w:type="fixed"/>
      </w:tblPr>
      <w:tcPr>
        <w:shd w:val="clear" w:color="auto" w:fill="CCC0D9" w:themeFill="accent4" w:themeFillTint="66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Shading Accent 5"/>
    <w:basedOn w:val="37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>
        <w:tblLayout w:type="fixed"/>
      </w:tblPr>
      <w:tcPr>
        <w:shd w:val="clear" w:color="auto" w:fill="B6DDE8" w:themeFill="accent5" w:themeFillTint="66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2">
    <w:name w:val="Colorful Shading Accent 6"/>
    <w:basedOn w:val="37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>
        <w:tblLayout w:type="fixed"/>
      </w:tblPr>
      <w:tcPr>
        <w:shd w:val="clear" w:color="auto" w:fill="FBD4B4" w:themeFill="accent6" w:themeFillTint="66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3">
    <w:name w:val="Colorful List"/>
    <w:basedOn w:val="37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shd w:val="clear" w:color="auto" w:fill="CCCCCC" w:themeFill="text1" w:themeFillTint="33"/>
      </w:tcPr>
    </w:tblStylePr>
  </w:style>
  <w:style w:type="table" w:styleId="124">
    <w:name w:val="Colorful List Accent 1"/>
    <w:basedOn w:val="37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shd w:val="clear" w:color="auto" w:fill="DBE5F1" w:themeFill="accent1" w:themeFillTint="33"/>
      </w:tcPr>
    </w:tblStylePr>
  </w:style>
  <w:style w:type="table" w:styleId="125">
    <w:name w:val="Colorful List Accent 2"/>
    <w:basedOn w:val="37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shd w:val="clear" w:color="auto" w:fill="F2DBDB" w:themeFill="accent2" w:themeFillTint="33"/>
      </w:tcPr>
    </w:tblStylePr>
  </w:style>
  <w:style w:type="table" w:styleId="126">
    <w:name w:val="Colorful List Accent 3"/>
    <w:basedOn w:val="37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shd w:val="clear" w:color="auto" w:fill="EAF1DD" w:themeFill="accent3" w:themeFillTint="33"/>
      </w:tcPr>
    </w:tblStylePr>
  </w:style>
  <w:style w:type="table" w:styleId="127">
    <w:name w:val="Colorful List Accent 4"/>
    <w:basedOn w:val="37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shd w:val="clear" w:color="auto" w:fill="E5DFEC" w:themeFill="accent4" w:themeFillTint="33"/>
      </w:tcPr>
    </w:tblStylePr>
  </w:style>
  <w:style w:type="table" w:styleId="128">
    <w:name w:val="Colorful List Accent 5"/>
    <w:basedOn w:val="37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shd w:val="clear" w:color="auto" w:fill="DAEEF3" w:themeFill="accent5" w:themeFillTint="33"/>
      </w:tcPr>
    </w:tblStylePr>
  </w:style>
  <w:style w:type="table" w:styleId="129">
    <w:name w:val="Colorful List Accent 6"/>
    <w:basedOn w:val="37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shd w:val="clear" w:color="auto" w:fill="FDE9D9" w:themeFill="accent6" w:themeFillTint="33"/>
      </w:tcPr>
    </w:tblStylePr>
  </w:style>
  <w:style w:type="table" w:styleId="130">
    <w:name w:val="Colorful Grid"/>
    <w:basedOn w:val="37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>
        <w:tblLayout w:type="fixed"/>
      </w:tbl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 w:themeFillShade="BF"/>
      </w:tc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</w:style>
  <w:style w:type="table" w:styleId="131">
    <w:name w:val="Colorful Grid Accent 1"/>
    <w:basedOn w:val="37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>
        <w:tblLayout w:type="fixed"/>
      </w:tbl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66091" w:themeFill="accent1" w:themeFillShade="BF"/>
      </w:tc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</w:style>
  <w:style w:type="table" w:styleId="132">
    <w:name w:val="Colorful Grid Accent 2"/>
    <w:basedOn w:val="37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>
        <w:tblLayout w:type="fixed"/>
      </w:tbl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43734" w:themeFill="accent2" w:themeFillShade="BF"/>
      </w:tc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</w:style>
  <w:style w:type="table" w:styleId="133">
    <w:name w:val="Colorful Grid Accent 3"/>
    <w:basedOn w:val="37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>
        <w:tblLayout w:type="fixed"/>
      </w:tbl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76923C" w:themeFill="accent3" w:themeFillShade="BF"/>
      </w:tc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134">
    <w:name w:val="Colorful Grid Accent 4"/>
    <w:basedOn w:val="37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>
        <w:tblLayout w:type="fixed"/>
      </w:tbl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5F497A" w:themeFill="accent4" w:themeFillShade="BF"/>
      </w:tc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</w:style>
  <w:style w:type="table" w:styleId="135">
    <w:name w:val="Colorful Grid Accent 5"/>
    <w:basedOn w:val="37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>
        <w:tblLayout w:type="fixed"/>
      </w:tbl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1849B" w:themeFill="accent5" w:themeFillShade="BF"/>
      </w:tc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</w:style>
  <w:style w:type="table" w:styleId="136">
    <w:name w:val="Colorful Grid Accent 6"/>
    <w:basedOn w:val="37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>
        <w:tblLayout w:type="fixed"/>
      </w:tbl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E36C09" w:themeFill="accent6" w:themeFillShade="BF"/>
      </w:tc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</w:style>
  <w:style w:type="character" w:customStyle="1" w:styleId="137">
    <w:name w:val="Header Char"/>
    <w:basedOn w:val="33"/>
    <w:link w:val="25"/>
    <w:qFormat/>
    <w:uiPriority w:val="99"/>
  </w:style>
  <w:style w:type="character" w:customStyle="1" w:styleId="138">
    <w:name w:val="Footer Char"/>
    <w:basedOn w:val="33"/>
    <w:link w:val="24"/>
    <w:qFormat/>
    <w:uiPriority w:val="99"/>
  </w:style>
  <w:style w:type="paragraph" w:styleId="1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Heading 1 Char"/>
    <w:basedOn w:val="33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Heading 2 Char"/>
    <w:basedOn w:val="33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2">
    <w:name w:val="Heading 3 Char"/>
    <w:basedOn w:val="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Title Char"/>
    <w:basedOn w:val="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4">
    <w:name w:val="Subtitle Char"/>
    <w:basedOn w:val="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Body Text Char"/>
    <w:basedOn w:val="33"/>
    <w:link w:val="19"/>
    <w:qFormat/>
    <w:uiPriority w:val="99"/>
  </w:style>
  <w:style w:type="character" w:customStyle="1" w:styleId="147">
    <w:name w:val="Body Text 2 Char"/>
    <w:basedOn w:val="33"/>
    <w:link w:val="28"/>
    <w:qFormat/>
    <w:uiPriority w:val="99"/>
  </w:style>
  <w:style w:type="character" w:customStyle="1" w:styleId="148">
    <w:name w:val="Body Text 3 Char"/>
    <w:basedOn w:val="33"/>
    <w:link w:val="17"/>
    <w:qFormat/>
    <w:uiPriority w:val="99"/>
    <w:rPr>
      <w:sz w:val="16"/>
      <w:szCs w:val="16"/>
    </w:rPr>
  </w:style>
  <w:style w:type="character" w:customStyle="1" w:styleId="149">
    <w:name w:val="Macro Text Char"/>
    <w:basedOn w:val="33"/>
    <w:link w:val="13"/>
    <w:qFormat/>
    <w:uiPriority w:val="99"/>
    <w:rPr>
      <w:rFonts w:ascii="Courier" w:hAnsi="Courier"/>
      <w:sz w:val="20"/>
      <w:szCs w:val="20"/>
    </w:rPr>
  </w:style>
  <w:style w:type="paragraph" w:styleId="150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Quote Char"/>
    <w:basedOn w:val="33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Heading 4 Char"/>
    <w:basedOn w:val="33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Heading 5 Char"/>
    <w:basedOn w:val="33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Heading 6 Char"/>
    <w:basedOn w:val="33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Heading 7 Char"/>
    <w:basedOn w:val="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Heading 8 Char"/>
    <w:basedOn w:val="33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Heading 9 Char"/>
    <w:basedOn w:val="33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8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Intense Quote Char"/>
    <w:basedOn w:val="33"/>
    <w:link w:val="1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Emphasis"/>
    <w:basedOn w:val="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1">
    <w:name w:val="Intense Emphasis"/>
    <w:basedOn w:val="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Reference"/>
    <w:basedOn w:val="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Intense Reference"/>
    <w:basedOn w:val="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4">
    <w:name w:val="Book Title"/>
    <w:basedOn w:val="33"/>
    <w:qFormat/>
    <w:uiPriority w:val="33"/>
    <w:rPr>
      <w:b/>
      <w:bCs/>
      <w:smallCaps/>
      <w:spacing w:val="5"/>
    </w:rPr>
  </w:style>
  <w:style w:type="paragraph" w:customStyle="1" w:styleId="165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3.tiff"/><Relationship Id="rId7" Type="http://schemas.openxmlformats.org/officeDocument/2006/relationships/image" Target="media/image2.tiff"/><Relationship Id="rId6" Type="http://schemas.openxmlformats.org/officeDocument/2006/relationships/image" Target="media/image1.tiff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3.png"/><Relationship Id="rId10" Type="http://schemas.openxmlformats.org/officeDocument/2006/relationships/image" Target="media/image4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48</Pages>
  <Words>8397</Words>
  <Characters>49723</Characters>
  <Lines>0</Lines>
  <Paragraphs>0</Paragraphs>
  <TotalTime>22</TotalTime>
  <ScaleCrop>false</ScaleCrop>
  <LinksUpToDate>false</LinksUpToDate>
  <CharactersWithSpaces>52489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huawei</cp:lastModifiedBy>
  <dcterms:modified xsi:type="dcterms:W3CDTF">2026-08-21T06:36:15Z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786953C33BCE4293973D71EC6A0F918F</vt:lpwstr>
  </property>
</Properties>
</file>