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EA121" w14:textId="6F3E344D" w:rsidR="004206BC" w:rsidRPr="00355B95" w:rsidRDefault="00000000" w:rsidP="00355B95">
      <w:pPr>
        <w:spacing w:before="200" w:after="80"/>
        <w:rPr>
          <w:rFonts w:ascii="Arial" w:hAnsi="Arial" w:cs="Arial"/>
        </w:rPr>
      </w:pPr>
      <w:r w:rsidRPr="00355B95">
        <w:rPr>
          <w:rFonts w:ascii="Arial" w:hAnsi="Arial" w:cs="Arial"/>
          <w:b/>
          <w:color w:val="000000"/>
        </w:rPr>
        <w:t>ADDITIONAL FILE 4</w:t>
      </w:r>
      <w:r w:rsidR="00355B95">
        <w:rPr>
          <w:rFonts w:ascii="Arial" w:hAnsi="Arial" w:cs="Arial"/>
        </w:rPr>
        <w:t xml:space="preserve">: </w:t>
      </w:r>
      <w:r w:rsidRPr="00355B95">
        <w:rPr>
          <w:rFonts w:ascii="Arial" w:hAnsi="Arial" w:cs="Arial"/>
          <w:color w:val="5A5A5A"/>
        </w:rPr>
        <w:t>Codebook</w:t>
      </w:r>
    </w:p>
    <w:p w14:paraId="2E484921" w14:textId="77777777" w:rsidR="004206BC" w:rsidRPr="00355B95" w:rsidRDefault="004206BC">
      <w:pPr>
        <w:spacing w:after="40"/>
        <w:rPr>
          <w:rFonts w:ascii="Arial" w:hAnsi="Arial" w:cs="Arial"/>
        </w:rPr>
      </w:pPr>
    </w:p>
    <w:tbl>
      <w:tblPr>
        <w:tblStyle w:val="TableGrid"/>
        <w:tblW w:w="10286" w:type="dxa"/>
        <w:tblLayout w:type="fixed"/>
        <w:tblLook w:val="04A0" w:firstRow="1" w:lastRow="0" w:firstColumn="1" w:lastColumn="0" w:noHBand="0" w:noVBand="1"/>
      </w:tblPr>
      <w:tblGrid>
        <w:gridCol w:w="2300"/>
        <w:gridCol w:w="1766"/>
        <w:gridCol w:w="1868"/>
        <w:gridCol w:w="4352"/>
      </w:tblGrid>
      <w:tr w:rsidR="004206BC" w:rsidRPr="00355B95" w14:paraId="41741CE5" w14:textId="77777777" w:rsidTr="00355B95">
        <w:trPr>
          <w:trHeight w:val="313"/>
        </w:trPr>
        <w:tc>
          <w:tcPr>
            <w:tcW w:w="2300" w:type="dxa"/>
          </w:tcPr>
          <w:p w14:paraId="262A3E2C" w14:textId="77777777" w:rsidR="004206BC" w:rsidRPr="00355B95" w:rsidRDefault="00000000">
            <w:pPr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b/>
                <w:color w:val="000000"/>
              </w:rPr>
              <w:t>Framework/group</w:t>
            </w:r>
          </w:p>
        </w:tc>
        <w:tc>
          <w:tcPr>
            <w:tcW w:w="1766" w:type="dxa"/>
          </w:tcPr>
          <w:p w14:paraId="3D9FE6E4" w14:textId="77777777" w:rsidR="004206BC" w:rsidRPr="00355B95" w:rsidRDefault="00000000">
            <w:pPr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b/>
                <w:color w:val="000000"/>
              </w:rPr>
              <w:t>Code name</w:t>
            </w:r>
          </w:p>
        </w:tc>
        <w:tc>
          <w:tcPr>
            <w:tcW w:w="1868" w:type="dxa"/>
          </w:tcPr>
          <w:p w14:paraId="3A69888D" w14:textId="77777777" w:rsidR="004206BC" w:rsidRPr="00355B95" w:rsidRDefault="00000000">
            <w:pPr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b/>
                <w:color w:val="000000"/>
              </w:rPr>
              <w:t>Category</w:t>
            </w:r>
          </w:p>
        </w:tc>
        <w:tc>
          <w:tcPr>
            <w:tcW w:w="4352" w:type="dxa"/>
          </w:tcPr>
          <w:p w14:paraId="7DA86D40" w14:textId="77777777" w:rsidR="004206BC" w:rsidRPr="00355B95" w:rsidRDefault="00000000">
            <w:pPr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b/>
                <w:color w:val="000000"/>
              </w:rPr>
              <w:t>Description</w:t>
            </w:r>
          </w:p>
        </w:tc>
      </w:tr>
      <w:tr w:rsidR="004206BC" w:rsidRPr="00355B95" w14:paraId="695C586C" w14:textId="77777777" w:rsidTr="00355B95">
        <w:trPr>
          <w:trHeight w:val="591"/>
        </w:trPr>
        <w:tc>
          <w:tcPr>
            <w:tcW w:w="2300" w:type="dxa"/>
          </w:tcPr>
          <w:p w14:paraId="1E8565B8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b/>
                <w:color w:val="000000"/>
              </w:rPr>
              <w:t>Integrated Behavioral Model (IBM)</w:t>
            </w:r>
          </w:p>
        </w:tc>
        <w:tc>
          <w:tcPr>
            <w:tcW w:w="1766" w:type="dxa"/>
          </w:tcPr>
          <w:p w14:paraId="7E9C063A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Attitude</w:t>
            </w:r>
          </w:p>
        </w:tc>
        <w:tc>
          <w:tcPr>
            <w:tcW w:w="1868" w:type="dxa"/>
          </w:tcPr>
          <w:p w14:paraId="42A7DCBA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Attitude toward engaging in care</w:t>
            </w:r>
          </w:p>
        </w:tc>
        <w:tc>
          <w:tcPr>
            <w:tcW w:w="4352" w:type="dxa"/>
          </w:tcPr>
          <w:p w14:paraId="3CCB9693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Beliefs about engaging in RHD care (e.g., injections are painful; care is not effective).</w:t>
            </w:r>
          </w:p>
        </w:tc>
      </w:tr>
      <w:tr w:rsidR="004206BC" w:rsidRPr="00355B95" w14:paraId="7B9BE0EA" w14:textId="77777777" w:rsidTr="00355B95">
        <w:trPr>
          <w:trHeight w:val="791"/>
        </w:trPr>
        <w:tc>
          <w:tcPr>
            <w:tcW w:w="2300" w:type="dxa"/>
          </w:tcPr>
          <w:p w14:paraId="16B90AF7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53E6768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Perceived norm</w:t>
            </w:r>
          </w:p>
        </w:tc>
        <w:tc>
          <w:tcPr>
            <w:tcW w:w="1868" w:type="dxa"/>
          </w:tcPr>
          <w:p w14:paraId="4B5D055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Perceived norms</w:t>
            </w:r>
          </w:p>
        </w:tc>
        <w:tc>
          <w:tcPr>
            <w:tcW w:w="4352" w:type="dxa"/>
          </w:tcPr>
          <w:p w14:paraId="4AA373B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Support, discouragement, or encouragement from family, peers, community leaders, or providers to engage in care.</w:t>
            </w:r>
          </w:p>
        </w:tc>
      </w:tr>
      <w:tr w:rsidR="004206BC" w:rsidRPr="00355B95" w14:paraId="3816321D" w14:textId="77777777" w:rsidTr="00355B95">
        <w:trPr>
          <w:trHeight w:val="791"/>
        </w:trPr>
        <w:tc>
          <w:tcPr>
            <w:tcW w:w="2300" w:type="dxa"/>
          </w:tcPr>
          <w:p w14:paraId="2610673F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5E55A7A3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Perceived control</w:t>
            </w:r>
          </w:p>
        </w:tc>
        <w:tc>
          <w:tcPr>
            <w:tcW w:w="1868" w:type="dxa"/>
          </w:tcPr>
          <w:p w14:paraId="170D0A8F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Perceived control over engaging in care</w:t>
            </w:r>
          </w:p>
        </w:tc>
        <w:tc>
          <w:tcPr>
            <w:tcW w:w="4352" w:type="dxa"/>
          </w:tcPr>
          <w:p w14:paraId="6A5ACA77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Factors that make it easier to engage in care (e.g., transport, finances, clinic hours) or more difficult (e.g., cost, distance).</w:t>
            </w:r>
          </w:p>
        </w:tc>
      </w:tr>
      <w:tr w:rsidR="004206BC" w:rsidRPr="00355B95" w14:paraId="62B83C68" w14:textId="77777777" w:rsidTr="00355B95">
        <w:trPr>
          <w:trHeight w:val="599"/>
        </w:trPr>
        <w:tc>
          <w:tcPr>
            <w:tcW w:w="2300" w:type="dxa"/>
          </w:tcPr>
          <w:p w14:paraId="468D582E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377CA7CA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Self-efficacy</w:t>
            </w:r>
          </w:p>
        </w:tc>
        <w:tc>
          <w:tcPr>
            <w:tcW w:w="1868" w:type="dxa"/>
          </w:tcPr>
          <w:p w14:paraId="443DCA5F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Self-efficacy</w:t>
            </w:r>
          </w:p>
        </w:tc>
        <w:tc>
          <w:tcPr>
            <w:tcW w:w="4352" w:type="dxa"/>
          </w:tcPr>
          <w:p w14:paraId="11897E20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Confidence, or lack of confidence, in one's ability to engage consistently in RHD care.</w:t>
            </w:r>
          </w:p>
        </w:tc>
      </w:tr>
      <w:tr w:rsidR="004206BC" w:rsidRPr="00355B95" w14:paraId="5808B4ED" w14:textId="77777777" w:rsidTr="00355B95">
        <w:trPr>
          <w:trHeight w:val="791"/>
        </w:trPr>
        <w:tc>
          <w:tcPr>
            <w:tcW w:w="2300" w:type="dxa"/>
          </w:tcPr>
          <w:p w14:paraId="50F2571E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7C0504F8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Health literacy</w:t>
            </w:r>
          </w:p>
        </w:tc>
        <w:tc>
          <w:tcPr>
            <w:tcW w:w="1868" w:type="dxa"/>
          </w:tcPr>
          <w:p w14:paraId="679C8D96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Knowledge and skills</w:t>
            </w:r>
          </w:p>
        </w:tc>
        <w:tc>
          <w:tcPr>
            <w:tcW w:w="4352" w:type="dxa"/>
          </w:tcPr>
          <w:p w14:paraId="7BF0981E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Understanding, or limited understanding, of RHD, treatment benefits, and what continued care entails.</w:t>
            </w:r>
          </w:p>
        </w:tc>
      </w:tr>
      <w:tr w:rsidR="004206BC" w:rsidRPr="00355B95" w14:paraId="2B3CAA87" w14:textId="77777777" w:rsidTr="00355B95">
        <w:trPr>
          <w:trHeight w:val="791"/>
        </w:trPr>
        <w:tc>
          <w:tcPr>
            <w:tcW w:w="2300" w:type="dxa"/>
          </w:tcPr>
          <w:p w14:paraId="6111D604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044C4334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Salience</w:t>
            </w:r>
          </w:p>
        </w:tc>
        <w:tc>
          <w:tcPr>
            <w:tcW w:w="1868" w:type="dxa"/>
          </w:tcPr>
          <w:p w14:paraId="7CBADD0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Salience of the behavior</w:t>
            </w:r>
          </w:p>
        </w:tc>
        <w:tc>
          <w:tcPr>
            <w:tcW w:w="4352" w:type="dxa"/>
          </w:tcPr>
          <w:p w14:paraId="27BD7BA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The extent to which a participant views engagement in care as important compared with other areas of life.</w:t>
            </w:r>
          </w:p>
        </w:tc>
      </w:tr>
      <w:tr w:rsidR="004206BC" w:rsidRPr="00355B95" w14:paraId="625A9646" w14:textId="77777777" w:rsidTr="00355B95">
        <w:trPr>
          <w:trHeight w:val="1190"/>
        </w:trPr>
        <w:tc>
          <w:tcPr>
            <w:tcW w:w="2300" w:type="dxa"/>
          </w:tcPr>
          <w:p w14:paraId="5166CB1E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6F8B2213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Environmental constraints</w:t>
            </w:r>
          </w:p>
        </w:tc>
        <w:tc>
          <w:tcPr>
            <w:tcW w:w="1868" w:type="dxa"/>
          </w:tcPr>
          <w:p w14:paraId="47A72D7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Environmental constraints</w:t>
            </w:r>
          </w:p>
        </w:tc>
        <w:tc>
          <w:tcPr>
            <w:tcW w:w="4352" w:type="dxa"/>
          </w:tcPr>
          <w:p w14:paraId="7388CE2D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Structural or systemic barriers (e.g., medicine stock-outs, long distances, unfriendly staff) or supportive conditions (e.g., free medicines, positive provider relationships, outreach programs).</w:t>
            </w:r>
          </w:p>
        </w:tc>
      </w:tr>
      <w:tr w:rsidR="004206BC" w:rsidRPr="00355B95" w14:paraId="439998FF" w14:textId="77777777" w:rsidTr="00355B95">
        <w:trPr>
          <w:trHeight w:val="791"/>
        </w:trPr>
        <w:tc>
          <w:tcPr>
            <w:tcW w:w="2300" w:type="dxa"/>
          </w:tcPr>
          <w:p w14:paraId="4843D412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6D2B8BCE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Emotional response</w:t>
            </w:r>
          </w:p>
        </w:tc>
        <w:tc>
          <w:tcPr>
            <w:tcW w:w="1868" w:type="dxa"/>
          </w:tcPr>
          <w:p w14:paraId="3A9F52CD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Emotional response</w:t>
            </w:r>
          </w:p>
        </w:tc>
        <w:tc>
          <w:tcPr>
            <w:tcW w:w="4352" w:type="dxa"/>
          </w:tcPr>
          <w:p w14:paraId="0D384AC8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Positive or negative feelings associated with care, including hope, pride, fear of injections, and fear following diagnosis.</w:t>
            </w:r>
          </w:p>
        </w:tc>
      </w:tr>
      <w:tr w:rsidR="004206BC" w:rsidRPr="00355B95" w14:paraId="527D1B91" w14:textId="77777777" w:rsidTr="00355B95">
        <w:trPr>
          <w:trHeight w:val="591"/>
        </w:trPr>
        <w:tc>
          <w:tcPr>
            <w:tcW w:w="2300" w:type="dxa"/>
          </w:tcPr>
          <w:p w14:paraId="768F4D45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729439B6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Intent</w:t>
            </w:r>
          </w:p>
        </w:tc>
        <w:tc>
          <w:tcPr>
            <w:tcW w:w="1868" w:type="dxa"/>
          </w:tcPr>
          <w:p w14:paraId="3B76FFD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Behavioral intention</w:t>
            </w:r>
          </w:p>
        </w:tc>
        <w:tc>
          <w:tcPr>
            <w:tcW w:w="4352" w:type="dxa"/>
          </w:tcPr>
          <w:p w14:paraId="5F40C2C6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A stated plan or commitment to remain in RHD care, or unclear or hesitant plans about continuing care.</w:t>
            </w:r>
          </w:p>
        </w:tc>
      </w:tr>
      <w:tr w:rsidR="004206BC" w:rsidRPr="00355B95" w14:paraId="500260D2" w14:textId="77777777" w:rsidTr="00355B95">
        <w:trPr>
          <w:trHeight w:val="599"/>
        </w:trPr>
        <w:tc>
          <w:tcPr>
            <w:tcW w:w="2300" w:type="dxa"/>
          </w:tcPr>
          <w:p w14:paraId="24976A43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5FD444F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Barrier</w:t>
            </w:r>
          </w:p>
        </w:tc>
        <w:tc>
          <w:tcPr>
            <w:tcW w:w="1868" w:type="dxa"/>
          </w:tcPr>
          <w:p w14:paraId="6D675DA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Barrier</w:t>
            </w:r>
          </w:p>
        </w:tc>
        <w:tc>
          <w:tcPr>
            <w:tcW w:w="4352" w:type="dxa"/>
          </w:tcPr>
          <w:p w14:paraId="31817F6E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A factor described as hindering continued engagement or retention in care.</w:t>
            </w:r>
          </w:p>
        </w:tc>
      </w:tr>
      <w:tr w:rsidR="004206BC" w:rsidRPr="00355B95" w14:paraId="68DEB4BA" w14:textId="77777777" w:rsidTr="00355B95">
        <w:trPr>
          <w:trHeight w:val="591"/>
        </w:trPr>
        <w:tc>
          <w:tcPr>
            <w:tcW w:w="2300" w:type="dxa"/>
          </w:tcPr>
          <w:p w14:paraId="06494B88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44E361D2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Facilitator</w:t>
            </w:r>
          </w:p>
        </w:tc>
        <w:tc>
          <w:tcPr>
            <w:tcW w:w="1868" w:type="dxa"/>
          </w:tcPr>
          <w:p w14:paraId="622C7EB8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Facilitator</w:t>
            </w:r>
          </w:p>
        </w:tc>
        <w:tc>
          <w:tcPr>
            <w:tcW w:w="4352" w:type="dxa"/>
          </w:tcPr>
          <w:p w14:paraId="600632FB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A factor described as supporting continued engagement or retention in care.</w:t>
            </w:r>
          </w:p>
        </w:tc>
      </w:tr>
      <w:tr w:rsidR="004206BC" w:rsidRPr="00355B95" w14:paraId="4ADA2BF4" w14:textId="77777777" w:rsidTr="00355B95">
        <w:trPr>
          <w:trHeight w:val="399"/>
        </w:trPr>
        <w:tc>
          <w:tcPr>
            <w:tcW w:w="2300" w:type="dxa"/>
          </w:tcPr>
          <w:p w14:paraId="42C832D7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b/>
                <w:color w:val="000000"/>
              </w:rPr>
              <w:t>Modifying codes</w:t>
            </w:r>
          </w:p>
        </w:tc>
        <w:tc>
          <w:tcPr>
            <w:tcW w:w="1766" w:type="dxa"/>
          </w:tcPr>
          <w:p w14:paraId="155331D5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Positive</w:t>
            </w:r>
          </w:p>
        </w:tc>
        <w:tc>
          <w:tcPr>
            <w:tcW w:w="1868" w:type="dxa"/>
          </w:tcPr>
          <w:p w14:paraId="33AB760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Modifier</w:t>
            </w:r>
          </w:p>
        </w:tc>
        <w:tc>
          <w:tcPr>
            <w:tcW w:w="4352" w:type="dxa"/>
          </w:tcPr>
          <w:p w14:paraId="53DC70A4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Positive direction or appraisal; used only with another code.</w:t>
            </w:r>
          </w:p>
        </w:tc>
      </w:tr>
      <w:tr w:rsidR="004206BC" w:rsidRPr="00355B95" w14:paraId="5E1C78FC" w14:textId="77777777" w:rsidTr="00355B95">
        <w:trPr>
          <w:trHeight w:val="392"/>
        </w:trPr>
        <w:tc>
          <w:tcPr>
            <w:tcW w:w="2300" w:type="dxa"/>
          </w:tcPr>
          <w:p w14:paraId="2ED50A75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3DFEE3AD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Negative</w:t>
            </w:r>
          </w:p>
        </w:tc>
        <w:tc>
          <w:tcPr>
            <w:tcW w:w="1868" w:type="dxa"/>
          </w:tcPr>
          <w:p w14:paraId="76712E06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Modifier</w:t>
            </w:r>
          </w:p>
        </w:tc>
        <w:tc>
          <w:tcPr>
            <w:tcW w:w="4352" w:type="dxa"/>
          </w:tcPr>
          <w:p w14:paraId="6EFF95A3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Negative direction or appraisal; used only with another code.</w:t>
            </w:r>
          </w:p>
        </w:tc>
      </w:tr>
      <w:tr w:rsidR="004206BC" w:rsidRPr="00355B95" w14:paraId="12815A10" w14:textId="77777777" w:rsidTr="00355B95">
        <w:trPr>
          <w:trHeight w:val="399"/>
        </w:trPr>
        <w:tc>
          <w:tcPr>
            <w:tcW w:w="2300" w:type="dxa"/>
          </w:tcPr>
          <w:p w14:paraId="055A559C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7592F106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High</w:t>
            </w:r>
          </w:p>
        </w:tc>
        <w:tc>
          <w:tcPr>
            <w:tcW w:w="1868" w:type="dxa"/>
          </w:tcPr>
          <w:p w14:paraId="21356B97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Modifier</w:t>
            </w:r>
          </w:p>
        </w:tc>
        <w:tc>
          <w:tcPr>
            <w:tcW w:w="4352" w:type="dxa"/>
          </w:tcPr>
          <w:p w14:paraId="196D55CD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High intensity, amount, or level; used only with another code.</w:t>
            </w:r>
          </w:p>
        </w:tc>
      </w:tr>
      <w:tr w:rsidR="004206BC" w:rsidRPr="00355B95" w14:paraId="71A46298" w14:textId="77777777" w:rsidTr="00355B95">
        <w:trPr>
          <w:trHeight w:val="392"/>
        </w:trPr>
        <w:tc>
          <w:tcPr>
            <w:tcW w:w="2300" w:type="dxa"/>
          </w:tcPr>
          <w:p w14:paraId="0768E152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5D98C188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Low</w:t>
            </w:r>
          </w:p>
        </w:tc>
        <w:tc>
          <w:tcPr>
            <w:tcW w:w="1868" w:type="dxa"/>
          </w:tcPr>
          <w:p w14:paraId="484567D5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Modifier</w:t>
            </w:r>
          </w:p>
        </w:tc>
        <w:tc>
          <w:tcPr>
            <w:tcW w:w="4352" w:type="dxa"/>
          </w:tcPr>
          <w:p w14:paraId="29AD1FA9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Low intensity, amount, or level; used only with another code.</w:t>
            </w:r>
          </w:p>
        </w:tc>
      </w:tr>
      <w:tr w:rsidR="004206BC" w:rsidRPr="00355B95" w14:paraId="611E1B65" w14:textId="77777777" w:rsidTr="00355B95">
        <w:trPr>
          <w:trHeight w:val="791"/>
        </w:trPr>
        <w:tc>
          <w:tcPr>
            <w:tcW w:w="2300" w:type="dxa"/>
          </w:tcPr>
          <w:p w14:paraId="4A67570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b/>
                <w:color w:val="000000"/>
              </w:rPr>
              <w:lastRenderedPageBreak/>
              <w:t>Consolidated Framework for Implementation Research (CFIR)</w:t>
            </w:r>
          </w:p>
        </w:tc>
        <w:tc>
          <w:tcPr>
            <w:tcW w:w="1766" w:type="dxa"/>
          </w:tcPr>
          <w:p w14:paraId="7981AFE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Critical incidents</w:t>
            </w:r>
          </w:p>
        </w:tc>
        <w:tc>
          <w:tcPr>
            <w:tcW w:w="1868" w:type="dxa"/>
          </w:tcPr>
          <w:p w14:paraId="7F4547DD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Outer setting</w:t>
            </w:r>
          </w:p>
        </w:tc>
        <w:tc>
          <w:tcPr>
            <w:tcW w:w="4352" w:type="dxa"/>
          </w:tcPr>
          <w:p w14:paraId="1FE2F6AD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Large-scale or unanticipated events that disrupt implementation or delivery of the innovation.</w:t>
            </w:r>
          </w:p>
        </w:tc>
      </w:tr>
      <w:tr w:rsidR="004206BC" w:rsidRPr="00355B95" w14:paraId="774CC38A" w14:textId="77777777" w:rsidTr="00355B95">
        <w:trPr>
          <w:trHeight w:val="599"/>
        </w:trPr>
        <w:tc>
          <w:tcPr>
            <w:tcW w:w="2300" w:type="dxa"/>
          </w:tcPr>
          <w:p w14:paraId="5B0DD5A5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3CCA009F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Local attitudes</w:t>
            </w:r>
          </w:p>
        </w:tc>
        <w:tc>
          <w:tcPr>
            <w:tcW w:w="1868" w:type="dxa"/>
          </w:tcPr>
          <w:p w14:paraId="2C8699E5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Outer setting</w:t>
            </w:r>
          </w:p>
        </w:tc>
        <w:tc>
          <w:tcPr>
            <w:tcW w:w="4352" w:type="dxa"/>
          </w:tcPr>
          <w:p w14:paraId="42CAC0A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Community or stakeholder beliefs and attitudes that influence implementation or delivery.</w:t>
            </w:r>
          </w:p>
        </w:tc>
      </w:tr>
      <w:tr w:rsidR="004206BC" w:rsidRPr="00355B95" w14:paraId="6DC09A76" w14:textId="77777777" w:rsidTr="00355B95">
        <w:trPr>
          <w:trHeight w:val="791"/>
        </w:trPr>
        <w:tc>
          <w:tcPr>
            <w:tcW w:w="2300" w:type="dxa"/>
          </w:tcPr>
          <w:p w14:paraId="56F68A48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4B23BD74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Local conditions</w:t>
            </w:r>
          </w:p>
        </w:tc>
        <w:tc>
          <w:tcPr>
            <w:tcW w:w="1868" w:type="dxa"/>
          </w:tcPr>
          <w:p w14:paraId="3527E80D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Outer setting</w:t>
            </w:r>
          </w:p>
        </w:tc>
        <w:tc>
          <w:tcPr>
            <w:tcW w:w="4352" w:type="dxa"/>
          </w:tcPr>
          <w:p w14:paraId="56FE1D8D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Economic, environmental, political, or technological conditions that enable or constrain implementation and delivery.</w:t>
            </w:r>
          </w:p>
        </w:tc>
      </w:tr>
      <w:tr w:rsidR="004206BC" w:rsidRPr="00355B95" w14:paraId="3F2E6D0C" w14:textId="77777777" w:rsidTr="00355B95">
        <w:trPr>
          <w:trHeight w:val="791"/>
        </w:trPr>
        <w:tc>
          <w:tcPr>
            <w:tcW w:w="2300" w:type="dxa"/>
          </w:tcPr>
          <w:p w14:paraId="10F2A4D2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47A9BAD2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Partnerships and connections</w:t>
            </w:r>
          </w:p>
        </w:tc>
        <w:tc>
          <w:tcPr>
            <w:tcW w:w="1868" w:type="dxa"/>
          </w:tcPr>
          <w:p w14:paraId="5570DC69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Outer setting</w:t>
            </w:r>
          </w:p>
        </w:tc>
        <w:tc>
          <w:tcPr>
            <w:tcW w:w="4352" w:type="dxa"/>
          </w:tcPr>
          <w:p w14:paraId="65C484FB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Connections between the inner setting and external entities, including referral networks, academic affiliations, and professional networks.</w:t>
            </w:r>
          </w:p>
        </w:tc>
      </w:tr>
      <w:tr w:rsidR="004206BC" w:rsidRPr="00355B95" w14:paraId="58CA8008" w14:textId="77777777" w:rsidTr="00355B95">
        <w:trPr>
          <w:trHeight w:val="791"/>
        </w:trPr>
        <w:tc>
          <w:tcPr>
            <w:tcW w:w="2300" w:type="dxa"/>
          </w:tcPr>
          <w:p w14:paraId="731A335B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4F312DA2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Policies and laws</w:t>
            </w:r>
          </w:p>
        </w:tc>
        <w:tc>
          <w:tcPr>
            <w:tcW w:w="1868" w:type="dxa"/>
          </w:tcPr>
          <w:p w14:paraId="2CB07832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Outer setting</w:t>
            </w:r>
          </w:p>
        </w:tc>
        <w:tc>
          <w:tcPr>
            <w:tcW w:w="4352" w:type="dxa"/>
          </w:tcPr>
          <w:p w14:paraId="08FFCF90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Legislation, regulations, professional guidelines, recommendations, or accreditation standards that influence implementation or delivery.</w:t>
            </w:r>
          </w:p>
        </w:tc>
      </w:tr>
      <w:tr w:rsidR="004206BC" w:rsidRPr="00355B95" w14:paraId="3C84AF5B" w14:textId="77777777" w:rsidTr="00355B95">
        <w:trPr>
          <w:trHeight w:val="791"/>
        </w:trPr>
        <w:tc>
          <w:tcPr>
            <w:tcW w:w="2300" w:type="dxa"/>
          </w:tcPr>
          <w:p w14:paraId="6B9EA000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3F6D0BD2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Financing</w:t>
            </w:r>
          </w:p>
        </w:tc>
        <w:tc>
          <w:tcPr>
            <w:tcW w:w="1868" w:type="dxa"/>
          </w:tcPr>
          <w:p w14:paraId="556B5FD0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Outer setting</w:t>
            </w:r>
          </w:p>
        </w:tc>
        <w:tc>
          <w:tcPr>
            <w:tcW w:w="4352" w:type="dxa"/>
          </w:tcPr>
          <w:p w14:paraId="1347975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Funding from external entities, including grants or reimbursement, available to implement or deliver the innovation.</w:t>
            </w:r>
          </w:p>
        </w:tc>
      </w:tr>
      <w:tr w:rsidR="004206BC" w:rsidRPr="00355B95" w14:paraId="4B47690A" w14:textId="77777777" w:rsidTr="00355B95">
        <w:trPr>
          <w:trHeight w:val="599"/>
        </w:trPr>
        <w:tc>
          <w:tcPr>
            <w:tcW w:w="2300" w:type="dxa"/>
          </w:tcPr>
          <w:p w14:paraId="494800FD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6A5AB5F6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External pressure</w:t>
            </w:r>
          </w:p>
        </w:tc>
        <w:tc>
          <w:tcPr>
            <w:tcW w:w="1868" w:type="dxa"/>
          </w:tcPr>
          <w:p w14:paraId="35038638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Outer setting</w:t>
            </w:r>
          </w:p>
        </w:tc>
        <w:tc>
          <w:tcPr>
            <w:tcW w:w="4352" w:type="dxa"/>
          </w:tcPr>
          <w:p w14:paraId="6340E2BD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External expectations or pressures that influence implementation or delivery.</w:t>
            </w:r>
          </w:p>
        </w:tc>
      </w:tr>
      <w:tr w:rsidR="004206BC" w:rsidRPr="00355B95" w14:paraId="3144B560" w14:textId="77777777" w:rsidTr="00355B95">
        <w:trPr>
          <w:trHeight w:val="791"/>
        </w:trPr>
        <w:tc>
          <w:tcPr>
            <w:tcW w:w="2300" w:type="dxa"/>
          </w:tcPr>
          <w:p w14:paraId="0D95928E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3E2416F8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Societal pressure</w:t>
            </w:r>
          </w:p>
        </w:tc>
        <w:tc>
          <w:tcPr>
            <w:tcW w:w="1868" w:type="dxa"/>
          </w:tcPr>
          <w:p w14:paraId="09920994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Outer setting</w:t>
            </w:r>
          </w:p>
        </w:tc>
        <w:tc>
          <w:tcPr>
            <w:tcW w:w="4352" w:type="dxa"/>
          </w:tcPr>
          <w:p w14:paraId="4286324E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Mass-media campaigns, advocacy groups, social movements, or protests that influence implementation or delivery.</w:t>
            </w:r>
          </w:p>
        </w:tc>
      </w:tr>
      <w:tr w:rsidR="004206BC" w:rsidRPr="00355B95" w14:paraId="5841FD2B" w14:textId="77777777" w:rsidTr="00355B95">
        <w:trPr>
          <w:trHeight w:val="392"/>
        </w:trPr>
        <w:tc>
          <w:tcPr>
            <w:tcW w:w="2300" w:type="dxa"/>
          </w:tcPr>
          <w:p w14:paraId="33EEF1F4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70C4DB74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Market pressure</w:t>
            </w:r>
          </w:p>
        </w:tc>
        <w:tc>
          <w:tcPr>
            <w:tcW w:w="1868" w:type="dxa"/>
          </w:tcPr>
          <w:p w14:paraId="4B23EBB9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Outer setting</w:t>
            </w:r>
          </w:p>
        </w:tc>
        <w:tc>
          <w:tcPr>
            <w:tcW w:w="4352" w:type="dxa"/>
          </w:tcPr>
          <w:p w14:paraId="3C16F857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Pressure to compete with or imitate peer entities.</w:t>
            </w:r>
          </w:p>
        </w:tc>
      </w:tr>
      <w:tr w:rsidR="004206BC" w:rsidRPr="00355B95" w14:paraId="61C5788A" w14:textId="77777777" w:rsidTr="00355B95">
        <w:trPr>
          <w:trHeight w:val="599"/>
        </w:trPr>
        <w:tc>
          <w:tcPr>
            <w:tcW w:w="2300" w:type="dxa"/>
          </w:tcPr>
          <w:p w14:paraId="769A331C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14A7A6DF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Performance measurement pressure</w:t>
            </w:r>
          </w:p>
        </w:tc>
        <w:tc>
          <w:tcPr>
            <w:tcW w:w="1868" w:type="dxa"/>
          </w:tcPr>
          <w:p w14:paraId="7EB9697D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Outer setting</w:t>
            </w:r>
          </w:p>
        </w:tc>
        <w:tc>
          <w:tcPr>
            <w:tcW w:w="4352" w:type="dxa"/>
          </w:tcPr>
          <w:p w14:paraId="2A10CE42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Quality or benchmarking metrics, or established service goals, that influence implementation or delivery.</w:t>
            </w:r>
          </w:p>
        </w:tc>
      </w:tr>
      <w:tr w:rsidR="004206BC" w:rsidRPr="00355B95" w14:paraId="7FC09170" w14:textId="77777777" w:rsidTr="00355B95">
        <w:trPr>
          <w:trHeight w:val="591"/>
        </w:trPr>
        <w:tc>
          <w:tcPr>
            <w:tcW w:w="2300" w:type="dxa"/>
          </w:tcPr>
          <w:p w14:paraId="6FAE39AB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09E758C6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Structural characteristics</w:t>
            </w:r>
          </w:p>
        </w:tc>
        <w:tc>
          <w:tcPr>
            <w:tcW w:w="1868" w:type="dxa"/>
          </w:tcPr>
          <w:p w14:paraId="0B455CF4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7F0BB8E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Characteristics of the organization or service setting that influence implementation.</w:t>
            </w:r>
          </w:p>
        </w:tc>
      </w:tr>
      <w:tr w:rsidR="004206BC" w:rsidRPr="00355B95" w14:paraId="450E94D2" w14:textId="77777777" w:rsidTr="00355B95">
        <w:trPr>
          <w:trHeight w:val="591"/>
        </w:trPr>
        <w:tc>
          <w:tcPr>
            <w:tcW w:w="2300" w:type="dxa"/>
          </w:tcPr>
          <w:p w14:paraId="19985FB7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059CA3D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Physical infrastructure</w:t>
            </w:r>
          </w:p>
        </w:tc>
        <w:tc>
          <w:tcPr>
            <w:tcW w:w="1868" w:type="dxa"/>
          </w:tcPr>
          <w:p w14:paraId="6546E11F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6B3756E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The layout and configuration of space and other tangible features that support functional performance.</w:t>
            </w:r>
          </w:p>
        </w:tc>
      </w:tr>
      <w:tr w:rsidR="004206BC" w:rsidRPr="00355B95" w14:paraId="15969DF4" w14:textId="77777777" w:rsidTr="00355B95">
        <w:trPr>
          <w:trHeight w:val="599"/>
        </w:trPr>
        <w:tc>
          <w:tcPr>
            <w:tcW w:w="2300" w:type="dxa"/>
          </w:tcPr>
          <w:p w14:paraId="5B700425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735BE0B2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Information technology infrastructure</w:t>
            </w:r>
          </w:p>
        </w:tc>
        <w:tc>
          <w:tcPr>
            <w:tcW w:w="1868" w:type="dxa"/>
          </w:tcPr>
          <w:p w14:paraId="26C80407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624F41A7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Information technology systems and resources that support implementation or delivery.</w:t>
            </w:r>
          </w:p>
        </w:tc>
      </w:tr>
      <w:tr w:rsidR="004206BC" w:rsidRPr="00355B95" w14:paraId="232CC8D9" w14:textId="77777777" w:rsidTr="00355B95">
        <w:trPr>
          <w:trHeight w:val="399"/>
        </w:trPr>
        <w:tc>
          <w:tcPr>
            <w:tcW w:w="2300" w:type="dxa"/>
          </w:tcPr>
          <w:p w14:paraId="4E365DE6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16BD2C9B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Work infrastructure</w:t>
            </w:r>
          </w:p>
        </w:tc>
        <w:tc>
          <w:tcPr>
            <w:tcW w:w="1868" w:type="dxa"/>
          </w:tcPr>
          <w:p w14:paraId="7264E6EF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23FC5A9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Organization of tasks and responsibilities within and between individuals and teams, including staffing levels.</w:t>
            </w:r>
          </w:p>
        </w:tc>
      </w:tr>
      <w:tr w:rsidR="004206BC" w:rsidRPr="00355B95" w14:paraId="5188B6D1" w14:textId="77777777" w:rsidTr="00355B95">
        <w:trPr>
          <w:trHeight w:val="112"/>
        </w:trPr>
        <w:tc>
          <w:tcPr>
            <w:tcW w:w="2300" w:type="dxa"/>
          </w:tcPr>
          <w:p w14:paraId="0821ECD3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188712C7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Relational connections</w:t>
            </w:r>
          </w:p>
        </w:tc>
        <w:tc>
          <w:tcPr>
            <w:tcW w:w="1868" w:type="dxa"/>
          </w:tcPr>
          <w:p w14:paraId="10E811A5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31F9A702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Formal and informal relationships, networks, and teams within and across inner-setting boundaries.</w:t>
            </w:r>
          </w:p>
        </w:tc>
      </w:tr>
      <w:tr w:rsidR="004206BC" w:rsidRPr="00355B95" w14:paraId="1DDF26A5" w14:textId="77777777" w:rsidTr="00355B95">
        <w:trPr>
          <w:trHeight w:val="112"/>
        </w:trPr>
        <w:tc>
          <w:tcPr>
            <w:tcW w:w="2300" w:type="dxa"/>
          </w:tcPr>
          <w:p w14:paraId="04DA4785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44F679C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Communications</w:t>
            </w:r>
          </w:p>
        </w:tc>
        <w:tc>
          <w:tcPr>
            <w:tcW w:w="1868" w:type="dxa"/>
          </w:tcPr>
          <w:p w14:paraId="3EA9C30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11AC6659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Formal and informal information-sharing practices within and across inner-setting boundaries.</w:t>
            </w:r>
          </w:p>
        </w:tc>
      </w:tr>
      <w:tr w:rsidR="004206BC" w:rsidRPr="00355B95" w14:paraId="172AC31F" w14:textId="77777777" w:rsidTr="00355B95">
        <w:trPr>
          <w:trHeight w:val="112"/>
        </w:trPr>
        <w:tc>
          <w:tcPr>
            <w:tcW w:w="2300" w:type="dxa"/>
          </w:tcPr>
          <w:p w14:paraId="14DA5844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1778F7C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Culture</w:t>
            </w:r>
          </w:p>
        </w:tc>
        <w:tc>
          <w:tcPr>
            <w:tcW w:w="1868" w:type="dxa"/>
          </w:tcPr>
          <w:p w14:paraId="16C572CB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2FD19AC2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Shared norms, values, and assumptions within the inner setting.</w:t>
            </w:r>
          </w:p>
        </w:tc>
      </w:tr>
      <w:tr w:rsidR="004206BC" w:rsidRPr="00355B95" w14:paraId="4E5C62F4" w14:textId="77777777" w:rsidTr="00355B95">
        <w:trPr>
          <w:trHeight w:val="112"/>
        </w:trPr>
        <w:tc>
          <w:tcPr>
            <w:tcW w:w="2300" w:type="dxa"/>
          </w:tcPr>
          <w:p w14:paraId="5E8C2A0B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4235C129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Relative priority of the intervention</w:t>
            </w:r>
          </w:p>
        </w:tc>
        <w:tc>
          <w:tcPr>
            <w:tcW w:w="1868" w:type="dxa"/>
          </w:tcPr>
          <w:p w14:paraId="23402194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6E5502E1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The importance of implementing and delivering the innovation compared with other initiatives.</w:t>
            </w:r>
          </w:p>
        </w:tc>
      </w:tr>
      <w:tr w:rsidR="004206BC" w:rsidRPr="00355B95" w14:paraId="6628FF32" w14:textId="77777777" w:rsidTr="00355B95">
        <w:trPr>
          <w:trHeight w:val="112"/>
        </w:trPr>
        <w:tc>
          <w:tcPr>
            <w:tcW w:w="2300" w:type="dxa"/>
          </w:tcPr>
          <w:p w14:paraId="494D162A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2D5815D6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Available resources</w:t>
            </w:r>
          </w:p>
        </w:tc>
        <w:tc>
          <w:tcPr>
            <w:tcW w:w="1868" w:type="dxa"/>
          </w:tcPr>
          <w:p w14:paraId="274A7EA5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6FE959DA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Resources available to implement and deliver the innovation.</w:t>
            </w:r>
          </w:p>
        </w:tc>
      </w:tr>
      <w:tr w:rsidR="004206BC" w:rsidRPr="00355B95" w14:paraId="392CE44D" w14:textId="77777777" w:rsidTr="00355B95">
        <w:trPr>
          <w:trHeight w:val="112"/>
        </w:trPr>
        <w:tc>
          <w:tcPr>
            <w:tcW w:w="2300" w:type="dxa"/>
          </w:tcPr>
          <w:p w14:paraId="4DD31CDF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37076C95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Mission alignment</w:t>
            </w:r>
          </w:p>
        </w:tc>
        <w:tc>
          <w:tcPr>
            <w:tcW w:w="1868" w:type="dxa"/>
          </w:tcPr>
          <w:p w14:paraId="32DD543D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6FF58644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The degree to which implementation and delivery align with the inner setting's overarching purpose or goals.</w:t>
            </w:r>
          </w:p>
        </w:tc>
      </w:tr>
      <w:tr w:rsidR="004206BC" w:rsidRPr="00355B95" w14:paraId="0CAC5A6C" w14:textId="77777777" w:rsidTr="00355B95">
        <w:trPr>
          <w:trHeight w:val="112"/>
        </w:trPr>
        <w:tc>
          <w:tcPr>
            <w:tcW w:w="2300" w:type="dxa"/>
          </w:tcPr>
          <w:p w14:paraId="0A3F32B8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35898108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Funding</w:t>
            </w:r>
          </w:p>
        </w:tc>
        <w:tc>
          <w:tcPr>
            <w:tcW w:w="1868" w:type="dxa"/>
          </w:tcPr>
          <w:p w14:paraId="7727CE9E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4D2E84E0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Funding available within the inner setting to implement and deliver the innovation.</w:t>
            </w:r>
          </w:p>
        </w:tc>
      </w:tr>
      <w:tr w:rsidR="004206BC" w:rsidRPr="00355B95" w14:paraId="43ADC4FC" w14:textId="77777777" w:rsidTr="00355B95">
        <w:trPr>
          <w:trHeight w:val="112"/>
        </w:trPr>
        <w:tc>
          <w:tcPr>
            <w:tcW w:w="2300" w:type="dxa"/>
          </w:tcPr>
          <w:p w14:paraId="4B159AEE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16E5710F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Space</w:t>
            </w:r>
          </w:p>
        </w:tc>
        <w:tc>
          <w:tcPr>
            <w:tcW w:w="1868" w:type="dxa"/>
          </w:tcPr>
          <w:p w14:paraId="7B2F02B2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558753F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Physical space available to implement and deliver the innovation.</w:t>
            </w:r>
          </w:p>
        </w:tc>
      </w:tr>
      <w:tr w:rsidR="004206BC" w:rsidRPr="00355B95" w14:paraId="7135F9CC" w14:textId="77777777" w:rsidTr="00355B95">
        <w:trPr>
          <w:trHeight w:val="112"/>
        </w:trPr>
        <w:tc>
          <w:tcPr>
            <w:tcW w:w="2300" w:type="dxa"/>
          </w:tcPr>
          <w:p w14:paraId="7C6ADA99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2A5124BB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Materials and equipment</w:t>
            </w:r>
          </w:p>
        </w:tc>
        <w:tc>
          <w:tcPr>
            <w:tcW w:w="1868" w:type="dxa"/>
          </w:tcPr>
          <w:p w14:paraId="05FAEB3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061F1359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Supplies and equipment available to implement and deliver the innovation.</w:t>
            </w:r>
          </w:p>
        </w:tc>
      </w:tr>
      <w:tr w:rsidR="004206BC" w:rsidRPr="00355B95" w14:paraId="7B63A5A2" w14:textId="77777777" w:rsidTr="00355B95">
        <w:trPr>
          <w:trHeight w:val="112"/>
        </w:trPr>
        <w:tc>
          <w:tcPr>
            <w:tcW w:w="2300" w:type="dxa"/>
          </w:tcPr>
          <w:p w14:paraId="3EBCF75A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726A156E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Access to knowledge and information</w:t>
            </w:r>
          </w:p>
        </w:tc>
        <w:tc>
          <w:tcPr>
            <w:tcW w:w="1868" w:type="dxa"/>
          </w:tcPr>
          <w:p w14:paraId="6AC4FFB7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Inner setting</w:t>
            </w:r>
          </w:p>
        </w:tc>
        <w:tc>
          <w:tcPr>
            <w:tcW w:w="4352" w:type="dxa"/>
          </w:tcPr>
          <w:p w14:paraId="2292F8E8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Access to guidance or training needed to implement and deliver the innovation.</w:t>
            </w:r>
          </w:p>
        </w:tc>
      </w:tr>
      <w:tr w:rsidR="004206BC" w:rsidRPr="00355B95" w14:paraId="493374B1" w14:textId="77777777" w:rsidTr="00355B95">
        <w:trPr>
          <w:trHeight w:val="112"/>
        </w:trPr>
        <w:tc>
          <w:tcPr>
            <w:tcW w:w="2300" w:type="dxa"/>
          </w:tcPr>
          <w:p w14:paraId="38D63163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b/>
                <w:color w:val="000000"/>
              </w:rPr>
              <w:t>Emergent codes</w:t>
            </w:r>
          </w:p>
        </w:tc>
        <w:tc>
          <w:tcPr>
            <w:tcW w:w="1766" w:type="dxa"/>
          </w:tcPr>
          <w:p w14:paraId="0C316E6C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Religious or faith-based coping</w:t>
            </w:r>
          </w:p>
        </w:tc>
        <w:tc>
          <w:tcPr>
            <w:tcW w:w="1868" w:type="dxa"/>
          </w:tcPr>
          <w:p w14:paraId="5F65D556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Emergent</w:t>
            </w:r>
          </w:p>
        </w:tc>
        <w:tc>
          <w:tcPr>
            <w:tcW w:w="4352" w:type="dxa"/>
          </w:tcPr>
          <w:p w14:paraId="60B6359B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Religious beliefs or faith practices described as influencing coping, hope, or continuity in care.</w:t>
            </w:r>
          </w:p>
        </w:tc>
      </w:tr>
      <w:tr w:rsidR="004206BC" w:rsidRPr="00355B95" w14:paraId="6A69B8CB" w14:textId="77777777" w:rsidTr="00355B95">
        <w:trPr>
          <w:trHeight w:val="599"/>
        </w:trPr>
        <w:tc>
          <w:tcPr>
            <w:tcW w:w="2300" w:type="dxa"/>
          </w:tcPr>
          <w:p w14:paraId="56108E08" w14:textId="77777777" w:rsidR="004206BC" w:rsidRPr="00355B95" w:rsidRDefault="004206B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6" w:type="dxa"/>
          </w:tcPr>
          <w:p w14:paraId="542599AE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Stigma</w:t>
            </w:r>
          </w:p>
        </w:tc>
        <w:tc>
          <w:tcPr>
            <w:tcW w:w="1868" w:type="dxa"/>
          </w:tcPr>
          <w:p w14:paraId="41857AB5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Emergent</w:t>
            </w:r>
          </w:p>
        </w:tc>
        <w:tc>
          <w:tcPr>
            <w:tcW w:w="4352" w:type="dxa"/>
          </w:tcPr>
          <w:p w14:paraId="38C14B12" w14:textId="77777777" w:rsidR="004206BC" w:rsidRPr="00355B95" w:rsidRDefault="00000000">
            <w:pPr>
              <w:spacing w:after="0" w:line="240" w:lineRule="auto"/>
              <w:rPr>
                <w:rFonts w:ascii="Arial" w:hAnsi="Arial" w:cs="Arial"/>
              </w:rPr>
            </w:pPr>
            <w:r w:rsidRPr="00355B95">
              <w:rPr>
                <w:rFonts w:ascii="Arial" w:hAnsi="Arial" w:cs="Arial"/>
                <w:color w:val="000000"/>
              </w:rPr>
              <w:t>Negative labeling, discrimination, or anticipated judgment associated with RHD or its treatment.</w:t>
            </w:r>
          </w:p>
        </w:tc>
      </w:tr>
    </w:tbl>
    <w:p w14:paraId="74E339FB" w14:textId="77777777" w:rsidR="00094B2C" w:rsidRPr="00355B95" w:rsidRDefault="00094B2C">
      <w:pPr>
        <w:rPr>
          <w:rFonts w:ascii="Arial" w:hAnsi="Arial" w:cs="Arial"/>
        </w:rPr>
      </w:pPr>
    </w:p>
    <w:sectPr w:rsidR="00094B2C" w:rsidRPr="00355B95" w:rsidSect="00034616"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90F93" w14:textId="77777777" w:rsidR="00094B2C" w:rsidRDefault="00094B2C">
      <w:pPr>
        <w:spacing w:after="0" w:line="240" w:lineRule="auto"/>
      </w:pPr>
      <w:r>
        <w:separator/>
      </w:r>
    </w:p>
  </w:endnote>
  <w:endnote w:type="continuationSeparator" w:id="0">
    <w:p w14:paraId="698744EC" w14:textId="77777777" w:rsidR="00094B2C" w:rsidRDefault="00094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96363" w14:textId="77777777" w:rsidR="004206BC" w:rsidRDefault="00000000">
    <w:pPr>
      <w:pStyle w:val="Footer"/>
      <w:jc w:val="right"/>
    </w:pPr>
    <w:r>
      <w:rPr>
        <w:color w:val="5A5A5A"/>
        <w:sz w:val="18"/>
      </w:rPr>
      <w:t xml:space="preserve">Page </w:t>
    </w:r>
    <w:r>
      <w:fldChar w:fldCharType="begin"/>
    </w:r>
    <w:r>
      <w:instrText xml:space="preserve"> PAGE </w:instrText>
    </w:r>
    <w:r w:rsidR="00EE358D">
      <w:fldChar w:fldCharType="separate"/>
    </w:r>
    <w:r w:rsidR="00EE358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915E6" w14:textId="77777777" w:rsidR="00094B2C" w:rsidRDefault="00094B2C">
      <w:pPr>
        <w:spacing w:after="0" w:line="240" w:lineRule="auto"/>
      </w:pPr>
      <w:r>
        <w:separator/>
      </w:r>
    </w:p>
  </w:footnote>
  <w:footnote w:type="continuationSeparator" w:id="0">
    <w:p w14:paraId="1DEB671A" w14:textId="77777777" w:rsidR="00094B2C" w:rsidRDefault="00094B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54300115">
    <w:abstractNumId w:val="8"/>
  </w:num>
  <w:num w:numId="2" w16cid:durableId="1052576500">
    <w:abstractNumId w:val="6"/>
  </w:num>
  <w:num w:numId="3" w16cid:durableId="1021053726">
    <w:abstractNumId w:val="5"/>
  </w:num>
  <w:num w:numId="4" w16cid:durableId="1602375686">
    <w:abstractNumId w:val="4"/>
  </w:num>
  <w:num w:numId="5" w16cid:durableId="286082862">
    <w:abstractNumId w:val="7"/>
  </w:num>
  <w:num w:numId="6" w16cid:durableId="2002542679">
    <w:abstractNumId w:val="3"/>
  </w:num>
  <w:num w:numId="7" w16cid:durableId="1394237612">
    <w:abstractNumId w:val="2"/>
  </w:num>
  <w:num w:numId="8" w16cid:durableId="1902448109">
    <w:abstractNumId w:val="1"/>
  </w:num>
  <w:num w:numId="9" w16cid:durableId="1942296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SzMLI0MTIxMzAytjBW0lEKTi0uzszPAykwrAUAqAneIywAAAA="/>
  </w:docVars>
  <w:rsids>
    <w:rsidRoot w:val="00B47730"/>
    <w:rsid w:val="00034616"/>
    <w:rsid w:val="0006063C"/>
    <w:rsid w:val="00094B2C"/>
    <w:rsid w:val="0015074B"/>
    <w:rsid w:val="0029639D"/>
    <w:rsid w:val="00326F90"/>
    <w:rsid w:val="00355B95"/>
    <w:rsid w:val="004206BC"/>
    <w:rsid w:val="00913C0D"/>
    <w:rsid w:val="00AA1D8D"/>
    <w:rsid w:val="00B47730"/>
    <w:rsid w:val="00CB0664"/>
    <w:rsid w:val="00EE35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2F2097"/>
  <w14:defaultImageDpi w14:val="300"/>
  <w15:docId w15:val="{5ABF0FBC-C2AA-4D63-BDC9-1045CDC9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Jafesi Pulle</cp:lastModifiedBy>
  <cp:revision>3</cp:revision>
  <dcterms:created xsi:type="dcterms:W3CDTF">2013-12-23T23:15:00Z</dcterms:created>
  <dcterms:modified xsi:type="dcterms:W3CDTF">2026-08-20T07:07:00Z</dcterms:modified>
  <cp:category/>
</cp:coreProperties>
</file>