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16C6FB">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rPr>
          <w:rFonts w:ascii="Times New Roman" w:hAnsi="Times New Roman" w:eastAsia="Times New Roman" w:cs="Times New Roman"/>
          <w:b/>
          <w:bCs/>
          <w:sz w:val="30"/>
          <w:szCs w:val="30"/>
        </w:rPr>
        <w:t>Additional file 1: Supplementary figures and tables</w:t>
      </w:r>
    </w:p>
    <w:p w14:paraId="1F79EBF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i/>
          <w:iCs/>
          <w:sz w:val="21"/>
          <w:szCs w:val="21"/>
        </w:rPr>
        <w:t>Cold Dominates the Temperature–Mortality Burden and Defines a Longer Window for Protection: A Seven-Year Time-Series Study of Cold Spells and Heatwaves in Changsha, China</w:t>
      </w:r>
    </w:p>
    <w:p w14:paraId="052CF74B">
      <w:pPr>
        <w:keepNext w:val="0"/>
        <w:keepLines w:val="0"/>
        <w:pageBreakBefore w:val="0"/>
        <w:widowControl w:val="0"/>
        <w:pBdr>
          <w:bottom w:val="single" w:color="000000" w:sz="6" w:space="1"/>
        </w:pBdr>
        <w:kinsoku/>
        <w:wordWrap/>
        <w:overflowPunct/>
        <w:topLinePunct w:val="0"/>
        <w:autoSpaceDE/>
        <w:autoSpaceDN/>
        <w:bidi w:val="0"/>
        <w:adjustRightInd/>
        <w:snapToGrid/>
        <w:spacing w:line="360" w:lineRule="auto"/>
        <w:jc w:val="center"/>
        <w:textAlignment w:val="auto"/>
      </w:pPr>
    </w:p>
    <w:p w14:paraId="6215EE3C">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4"/>
          <w:szCs w:val="24"/>
        </w:rPr>
        <w:t>Contents</w:t>
      </w:r>
    </w:p>
    <w:p w14:paraId="32FA72A8">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Fig. S1  </w:t>
      </w:r>
      <w:r>
        <w:rPr>
          <w:rFonts w:ascii="Times New Roman" w:hAnsi="Times New Roman" w:eastAsia="Times New Roman" w:cs="Times New Roman"/>
          <w:sz w:val="20"/>
          <w:szCs w:val="20"/>
        </w:rPr>
        <w:t>Lag-specific and cumulative temperature–mortality associations at extreme cold and extreme heat</w:t>
      </w:r>
    </w:p>
    <w:p w14:paraId="156363F5">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Fig. S2  </w:t>
      </w:r>
      <w:r>
        <w:rPr>
          <w:rFonts w:ascii="Times New Roman" w:hAnsi="Times New Roman" w:eastAsia="Times New Roman" w:cs="Times New Roman"/>
          <w:sz w:val="20"/>
          <w:szCs w:val="20"/>
        </w:rPr>
        <w:t>Temperature–lag–mortality surface</w:t>
      </w:r>
    </w:p>
    <w:p w14:paraId="5908541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Fig. S3  </w:t>
      </w:r>
      <w:r>
        <w:rPr>
          <w:rFonts w:ascii="Times New Roman" w:hAnsi="Times New Roman" w:eastAsia="Times New Roman" w:cs="Times New Roman"/>
          <w:sz w:val="20"/>
          <w:szCs w:val="20"/>
        </w:rPr>
        <w:t>Single-day added lag effects of cold spells on cause-specific mortality</w:t>
      </w:r>
    </w:p>
    <w:p w14:paraId="033B173C">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Fig. S4  </w:t>
      </w:r>
      <w:r>
        <w:rPr>
          <w:rFonts w:ascii="Times New Roman" w:hAnsi="Times New Roman" w:eastAsia="Times New Roman" w:cs="Times New Roman"/>
          <w:sz w:val="20"/>
          <w:szCs w:val="20"/>
        </w:rPr>
        <w:t>Single-day added lag effects of heatwaves on cause-specific mortality</w:t>
      </w:r>
    </w:p>
    <w:p w14:paraId="7F6A528C">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Fig. S5  </w:t>
      </w:r>
      <w:r>
        <w:rPr>
          <w:rFonts w:ascii="Times New Roman" w:hAnsi="Times New Roman" w:eastAsia="Times New Roman" w:cs="Times New Roman"/>
          <w:sz w:val="20"/>
          <w:szCs w:val="20"/>
        </w:rPr>
        <w:t>Cumulative added lag effects of cold spells on cause-specific mortality</w:t>
      </w:r>
    </w:p>
    <w:p w14:paraId="7C932478">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Fig. S6  </w:t>
      </w:r>
      <w:r>
        <w:rPr>
          <w:rFonts w:ascii="Times New Roman" w:hAnsi="Times New Roman" w:eastAsia="Times New Roman" w:cs="Times New Roman"/>
          <w:sz w:val="20"/>
          <w:szCs w:val="20"/>
        </w:rPr>
        <w:t>Cumulative added lag effects of heatwaves on cause-specific mortality</w:t>
      </w:r>
      <w:bookmarkStart w:id="0" w:name="_GoBack"/>
      <w:bookmarkEnd w:id="0"/>
    </w:p>
    <w:p w14:paraId="6B7A3666">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Table S1  </w:t>
      </w:r>
      <w:r>
        <w:rPr>
          <w:rFonts w:ascii="Times New Roman" w:hAnsi="Times New Roman" w:eastAsia="Times New Roman" w:cs="Times New Roman"/>
          <w:sz w:val="20"/>
          <w:szCs w:val="20"/>
        </w:rPr>
        <w:t>Sensitivity of the added effects of cold spells and heatwaves</w:t>
      </w:r>
    </w:p>
    <w:p w14:paraId="7489AD3B">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Table S2  </w:t>
      </w:r>
      <w:r>
        <w:rPr>
          <w:rFonts w:ascii="Times New Roman" w:hAnsi="Times New Roman" w:eastAsia="Times New Roman" w:cs="Times New Roman"/>
          <w:sz w:val="20"/>
          <w:szCs w:val="20"/>
        </w:rPr>
        <w:t>Sensitivity of the cumulative temperature effect to lag length and pollutant adjustment</w:t>
      </w:r>
    </w:p>
    <w:p w14:paraId="4C7E7395">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Table S3  </w:t>
      </w:r>
      <w:r>
        <w:rPr>
          <w:rFonts w:ascii="Times New Roman" w:hAnsi="Times New Roman" w:eastAsia="Times New Roman" w:cs="Times New Roman"/>
          <w:sz w:val="20"/>
          <w:szCs w:val="20"/>
        </w:rPr>
        <w:t>Attributable fractions under alternative reference temperatures</w:t>
      </w:r>
    </w:p>
    <w:p w14:paraId="5F9DF126">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Table S4  </w:t>
      </w:r>
      <w:r>
        <w:rPr>
          <w:rFonts w:ascii="Times New Roman" w:hAnsi="Times New Roman" w:eastAsia="Times New Roman" w:cs="Times New Roman"/>
          <w:sz w:val="20"/>
          <w:szCs w:val="20"/>
        </w:rPr>
        <w:t>Sensitivity to the placement of the temperature spline knots</w:t>
      </w:r>
    </w:p>
    <w:p w14:paraId="5502E47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Table S5  </w:t>
      </w:r>
      <w:r>
        <w:rPr>
          <w:rFonts w:ascii="Times New Roman" w:hAnsi="Times New Roman" w:eastAsia="Times New Roman" w:cs="Times New Roman"/>
          <w:sz w:val="20"/>
          <w:szCs w:val="20"/>
        </w:rPr>
        <w:t>Temperature-attributable fractions by cause of death</w:t>
      </w:r>
    </w:p>
    <w:p w14:paraId="0915A750">
      <w:pPr>
        <w:keepNext w:val="0"/>
        <w:keepLines w:val="0"/>
        <w:pageBreakBefore w:val="0"/>
        <w:widowControl w:val="0"/>
        <w:kinsoku/>
        <w:wordWrap/>
        <w:overflowPunct/>
        <w:topLinePunct w:val="0"/>
        <w:autoSpaceDE/>
        <w:autoSpaceDN/>
        <w:bidi w:val="0"/>
        <w:adjustRightInd/>
        <w:snapToGrid/>
        <w:spacing w:line="360" w:lineRule="auto"/>
        <w:jc w:val="center"/>
        <w:textAlignment w:val="auto"/>
      </w:pPr>
    </w:p>
    <w:p w14:paraId="1B4FCC00">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sz w:val="18"/>
          <w:szCs w:val="18"/>
        </w:rPr>
        <w:t>All estimates derive from the same models reported in the main text; no analysis was repeated for this file. Relative risks (RR) for daily mean temperature are cumulative over lags 0–21 days and are referenced to the minimum mortality temperature (MMT, 28.0 °C, 85.7th percentile) unless stated otherwise. Extreme cold and extreme heat denote the 2.5th (2.2 °C) and 97.5th (31.1 °C) percentiles of daily mean temperature. Added effects of cold spells and heatwaves are estimated over lags 0–7 days, over and above the continuous temperature term. CI, confidence interval; AF, attributable fraction; QAIC, quasi-Akaike information criterion.</w:t>
      </w:r>
    </w:p>
    <w:p w14:paraId="10314670">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br w:type="page"/>
      </w:r>
    </w:p>
    <w:p w14:paraId="7BC8CE0C">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drawing>
          <wp:inline distT="0" distB="0" distL="0" distR="0">
            <wp:extent cx="5334000" cy="41433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a:srcRect/>
                    <a:stretch>
                      <a:fillRect/>
                    </a:stretch>
                  </pic:blipFill>
                  <pic:spPr>
                    <a:xfrm>
                      <a:off x="0" y="0"/>
                      <a:ext cx="5334000" cy="4143375"/>
                    </a:xfrm>
                    <a:prstGeom prst="rect">
                      <a:avLst/>
                    </a:prstGeom>
                  </pic:spPr>
                </pic:pic>
              </a:graphicData>
            </a:graphic>
          </wp:inline>
        </w:drawing>
      </w:r>
    </w:p>
    <w:p w14:paraId="0A668014">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Fig. S1  </w:t>
      </w:r>
      <w:r>
        <w:rPr>
          <w:rFonts w:ascii="Times New Roman" w:hAnsi="Times New Roman" w:eastAsia="Times New Roman" w:cs="Times New Roman"/>
          <w:sz w:val="20"/>
          <w:szCs w:val="20"/>
        </w:rPr>
        <w:t>Lag-specific (upper panels) and cumulative (lower panels) relative risks of non-accidental mortality at extreme cold (2.2 °C, 2.5th percentile) and extreme heat (31.1 °C, 97.5th percentile) of daily mean temperature, relative to the minimum mortality temperature (28.0 °C), over lags 0–21 days. Shaded areas denote 95% CIs. The upper panels are reproduced as Fig. 2b and 2c of the main text.</w:t>
      </w:r>
    </w:p>
    <w:p w14:paraId="50F96C12">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br w:type="page"/>
      </w:r>
    </w:p>
    <w:p w14:paraId="78B754F1">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drawing>
          <wp:inline distT="0" distB="0" distL="0" distR="0">
            <wp:extent cx="4953000" cy="42481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a:srcRect/>
                    <a:stretch>
                      <a:fillRect/>
                    </a:stretch>
                  </pic:blipFill>
                  <pic:spPr>
                    <a:xfrm>
                      <a:off x="0" y="0"/>
                      <a:ext cx="4953000" cy="4248150"/>
                    </a:xfrm>
                    <a:prstGeom prst="rect">
                      <a:avLst/>
                    </a:prstGeom>
                  </pic:spPr>
                </pic:pic>
              </a:graphicData>
            </a:graphic>
          </wp:inline>
        </w:drawing>
      </w:r>
    </w:p>
    <w:p w14:paraId="43E0584B">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Fig. S2  </w:t>
      </w:r>
      <w:r>
        <w:rPr>
          <w:rFonts w:ascii="Times New Roman" w:hAnsi="Times New Roman" w:eastAsia="Times New Roman" w:cs="Times New Roman"/>
          <w:sz w:val="20"/>
          <w:szCs w:val="20"/>
        </w:rPr>
        <w:t>Temperature–lag–mortality surface for non-accidental mortality, showing the relative risk across the joint space of daily mean temperature and lag (0–21 days), relative to the minimum mortality temperature (28.0 °C).</w:t>
      </w:r>
    </w:p>
    <w:p w14:paraId="308E1DE3">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br w:type="page"/>
      </w:r>
    </w:p>
    <w:p w14:paraId="69737E59">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drawing>
          <wp:inline distT="0" distB="0" distL="0" distR="0">
            <wp:extent cx="5334000" cy="42672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8"/>
                    <a:srcRect/>
                    <a:stretch>
                      <a:fillRect/>
                    </a:stretch>
                  </pic:blipFill>
                  <pic:spPr>
                    <a:xfrm>
                      <a:off x="0" y="0"/>
                      <a:ext cx="5334000" cy="4267200"/>
                    </a:xfrm>
                    <a:prstGeom prst="rect">
                      <a:avLst/>
                    </a:prstGeom>
                  </pic:spPr>
                </pic:pic>
              </a:graphicData>
            </a:graphic>
          </wp:inline>
        </w:drawing>
      </w:r>
    </w:p>
    <w:p w14:paraId="5983B867">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Fig. S3  </w:t>
      </w:r>
      <w:r>
        <w:rPr>
          <w:rFonts w:ascii="Times New Roman" w:hAnsi="Times New Roman" w:eastAsia="Times New Roman" w:cs="Times New Roman"/>
          <w:sz w:val="20"/>
          <w:szCs w:val="20"/>
        </w:rPr>
        <w:t>Single-day added lag effects of cold spells on cause-specific mortality over lags 0–7 days, estimated over and above the continuous daily mean temperature term. Shaded areas denote 95% CIs; the dashed line marks the null. Estimates are relative to non-cold-spell days.</w:t>
      </w:r>
    </w:p>
    <w:p w14:paraId="2D93D27F">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br w:type="page"/>
      </w:r>
    </w:p>
    <w:p w14:paraId="514485A9">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drawing>
          <wp:inline distT="0" distB="0" distL="0" distR="0">
            <wp:extent cx="5334000" cy="42672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9"/>
                    <a:srcRect/>
                    <a:stretch>
                      <a:fillRect/>
                    </a:stretch>
                  </pic:blipFill>
                  <pic:spPr>
                    <a:xfrm>
                      <a:off x="0" y="0"/>
                      <a:ext cx="5334000" cy="4267200"/>
                    </a:xfrm>
                    <a:prstGeom prst="rect">
                      <a:avLst/>
                    </a:prstGeom>
                  </pic:spPr>
                </pic:pic>
              </a:graphicData>
            </a:graphic>
          </wp:inline>
        </w:drawing>
      </w:r>
    </w:p>
    <w:p w14:paraId="57CC3DB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Fig. S4  </w:t>
      </w:r>
      <w:r>
        <w:rPr>
          <w:rFonts w:ascii="Times New Roman" w:hAnsi="Times New Roman" w:eastAsia="Times New Roman" w:cs="Times New Roman"/>
          <w:sz w:val="20"/>
          <w:szCs w:val="20"/>
        </w:rPr>
        <w:t>Single-day added lag effects of heatwaves on cause-specific mortality over lags 0–7 days, estimated over and above the continuous daily mean temperature term. Shaded areas denote 95% CIs; the dashed line marks the null. Estimates are relative to non-heatwave days.</w:t>
      </w:r>
    </w:p>
    <w:p w14:paraId="4145328E">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br w:type="page"/>
      </w:r>
    </w:p>
    <w:p w14:paraId="14EAE60E">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drawing>
          <wp:inline distT="0" distB="0" distL="0" distR="0">
            <wp:extent cx="5334000" cy="42672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0"/>
                    <a:srcRect/>
                    <a:stretch>
                      <a:fillRect/>
                    </a:stretch>
                  </pic:blipFill>
                  <pic:spPr>
                    <a:xfrm>
                      <a:off x="0" y="0"/>
                      <a:ext cx="5334000" cy="4267200"/>
                    </a:xfrm>
                    <a:prstGeom prst="rect">
                      <a:avLst/>
                    </a:prstGeom>
                  </pic:spPr>
                </pic:pic>
              </a:graphicData>
            </a:graphic>
          </wp:inline>
        </w:drawing>
      </w:r>
    </w:p>
    <w:p w14:paraId="1567C6E8">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Fig. S5  </w:t>
      </w:r>
      <w:r>
        <w:rPr>
          <w:rFonts w:ascii="Times New Roman" w:hAnsi="Times New Roman" w:eastAsia="Times New Roman" w:cs="Times New Roman"/>
          <w:sz w:val="20"/>
          <w:szCs w:val="20"/>
        </w:rPr>
        <w:t>Cumulative added lag effects of cold spells on cause-specific mortality, accumulated from lag 0 to the lag shown, estimated over and above the continuous daily mean temperature term. Shaded areas denote 95% CIs.</w:t>
      </w:r>
    </w:p>
    <w:p w14:paraId="588C8EE0">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br w:type="page"/>
      </w:r>
    </w:p>
    <w:p w14:paraId="12C446D0">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drawing>
          <wp:inline distT="0" distB="0" distL="0" distR="0">
            <wp:extent cx="5334000" cy="42672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1"/>
                    <a:srcRect/>
                    <a:stretch>
                      <a:fillRect/>
                    </a:stretch>
                  </pic:blipFill>
                  <pic:spPr>
                    <a:xfrm>
                      <a:off x="0" y="0"/>
                      <a:ext cx="5334000" cy="4267200"/>
                    </a:xfrm>
                    <a:prstGeom prst="rect">
                      <a:avLst/>
                    </a:prstGeom>
                  </pic:spPr>
                </pic:pic>
              </a:graphicData>
            </a:graphic>
          </wp:inline>
        </w:drawing>
      </w:r>
    </w:p>
    <w:p w14:paraId="66F5D26B">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Fig. S6  </w:t>
      </w:r>
      <w:r>
        <w:rPr>
          <w:rFonts w:ascii="Times New Roman" w:hAnsi="Times New Roman" w:eastAsia="Times New Roman" w:cs="Times New Roman"/>
          <w:sz w:val="20"/>
          <w:szCs w:val="20"/>
        </w:rPr>
        <w:t>Cumulative added lag effects of heatwaves on cause-specific mortality, accumulated from lag 0 to the lag shown, estimated over and above the continuous daily mean temperature term. Shaded areas denote 95% CIs.</w:t>
      </w:r>
    </w:p>
    <w:p w14:paraId="0C7024AE">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br w:type="page"/>
      </w:r>
    </w:p>
    <w:p w14:paraId="6801BED5">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rPr>
          <w:rFonts w:ascii="Times New Roman" w:hAnsi="Times New Roman" w:eastAsia="Times New Roman" w:cs="Times New Roman"/>
          <w:b/>
          <w:bCs/>
          <w:sz w:val="20"/>
          <w:szCs w:val="20"/>
        </w:rPr>
      </w:pPr>
    </w:p>
    <w:p w14:paraId="2552708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Table S1  </w:t>
      </w:r>
      <w:r>
        <w:rPr>
          <w:rFonts w:ascii="Times New Roman" w:hAnsi="Times New Roman" w:eastAsia="Times New Roman" w:cs="Times New Roman"/>
          <w:sz w:val="20"/>
          <w:szCs w:val="20"/>
        </w:rPr>
        <w:t>Sensitivity of the added effects of cold spells and heatwaves to model specification (non-accidental mortality).</w:t>
      </w:r>
    </w:p>
    <w:tbl>
      <w:tblPr>
        <w:tblStyle w:val="2"/>
        <w:tblW w:w="9638" w:type="dxa"/>
        <w:tblInd w:w="0" w:type="dxa"/>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Layout w:type="autofit"/>
        <w:tblCellMar>
          <w:top w:w="0" w:type="dxa"/>
          <w:left w:w="10" w:type="dxa"/>
          <w:bottom w:w="0" w:type="dxa"/>
          <w:right w:w="10" w:type="dxa"/>
        </w:tblCellMar>
      </w:tblPr>
      <w:tblGrid>
        <w:gridCol w:w="4200"/>
        <w:gridCol w:w="2719"/>
        <w:gridCol w:w="2719"/>
      </w:tblGrid>
      <w:tr w14:paraId="3E71D2EE">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PrEx>
        <w:trPr>
          <w:tblHeader/>
        </w:trPr>
        <w:tc>
          <w:tcPr>
            <w:tcW w:w="4200" w:type="dxa"/>
            <w:shd w:val="clear" w:color="auto" w:fill="auto"/>
            <w:tcMar>
              <w:top w:w="60" w:type="dxa"/>
              <w:left w:w="80" w:type="dxa"/>
              <w:bottom w:w="60" w:type="dxa"/>
              <w:right w:w="80" w:type="dxa"/>
            </w:tcMar>
            <w:vAlign w:val="top"/>
          </w:tcPr>
          <w:p w14:paraId="7A7BDBBE">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Specification</w:t>
            </w:r>
          </w:p>
        </w:tc>
        <w:tc>
          <w:tcPr>
            <w:tcW w:w="2719" w:type="dxa"/>
            <w:shd w:val="clear" w:color="auto" w:fill="auto"/>
            <w:tcMar>
              <w:top w:w="60" w:type="dxa"/>
              <w:left w:w="80" w:type="dxa"/>
              <w:bottom w:w="60" w:type="dxa"/>
              <w:right w:w="80" w:type="dxa"/>
            </w:tcMar>
            <w:vAlign w:val="top"/>
          </w:tcPr>
          <w:p w14:paraId="5F0C065C">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Cold spells, added RR (95% CI)</w:t>
            </w:r>
          </w:p>
        </w:tc>
        <w:tc>
          <w:tcPr>
            <w:tcW w:w="2719" w:type="dxa"/>
            <w:shd w:val="clear" w:color="auto" w:fill="auto"/>
            <w:tcMar>
              <w:top w:w="60" w:type="dxa"/>
              <w:left w:w="80" w:type="dxa"/>
              <w:bottom w:w="60" w:type="dxa"/>
              <w:right w:w="80" w:type="dxa"/>
            </w:tcMar>
            <w:vAlign w:val="top"/>
          </w:tcPr>
          <w:p w14:paraId="38D7E349">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Heatwaves, added RR (95% CI)</w:t>
            </w:r>
          </w:p>
        </w:tc>
      </w:tr>
      <w:tr w14:paraId="2228FEDC">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4200" w:type="dxa"/>
            <w:tcMar>
              <w:top w:w="60" w:type="dxa"/>
              <w:left w:w="80" w:type="dxa"/>
              <w:bottom w:w="60" w:type="dxa"/>
              <w:right w:w="80" w:type="dxa"/>
            </w:tcMar>
          </w:tcPr>
          <w:p w14:paraId="0F0E3F15">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Time spline, 6 df per year</w:t>
            </w:r>
          </w:p>
        </w:tc>
        <w:tc>
          <w:tcPr>
            <w:tcW w:w="2719" w:type="dxa"/>
            <w:tcMar>
              <w:top w:w="60" w:type="dxa"/>
              <w:left w:w="80" w:type="dxa"/>
              <w:bottom w:w="60" w:type="dxa"/>
              <w:right w:w="80" w:type="dxa"/>
            </w:tcMar>
          </w:tcPr>
          <w:p w14:paraId="10FB7F37">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0.976 (0.933, 1.022)</w:t>
            </w:r>
          </w:p>
        </w:tc>
        <w:tc>
          <w:tcPr>
            <w:tcW w:w="2719" w:type="dxa"/>
            <w:tcMar>
              <w:top w:w="60" w:type="dxa"/>
              <w:left w:w="80" w:type="dxa"/>
              <w:bottom w:w="60" w:type="dxa"/>
              <w:right w:w="80" w:type="dxa"/>
            </w:tcMar>
          </w:tcPr>
          <w:p w14:paraId="4422E2D3">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0.979 (0.917, 1.045)</w:t>
            </w:r>
          </w:p>
        </w:tc>
      </w:tr>
      <w:tr w14:paraId="5C489912">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4200" w:type="dxa"/>
            <w:tcMar>
              <w:top w:w="60" w:type="dxa"/>
              <w:left w:w="80" w:type="dxa"/>
              <w:bottom w:w="60" w:type="dxa"/>
              <w:right w:w="80" w:type="dxa"/>
            </w:tcMar>
          </w:tcPr>
          <w:p w14:paraId="3373D8D9">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Time spline, 7 df per year (main model)</w:t>
            </w:r>
          </w:p>
        </w:tc>
        <w:tc>
          <w:tcPr>
            <w:tcW w:w="2719" w:type="dxa"/>
            <w:tcMar>
              <w:top w:w="60" w:type="dxa"/>
              <w:left w:w="80" w:type="dxa"/>
              <w:bottom w:w="60" w:type="dxa"/>
              <w:right w:w="80" w:type="dxa"/>
            </w:tcMar>
          </w:tcPr>
          <w:p w14:paraId="590C1FF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0.953 (0.908, 0.999)</w:t>
            </w:r>
          </w:p>
        </w:tc>
        <w:tc>
          <w:tcPr>
            <w:tcW w:w="2719" w:type="dxa"/>
            <w:tcMar>
              <w:top w:w="60" w:type="dxa"/>
              <w:left w:w="80" w:type="dxa"/>
              <w:bottom w:w="60" w:type="dxa"/>
              <w:right w:w="80" w:type="dxa"/>
            </w:tcMar>
          </w:tcPr>
          <w:p w14:paraId="2459635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0.974 (0.912, 1.041)</w:t>
            </w:r>
          </w:p>
        </w:tc>
      </w:tr>
      <w:tr w14:paraId="7C8D564F">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4200" w:type="dxa"/>
            <w:tcMar>
              <w:top w:w="60" w:type="dxa"/>
              <w:left w:w="80" w:type="dxa"/>
              <w:bottom w:w="60" w:type="dxa"/>
              <w:right w:w="80" w:type="dxa"/>
            </w:tcMar>
          </w:tcPr>
          <w:p w14:paraId="673624FC">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Time spline, 8 df per year</w:t>
            </w:r>
          </w:p>
        </w:tc>
        <w:tc>
          <w:tcPr>
            <w:tcW w:w="2719" w:type="dxa"/>
            <w:tcMar>
              <w:top w:w="60" w:type="dxa"/>
              <w:left w:w="80" w:type="dxa"/>
              <w:bottom w:w="60" w:type="dxa"/>
              <w:right w:w="80" w:type="dxa"/>
            </w:tcMar>
          </w:tcPr>
          <w:p w14:paraId="3F236072">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0.955 (0.909, 1.003)</w:t>
            </w:r>
          </w:p>
        </w:tc>
        <w:tc>
          <w:tcPr>
            <w:tcW w:w="2719" w:type="dxa"/>
            <w:tcMar>
              <w:top w:w="60" w:type="dxa"/>
              <w:left w:w="80" w:type="dxa"/>
              <w:bottom w:w="60" w:type="dxa"/>
              <w:right w:w="80" w:type="dxa"/>
            </w:tcMar>
          </w:tcPr>
          <w:p w14:paraId="260BDE89">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0.997 (0.931, 1.067)</w:t>
            </w:r>
          </w:p>
        </w:tc>
      </w:tr>
      <w:tr w14:paraId="7C028038">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4200" w:type="dxa"/>
            <w:tcMar>
              <w:top w:w="60" w:type="dxa"/>
              <w:left w:w="80" w:type="dxa"/>
              <w:bottom w:w="60" w:type="dxa"/>
              <w:right w:w="80" w:type="dxa"/>
            </w:tcMar>
          </w:tcPr>
          <w:p w14:paraId="60820C9C">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Event lag window 0–3 days</w:t>
            </w:r>
          </w:p>
        </w:tc>
        <w:tc>
          <w:tcPr>
            <w:tcW w:w="2719" w:type="dxa"/>
            <w:tcMar>
              <w:top w:w="60" w:type="dxa"/>
              <w:left w:w="80" w:type="dxa"/>
              <w:bottom w:w="60" w:type="dxa"/>
              <w:right w:w="80" w:type="dxa"/>
            </w:tcMar>
          </w:tcPr>
          <w:p w14:paraId="62B7F0E2">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0.972 (0.935, 1.010)</w:t>
            </w:r>
          </w:p>
        </w:tc>
        <w:tc>
          <w:tcPr>
            <w:tcW w:w="2719" w:type="dxa"/>
            <w:tcMar>
              <w:top w:w="60" w:type="dxa"/>
              <w:left w:w="80" w:type="dxa"/>
              <w:bottom w:w="60" w:type="dxa"/>
              <w:right w:w="80" w:type="dxa"/>
            </w:tcMar>
          </w:tcPr>
          <w:p w14:paraId="41C1C452">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0.974 (0.931, 1.018)</w:t>
            </w:r>
          </w:p>
        </w:tc>
      </w:tr>
      <w:tr w14:paraId="288F3A01">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4200" w:type="dxa"/>
            <w:tcMar>
              <w:top w:w="60" w:type="dxa"/>
              <w:left w:w="80" w:type="dxa"/>
              <w:bottom w:w="60" w:type="dxa"/>
              <w:right w:w="80" w:type="dxa"/>
            </w:tcMar>
          </w:tcPr>
          <w:p w14:paraId="735BA27B">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Event lag window 0–7 days (main model)</w:t>
            </w:r>
          </w:p>
        </w:tc>
        <w:tc>
          <w:tcPr>
            <w:tcW w:w="2719" w:type="dxa"/>
            <w:tcMar>
              <w:top w:w="60" w:type="dxa"/>
              <w:left w:w="80" w:type="dxa"/>
              <w:bottom w:w="60" w:type="dxa"/>
              <w:right w:w="80" w:type="dxa"/>
            </w:tcMar>
          </w:tcPr>
          <w:p w14:paraId="2078BADA">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0.953 (0.908, 0.999)</w:t>
            </w:r>
          </w:p>
        </w:tc>
        <w:tc>
          <w:tcPr>
            <w:tcW w:w="2719" w:type="dxa"/>
            <w:tcMar>
              <w:top w:w="60" w:type="dxa"/>
              <w:left w:w="80" w:type="dxa"/>
              <w:bottom w:w="60" w:type="dxa"/>
              <w:right w:w="80" w:type="dxa"/>
            </w:tcMar>
          </w:tcPr>
          <w:p w14:paraId="0D3578FB">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0.974 (0.912, 1.041)</w:t>
            </w:r>
          </w:p>
        </w:tc>
      </w:tr>
      <w:tr w14:paraId="1F48F54C">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4200" w:type="dxa"/>
            <w:tcMar>
              <w:top w:w="60" w:type="dxa"/>
              <w:left w:w="80" w:type="dxa"/>
              <w:bottom w:w="60" w:type="dxa"/>
              <w:right w:w="80" w:type="dxa"/>
            </w:tcMar>
          </w:tcPr>
          <w:p w14:paraId="0A4FC67C">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Event lag window 0–14 days</w:t>
            </w:r>
          </w:p>
        </w:tc>
        <w:tc>
          <w:tcPr>
            <w:tcW w:w="2719" w:type="dxa"/>
            <w:tcMar>
              <w:top w:w="60" w:type="dxa"/>
              <w:left w:w="80" w:type="dxa"/>
              <w:bottom w:w="60" w:type="dxa"/>
              <w:right w:w="80" w:type="dxa"/>
            </w:tcMar>
          </w:tcPr>
          <w:p w14:paraId="48418436">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0.917 (0.863, 0.974)</w:t>
            </w:r>
          </w:p>
        </w:tc>
        <w:tc>
          <w:tcPr>
            <w:tcW w:w="2719" w:type="dxa"/>
            <w:tcMar>
              <w:top w:w="60" w:type="dxa"/>
              <w:left w:w="80" w:type="dxa"/>
              <w:bottom w:w="60" w:type="dxa"/>
              <w:right w:w="80" w:type="dxa"/>
            </w:tcMar>
          </w:tcPr>
          <w:p w14:paraId="29E4F1D5">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0.951 (0.867, 1.043)</w:t>
            </w:r>
          </w:p>
        </w:tc>
      </w:tr>
      <w:tr w14:paraId="7E11097E">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4200" w:type="dxa"/>
            <w:tcMar>
              <w:top w:w="60" w:type="dxa"/>
              <w:left w:w="80" w:type="dxa"/>
              <w:bottom w:w="60" w:type="dxa"/>
              <w:right w:w="80" w:type="dxa"/>
            </w:tcMar>
          </w:tcPr>
          <w:p w14:paraId="79F88636">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Without adjustment for relative humidity</w:t>
            </w:r>
          </w:p>
        </w:tc>
        <w:tc>
          <w:tcPr>
            <w:tcW w:w="2719" w:type="dxa"/>
            <w:tcMar>
              <w:top w:w="60" w:type="dxa"/>
              <w:left w:w="80" w:type="dxa"/>
              <w:bottom w:w="60" w:type="dxa"/>
              <w:right w:w="80" w:type="dxa"/>
            </w:tcMar>
          </w:tcPr>
          <w:p w14:paraId="05DA66B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0.956 (0.911, 1.002)</w:t>
            </w:r>
          </w:p>
        </w:tc>
        <w:tc>
          <w:tcPr>
            <w:tcW w:w="2719" w:type="dxa"/>
            <w:tcMar>
              <w:top w:w="60" w:type="dxa"/>
              <w:left w:w="80" w:type="dxa"/>
              <w:bottom w:w="60" w:type="dxa"/>
              <w:right w:w="80" w:type="dxa"/>
            </w:tcMar>
          </w:tcPr>
          <w:p w14:paraId="2F9ABD70">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0.974 (0.911, 1.040)</w:t>
            </w:r>
          </w:p>
        </w:tc>
      </w:tr>
      <w:tr w14:paraId="0FE0933E">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4200" w:type="dxa"/>
            <w:tcMar>
              <w:top w:w="60" w:type="dxa"/>
              <w:left w:w="80" w:type="dxa"/>
              <w:bottom w:w="60" w:type="dxa"/>
              <w:right w:w="80" w:type="dxa"/>
            </w:tcMar>
          </w:tcPr>
          <w:p w14:paraId="71246522">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Alternative heat-wave definition</w:t>
            </w:r>
          </w:p>
        </w:tc>
        <w:tc>
          <w:tcPr>
            <w:tcW w:w="2719" w:type="dxa"/>
            <w:tcMar>
              <w:top w:w="60" w:type="dxa"/>
              <w:left w:w="80" w:type="dxa"/>
              <w:bottom w:w="60" w:type="dxa"/>
              <w:right w:w="80" w:type="dxa"/>
            </w:tcMar>
          </w:tcPr>
          <w:p w14:paraId="61082320">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Not applicable</w:t>
            </w:r>
          </w:p>
        </w:tc>
        <w:tc>
          <w:tcPr>
            <w:tcW w:w="2719" w:type="dxa"/>
            <w:tcMar>
              <w:top w:w="60" w:type="dxa"/>
              <w:left w:w="80" w:type="dxa"/>
              <w:bottom w:w="60" w:type="dxa"/>
              <w:right w:w="80" w:type="dxa"/>
            </w:tcMar>
          </w:tcPr>
          <w:p w14:paraId="0A62A7C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0.911 (0.830, 1.000)</w:t>
            </w:r>
          </w:p>
        </w:tc>
      </w:tr>
    </w:tbl>
    <w:p w14:paraId="4DE2CB0E">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sz w:val="18"/>
          <w:szCs w:val="18"/>
        </w:rPr>
        <w:t>Added RRs are cumulative over the event lag window and are estimated over and above the continuous daily mean temperature term; they are relative to non-event days. The main model uses 7 degrees of freedom per year for the time spline and a 0–7 day event lag window, so rows 2 and 5 report the same specification. Of the 15 estimates shown, three intervals excluded unity, all for cold spells and all below unity; the upper limit for the alternative heat-wave definition reached 1.000. These comparisons were not corrected for multiplicity and are reported as exploratory.</w:t>
      </w:r>
    </w:p>
    <w:p w14:paraId="5A52530C">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br w:type="page"/>
      </w:r>
    </w:p>
    <w:p w14:paraId="724E17B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Table S2  </w:t>
      </w:r>
      <w:r>
        <w:rPr>
          <w:rFonts w:ascii="Times New Roman" w:hAnsi="Times New Roman" w:eastAsia="Times New Roman" w:cs="Times New Roman"/>
          <w:sz w:val="20"/>
          <w:szCs w:val="20"/>
        </w:rPr>
        <w:t>Sensitivity of the cumulative temperature effect to the maximum lag and to pollutant adjustment (non-accidental mortality).</w:t>
      </w:r>
    </w:p>
    <w:tbl>
      <w:tblPr>
        <w:tblStyle w:val="2"/>
        <w:tblW w:w="9638" w:type="dxa"/>
        <w:tblInd w:w="0" w:type="dxa"/>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Layout w:type="autofit"/>
        <w:tblCellMar>
          <w:top w:w="0" w:type="dxa"/>
          <w:left w:w="10" w:type="dxa"/>
          <w:bottom w:w="0" w:type="dxa"/>
          <w:right w:w="10" w:type="dxa"/>
        </w:tblCellMar>
      </w:tblPr>
      <w:tblGrid>
        <w:gridCol w:w="4200"/>
        <w:gridCol w:w="2719"/>
        <w:gridCol w:w="2719"/>
      </w:tblGrid>
      <w:tr w14:paraId="63EC6260">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rPr>
          <w:tblHeader/>
        </w:trPr>
        <w:tc>
          <w:tcPr>
            <w:tcW w:w="4200" w:type="dxa"/>
            <w:tcBorders>
              <w:bottom w:val="single" w:color="000000" w:sz="8" w:space="0"/>
            </w:tcBorders>
            <w:shd w:val="clear" w:color="auto" w:fill="auto"/>
            <w:tcMar>
              <w:top w:w="60" w:type="dxa"/>
              <w:left w:w="80" w:type="dxa"/>
              <w:bottom w:w="60" w:type="dxa"/>
              <w:right w:w="80" w:type="dxa"/>
            </w:tcMar>
            <w:vAlign w:val="center"/>
          </w:tcPr>
          <w:p w14:paraId="7A83A5FC">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rPr>
                <w:rFonts w:ascii="Times New Roman" w:hAnsi="Times New Roman" w:eastAsia="Times New Roman" w:cs="Times New Roman"/>
                <w:b/>
                <w:bCs/>
                <w:sz w:val="18"/>
                <w:szCs w:val="18"/>
              </w:rPr>
            </w:pPr>
            <w:r>
              <w:rPr>
                <w:rFonts w:ascii="Times New Roman" w:hAnsi="Times New Roman" w:eastAsia="Times New Roman" w:cs="Times New Roman"/>
                <w:b/>
                <w:bCs/>
                <w:sz w:val="18"/>
                <w:szCs w:val="18"/>
              </w:rPr>
              <w:t>Specification</w:t>
            </w:r>
          </w:p>
        </w:tc>
        <w:tc>
          <w:tcPr>
            <w:tcW w:w="2719" w:type="dxa"/>
            <w:tcBorders>
              <w:bottom w:val="single" w:color="000000" w:sz="8" w:space="0"/>
            </w:tcBorders>
            <w:shd w:val="clear" w:color="auto" w:fill="auto"/>
            <w:tcMar>
              <w:top w:w="60" w:type="dxa"/>
              <w:left w:w="80" w:type="dxa"/>
              <w:bottom w:w="60" w:type="dxa"/>
              <w:right w:w="80" w:type="dxa"/>
            </w:tcMar>
            <w:vAlign w:val="center"/>
          </w:tcPr>
          <w:p w14:paraId="3BB3D39F">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rPr>
                <w:rFonts w:ascii="Times New Roman" w:hAnsi="Times New Roman" w:eastAsia="Times New Roman" w:cs="Times New Roman"/>
                <w:b/>
                <w:bCs/>
                <w:sz w:val="18"/>
                <w:szCs w:val="18"/>
              </w:rPr>
            </w:pPr>
            <w:r>
              <w:rPr>
                <w:rFonts w:ascii="Times New Roman" w:hAnsi="Times New Roman" w:eastAsia="Times New Roman" w:cs="Times New Roman"/>
                <w:b/>
                <w:bCs/>
                <w:sz w:val="18"/>
                <w:szCs w:val="18"/>
              </w:rPr>
              <w:t>Extreme cold, RR (95% CI)</w:t>
            </w:r>
          </w:p>
        </w:tc>
        <w:tc>
          <w:tcPr>
            <w:tcW w:w="2719" w:type="dxa"/>
            <w:tcBorders>
              <w:bottom w:val="single" w:color="000000" w:sz="8" w:space="0"/>
            </w:tcBorders>
            <w:shd w:val="clear" w:color="auto" w:fill="auto"/>
            <w:tcMar>
              <w:top w:w="60" w:type="dxa"/>
              <w:left w:w="80" w:type="dxa"/>
              <w:bottom w:w="60" w:type="dxa"/>
              <w:right w:w="80" w:type="dxa"/>
            </w:tcMar>
            <w:vAlign w:val="center"/>
          </w:tcPr>
          <w:p w14:paraId="17E797B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rPr>
                <w:rFonts w:ascii="Times New Roman" w:hAnsi="Times New Roman" w:eastAsia="Times New Roman" w:cs="Times New Roman"/>
                <w:b/>
                <w:bCs/>
                <w:sz w:val="18"/>
                <w:szCs w:val="18"/>
              </w:rPr>
            </w:pPr>
            <w:r>
              <w:rPr>
                <w:rFonts w:ascii="Times New Roman" w:hAnsi="Times New Roman" w:eastAsia="Times New Roman" w:cs="Times New Roman"/>
                <w:b/>
                <w:bCs/>
                <w:sz w:val="18"/>
                <w:szCs w:val="18"/>
              </w:rPr>
              <w:t>Extreme heat, RR (95% CI)</w:t>
            </w:r>
          </w:p>
        </w:tc>
      </w:tr>
      <w:tr w14:paraId="72BD0DA6">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4200" w:type="dxa"/>
            <w:tcBorders>
              <w:top w:val="single" w:color="000000" w:sz="8" w:space="0"/>
            </w:tcBorders>
            <w:tcMar>
              <w:top w:w="60" w:type="dxa"/>
              <w:left w:w="80" w:type="dxa"/>
              <w:bottom w:w="60" w:type="dxa"/>
              <w:right w:w="80" w:type="dxa"/>
            </w:tcMar>
            <w:vAlign w:val="center"/>
          </w:tcPr>
          <w:p w14:paraId="179554B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Main model (maximum lag 21 days, no pollutant)</w:t>
            </w:r>
          </w:p>
        </w:tc>
        <w:tc>
          <w:tcPr>
            <w:tcW w:w="2719" w:type="dxa"/>
            <w:tcBorders>
              <w:top w:val="single" w:color="000000" w:sz="8" w:space="0"/>
            </w:tcBorders>
            <w:tcMar>
              <w:top w:w="60" w:type="dxa"/>
              <w:left w:w="80" w:type="dxa"/>
              <w:bottom w:w="60" w:type="dxa"/>
              <w:right w:w="80" w:type="dxa"/>
            </w:tcMar>
            <w:vAlign w:val="center"/>
          </w:tcPr>
          <w:p w14:paraId="71CD7BD7">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1.355 (1.198, 1.532)</w:t>
            </w:r>
          </w:p>
        </w:tc>
        <w:tc>
          <w:tcPr>
            <w:tcW w:w="2719" w:type="dxa"/>
            <w:tcBorders>
              <w:top w:val="single" w:color="000000" w:sz="8" w:space="0"/>
            </w:tcBorders>
            <w:tcMar>
              <w:top w:w="60" w:type="dxa"/>
              <w:left w:w="80" w:type="dxa"/>
              <w:bottom w:w="60" w:type="dxa"/>
              <w:right w:w="80" w:type="dxa"/>
            </w:tcMar>
            <w:vAlign w:val="center"/>
          </w:tcPr>
          <w:p w14:paraId="2B40B69A">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1.139 (1.043, 1.244)</w:t>
            </w:r>
          </w:p>
        </w:tc>
      </w:tr>
      <w:tr w14:paraId="21CE1F1C">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4200" w:type="dxa"/>
            <w:tcMar>
              <w:top w:w="60" w:type="dxa"/>
              <w:left w:w="80" w:type="dxa"/>
              <w:bottom w:w="60" w:type="dxa"/>
              <w:right w:w="80" w:type="dxa"/>
            </w:tcMar>
            <w:vAlign w:val="center"/>
          </w:tcPr>
          <w:p w14:paraId="6398F9E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Maximum lag 14 days</w:t>
            </w:r>
          </w:p>
        </w:tc>
        <w:tc>
          <w:tcPr>
            <w:tcW w:w="2719" w:type="dxa"/>
            <w:tcMar>
              <w:top w:w="60" w:type="dxa"/>
              <w:left w:w="80" w:type="dxa"/>
              <w:bottom w:w="60" w:type="dxa"/>
              <w:right w:w="80" w:type="dxa"/>
            </w:tcMar>
            <w:vAlign w:val="center"/>
          </w:tcPr>
          <w:p w14:paraId="37D32D8A">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1.291 (1.174, 1.420)</w:t>
            </w:r>
          </w:p>
        </w:tc>
        <w:tc>
          <w:tcPr>
            <w:tcW w:w="2719" w:type="dxa"/>
            <w:tcMar>
              <w:top w:w="60" w:type="dxa"/>
              <w:left w:w="80" w:type="dxa"/>
              <w:bottom w:w="60" w:type="dxa"/>
              <w:right w:w="80" w:type="dxa"/>
            </w:tcMar>
            <w:vAlign w:val="center"/>
          </w:tcPr>
          <w:p w14:paraId="572D7A1A">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1.162 (1.078, 1.252)</w:t>
            </w:r>
          </w:p>
        </w:tc>
      </w:tr>
      <w:tr w14:paraId="3CFEF763">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4200" w:type="dxa"/>
            <w:tcMar>
              <w:top w:w="60" w:type="dxa"/>
              <w:left w:w="80" w:type="dxa"/>
              <w:bottom w:w="60" w:type="dxa"/>
              <w:right w:w="80" w:type="dxa"/>
            </w:tcMar>
            <w:vAlign w:val="center"/>
          </w:tcPr>
          <w:p w14:paraId="7B97625F">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Maximum lag 21 days</w:t>
            </w:r>
          </w:p>
        </w:tc>
        <w:tc>
          <w:tcPr>
            <w:tcW w:w="2719" w:type="dxa"/>
            <w:tcMar>
              <w:top w:w="60" w:type="dxa"/>
              <w:left w:w="80" w:type="dxa"/>
              <w:bottom w:w="60" w:type="dxa"/>
              <w:right w:w="80" w:type="dxa"/>
            </w:tcMar>
            <w:vAlign w:val="center"/>
          </w:tcPr>
          <w:p w14:paraId="4282DC52">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1.355 (1.198, 1.532)</w:t>
            </w:r>
          </w:p>
        </w:tc>
        <w:tc>
          <w:tcPr>
            <w:tcW w:w="2719" w:type="dxa"/>
            <w:tcMar>
              <w:top w:w="60" w:type="dxa"/>
              <w:left w:w="80" w:type="dxa"/>
              <w:bottom w:w="60" w:type="dxa"/>
              <w:right w:w="80" w:type="dxa"/>
            </w:tcMar>
            <w:vAlign w:val="center"/>
          </w:tcPr>
          <w:p w14:paraId="20691BEA">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1.139 (1.043, 1.244)</w:t>
            </w:r>
          </w:p>
        </w:tc>
      </w:tr>
      <w:tr w14:paraId="0F779A95">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4200" w:type="dxa"/>
            <w:tcMar>
              <w:top w:w="60" w:type="dxa"/>
              <w:left w:w="80" w:type="dxa"/>
              <w:bottom w:w="60" w:type="dxa"/>
              <w:right w:w="80" w:type="dxa"/>
            </w:tcMar>
            <w:vAlign w:val="center"/>
          </w:tcPr>
          <w:p w14:paraId="4F0AB4A5">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Maximum lag 28 days</w:t>
            </w:r>
          </w:p>
        </w:tc>
        <w:tc>
          <w:tcPr>
            <w:tcW w:w="2719" w:type="dxa"/>
            <w:tcMar>
              <w:top w:w="60" w:type="dxa"/>
              <w:left w:w="80" w:type="dxa"/>
              <w:bottom w:w="60" w:type="dxa"/>
              <w:right w:w="80" w:type="dxa"/>
            </w:tcMar>
            <w:vAlign w:val="center"/>
          </w:tcPr>
          <w:p w14:paraId="2905E076">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1.437 (1.229, 1.680)</w:t>
            </w:r>
          </w:p>
        </w:tc>
        <w:tc>
          <w:tcPr>
            <w:tcW w:w="2719" w:type="dxa"/>
            <w:tcMar>
              <w:top w:w="60" w:type="dxa"/>
              <w:left w:w="80" w:type="dxa"/>
              <w:bottom w:w="60" w:type="dxa"/>
              <w:right w:w="80" w:type="dxa"/>
            </w:tcMar>
            <w:vAlign w:val="center"/>
          </w:tcPr>
          <w:p w14:paraId="774A6A8A">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1.162 (1.051, 1.284)</w:t>
            </w:r>
          </w:p>
        </w:tc>
      </w:tr>
      <w:tr w14:paraId="5063516E">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4200" w:type="dxa"/>
            <w:tcMar>
              <w:top w:w="60" w:type="dxa"/>
              <w:left w:w="80" w:type="dxa"/>
              <w:bottom w:w="60" w:type="dxa"/>
              <w:right w:w="80" w:type="dxa"/>
            </w:tcMar>
            <w:vAlign w:val="center"/>
          </w:tcPr>
          <w:p w14:paraId="27ED626B">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Main model plus PM</w:t>
            </w:r>
            <w:r>
              <w:rPr>
                <w:rFonts w:ascii="Times New Roman" w:hAnsi="Times New Roman" w:eastAsia="Times New Roman" w:cs="Times New Roman"/>
                <w:b w:val="0"/>
                <w:bCs w:val="0"/>
                <w:sz w:val="18"/>
                <w:szCs w:val="18"/>
                <w:vertAlign w:val="subscript"/>
              </w:rPr>
              <w:t>2.5</w:t>
            </w:r>
          </w:p>
        </w:tc>
        <w:tc>
          <w:tcPr>
            <w:tcW w:w="2719" w:type="dxa"/>
            <w:tcMar>
              <w:top w:w="60" w:type="dxa"/>
              <w:left w:w="80" w:type="dxa"/>
              <w:bottom w:w="60" w:type="dxa"/>
              <w:right w:w="80" w:type="dxa"/>
            </w:tcMar>
            <w:vAlign w:val="center"/>
          </w:tcPr>
          <w:p w14:paraId="672E27A7">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1.368 (1.209, 1.547)</w:t>
            </w:r>
          </w:p>
        </w:tc>
        <w:tc>
          <w:tcPr>
            <w:tcW w:w="2719" w:type="dxa"/>
            <w:tcMar>
              <w:top w:w="60" w:type="dxa"/>
              <w:left w:w="80" w:type="dxa"/>
              <w:bottom w:w="60" w:type="dxa"/>
              <w:right w:w="80" w:type="dxa"/>
            </w:tcMar>
            <w:vAlign w:val="center"/>
          </w:tcPr>
          <w:p w14:paraId="74B8D466">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1.141 (1.045, 1.247)</w:t>
            </w:r>
          </w:p>
        </w:tc>
      </w:tr>
      <w:tr w14:paraId="70DBA922">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4200" w:type="dxa"/>
            <w:tcMar>
              <w:top w:w="60" w:type="dxa"/>
              <w:left w:w="80" w:type="dxa"/>
              <w:bottom w:w="60" w:type="dxa"/>
              <w:right w:w="80" w:type="dxa"/>
            </w:tcMar>
            <w:vAlign w:val="center"/>
          </w:tcPr>
          <w:p w14:paraId="3367AE86">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Main model plus O</w:t>
            </w:r>
            <w:r>
              <w:rPr>
                <w:rFonts w:ascii="Times New Roman" w:hAnsi="Times New Roman" w:eastAsia="Times New Roman" w:cs="Times New Roman"/>
                <w:b w:val="0"/>
                <w:bCs w:val="0"/>
                <w:sz w:val="18"/>
                <w:szCs w:val="18"/>
                <w:vertAlign w:val="subscript"/>
              </w:rPr>
              <w:t>3</w:t>
            </w:r>
          </w:p>
        </w:tc>
        <w:tc>
          <w:tcPr>
            <w:tcW w:w="2719" w:type="dxa"/>
            <w:tcMar>
              <w:top w:w="60" w:type="dxa"/>
              <w:left w:w="80" w:type="dxa"/>
              <w:bottom w:w="60" w:type="dxa"/>
              <w:right w:w="80" w:type="dxa"/>
            </w:tcMar>
            <w:vAlign w:val="center"/>
          </w:tcPr>
          <w:p w14:paraId="7F907F64">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1.363 (1.205, 1.542)</w:t>
            </w:r>
          </w:p>
        </w:tc>
        <w:tc>
          <w:tcPr>
            <w:tcW w:w="2719" w:type="dxa"/>
            <w:tcMar>
              <w:top w:w="60" w:type="dxa"/>
              <w:left w:w="80" w:type="dxa"/>
              <w:bottom w:w="60" w:type="dxa"/>
              <w:right w:w="80" w:type="dxa"/>
            </w:tcMar>
            <w:vAlign w:val="center"/>
          </w:tcPr>
          <w:p w14:paraId="106BDBB3">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1.149 (1.051, 1.256)</w:t>
            </w:r>
          </w:p>
        </w:tc>
      </w:tr>
      <w:tr w14:paraId="50EFE27E">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4200" w:type="dxa"/>
            <w:tcMar>
              <w:top w:w="60" w:type="dxa"/>
              <w:left w:w="80" w:type="dxa"/>
              <w:bottom w:w="60" w:type="dxa"/>
              <w:right w:w="80" w:type="dxa"/>
            </w:tcMar>
            <w:vAlign w:val="center"/>
          </w:tcPr>
          <w:p w14:paraId="2FF3622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Main model plus NO</w:t>
            </w:r>
            <w:r>
              <w:rPr>
                <w:rFonts w:ascii="Times New Roman" w:hAnsi="Times New Roman" w:eastAsia="Times New Roman" w:cs="Times New Roman"/>
                <w:b w:val="0"/>
                <w:bCs w:val="0"/>
                <w:sz w:val="18"/>
                <w:szCs w:val="18"/>
                <w:vertAlign w:val="subscript"/>
              </w:rPr>
              <w:t>2</w:t>
            </w:r>
          </w:p>
        </w:tc>
        <w:tc>
          <w:tcPr>
            <w:tcW w:w="2719" w:type="dxa"/>
            <w:tcMar>
              <w:top w:w="60" w:type="dxa"/>
              <w:left w:w="80" w:type="dxa"/>
              <w:bottom w:w="60" w:type="dxa"/>
              <w:right w:w="80" w:type="dxa"/>
            </w:tcMar>
            <w:vAlign w:val="center"/>
          </w:tcPr>
          <w:p w14:paraId="4AD0D1BE">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1.372 (1.212, 1.553)</w:t>
            </w:r>
          </w:p>
        </w:tc>
        <w:tc>
          <w:tcPr>
            <w:tcW w:w="2719" w:type="dxa"/>
            <w:tcMar>
              <w:top w:w="60" w:type="dxa"/>
              <w:left w:w="80" w:type="dxa"/>
              <w:bottom w:w="60" w:type="dxa"/>
              <w:right w:w="80" w:type="dxa"/>
            </w:tcMar>
            <w:vAlign w:val="center"/>
          </w:tcPr>
          <w:p w14:paraId="28593E46">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1.141 (1.045, 1.247)</w:t>
            </w:r>
          </w:p>
        </w:tc>
      </w:tr>
    </w:tbl>
    <w:p w14:paraId="345B1614">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sz w:val="18"/>
          <w:szCs w:val="18"/>
        </w:rPr>
        <w:t>RRs are cumulative over the stated maximum lag and are referenced to the minimum mortality temperature. Rows 1 and 3 report the same specification. Pollutants were entered one at a time as a natural cubic spline; O</w:t>
      </w:r>
      <w:r>
        <w:rPr>
          <w:rFonts w:ascii="Times New Roman" w:hAnsi="Times New Roman" w:eastAsia="Times New Roman" w:cs="Times New Roman"/>
          <w:sz w:val="18"/>
          <w:szCs w:val="18"/>
          <w:vertAlign w:val="subscript"/>
        </w:rPr>
        <w:t>3</w:t>
      </w:r>
      <w:r>
        <w:rPr>
          <w:rFonts w:ascii="Times New Roman" w:hAnsi="Times New Roman" w:eastAsia="Times New Roman" w:cs="Times New Roman"/>
          <w:sz w:val="18"/>
          <w:szCs w:val="18"/>
        </w:rPr>
        <w:t xml:space="preserve"> was expressed as the maximum daily 8 h average.</w:t>
      </w:r>
    </w:p>
    <w:p w14:paraId="6B160709">
      <w:pPr>
        <w:keepNext w:val="0"/>
        <w:keepLines w:val="0"/>
        <w:pageBreakBefore w:val="0"/>
        <w:widowControl w:val="0"/>
        <w:kinsoku/>
        <w:wordWrap/>
        <w:overflowPunct/>
        <w:topLinePunct w:val="0"/>
        <w:autoSpaceDE/>
        <w:autoSpaceDN/>
        <w:bidi w:val="0"/>
        <w:adjustRightInd/>
        <w:snapToGrid/>
        <w:spacing w:line="360" w:lineRule="auto"/>
        <w:jc w:val="center"/>
        <w:textAlignment w:val="auto"/>
      </w:pPr>
    </w:p>
    <w:p w14:paraId="4B85C79A">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Table S3  </w:t>
      </w:r>
      <w:r>
        <w:rPr>
          <w:rFonts w:ascii="Times New Roman" w:hAnsi="Times New Roman" w:eastAsia="Times New Roman" w:cs="Times New Roman"/>
          <w:sz w:val="20"/>
          <w:szCs w:val="20"/>
        </w:rPr>
        <w:t>Temperature-attributable fractions under alternative reference temperatures (non-accidental mortality).</w:t>
      </w:r>
    </w:p>
    <w:tbl>
      <w:tblPr>
        <w:tblStyle w:val="2"/>
        <w:tblW w:w="9638" w:type="dxa"/>
        <w:tblInd w:w="0" w:type="dxa"/>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Layout w:type="autofit"/>
        <w:tblCellMar>
          <w:top w:w="0" w:type="dxa"/>
          <w:left w:w="10" w:type="dxa"/>
          <w:bottom w:w="0" w:type="dxa"/>
          <w:right w:w="10" w:type="dxa"/>
        </w:tblCellMar>
      </w:tblPr>
      <w:tblGrid>
        <w:gridCol w:w="3000"/>
        <w:gridCol w:w="1390"/>
        <w:gridCol w:w="2131"/>
        <w:gridCol w:w="2038"/>
        <w:gridCol w:w="1079"/>
      </w:tblGrid>
      <w:tr w14:paraId="342BD886">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rPr>
          <w:tblHeader/>
        </w:trPr>
        <w:tc>
          <w:tcPr>
            <w:tcW w:w="3000" w:type="dxa"/>
            <w:tcBorders>
              <w:bottom w:val="single" w:color="000000" w:sz="8" w:space="0"/>
            </w:tcBorders>
            <w:shd w:val="clear" w:color="auto" w:fill="auto"/>
            <w:tcMar>
              <w:top w:w="60" w:type="dxa"/>
              <w:left w:w="80" w:type="dxa"/>
              <w:bottom w:w="60" w:type="dxa"/>
              <w:right w:w="80" w:type="dxa"/>
            </w:tcMar>
            <w:vAlign w:val="center"/>
          </w:tcPr>
          <w:p w14:paraId="64632DEF">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rPr>
                <w:rFonts w:ascii="Times New Roman" w:hAnsi="Times New Roman" w:eastAsia="Times New Roman" w:cs="Times New Roman"/>
                <w:b/>
                <w:bCs/>
                <w:sz w:val="18"/>
                <w:szCs w:val="18"/>
              </w:rPr>
            </w:pPr>
            <w:r>
              <w:rPr>
                <w:rFonts w:ascii="Times New Roman" w:hAnsi="Times New Roman" w:eastAsia="Times New Roman" w:cs="Times New Roman"/>
                <w:b/>
                <w:bCs/>
                <w:sz w:val="18"/>
                <w:szCs w:val="18"/>
              </w:rPr>
              <w:t>Reference temperature</w:t>
            </w:r>
          </w:p>
        </w:tc>
        <w:tc>
          <w:tcPr>
            <w:tcW w:w="1390" w:type="dxa"/>
            <w:tcBorders>
              <w:bottom w:val="single" w:color="000000" w:sz="8" w:space="0"/>
            </w:tcBorders>
            <w:shd w:val="clear" w:color="auto" w:fill="auto"/>
            <w:tcMar>
              <w:top w:w="60" w:type="dxa"/>
              <w:left w:w="80" w:type="dxa"/>
              <w:bottom w:w="60" w:type="dxa"/>
              <w:right w:w="80" w:type="dxa"/>
            </w:tcMar>
            <w:vAlign w:val="center"/>
          </w:tcPr>
          <w:p w14:paraId="1C058D19">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rPr>
                <w:rFonts w:ascii="Times New Roman" w:hAnsi="Times New Roman" w:eastAsia="Times New Roman" w:cs="Times New Roman"/>
                <w:b/>
                <w:bCs/>
                <w:sz w:val="18"/>
                <w:szCs w:val="18"/>
              </w:rPr>
            </w:pPr>
            <w:r>
              <w:rPr>
                <w:rFonts w:ascii="Times New Roman" w:hAnsi="Times New Roman" w:eastAsia="Times New Roman" w:cs="Times New Roman"/>
                <w:b/>
                <w:bCs/>
                <w:sz w:val="18"/>
                <w:szCs w:val="18"/>
              </w:rPr>
              <w:t>°C (percentile)</w:t>
            </w:r>
          </w:p>
        </w:tc>
        <w:tc>
          <w:tcPr>
            <w:tcW w:w="2131" w:type="dxa"/>
            <w:tcBorders>
              <w:bottom w:val="single" w:color="000000" w:sz="8" w:space="0"/>
            </w:tcBorders>
            <w:shd w:val="clear" w:color="auto" w:fill="auto"/>
            <w:tcMar>
              <w:top w:w="60" w:type="dxa"/>
              <w:left w:w="80" w:type="dxa"/>
              <w:bottom w:w="60" w:type="dxa"/>
              <w:right w:w="80" w:type="dxa"/>
            </w:tcMar>
            <w:vAlign w:val="center"/>
          </w:tcPr>
          <w:p w14:paraId="04A3492F">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rPr>
                <w:rFonts w:ascii="Times New Roman" w:hAnsi="Times New Roman" w:eastAsia="Times New Roman" w:cs="Times New Roman"/>
                <w:b/>
                <w:bCs/>
                <w:sz w:val="18"/>
                <w:szCs w:val="18"/>
              </w:rPr>
            </w:pPr>
            <w:r>
              <w:rPr>
                <w:rFonts w:ascii="Times New Roman" w:hAnsi="Times New Roman" w:eastAsia="Times New Roman" w:cs="Times New Roman"/>
                <w:b/>
                <w:bCs/>
                <w:sz w:val="18"/>
                <w:szCs w:val="18"/>
              </w:rPr>
              <w:t>Cold AF, % (95% CI)</w:t>
            </w:r>
          </w:p>
        </w:tc>
        <w:tc>
          <w:tcPr>
            <w:tcW w:w="2038" w:type="dxa"/>
            <w:tcBorders>
              <w:bottom w:val="single" w:color="000000" w:sz="8" w:space="0"/>
            </w:tcBorders>
            <w:shd w:val="clear" w:color="auto" w:fill="auto"/>
            <w:tcMar>
              <w:top w:w="60" w:type="dxa"/>
              <w:left w:w="80" w:type="dxa"/>
              <w:bottom w:w="60" w:type="dxa"/>
              <w:right w:w="80" w:type="dxa"/>
            </w:tcMar>
            <w:vAlign w:val="center"/>
          </w:tcPr>
          <w:p w14:paraId="6F44FFF9">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rPr>
                <w:rFonts w:ascii="Times New Roman" w:hAnsi="Times New Roman" w:eastAsia="Times New Roman" w:cs="Times New Roman"/>
                <w:b/>
                <w:bCs/>
                <w:sz w:val="18"/>
                <w:szCs w:val="18"/>
              </w:rPr>
            </w:pPr>
            <w:r>
              <w:rPr>
                <w:rFonts w:ascii="Times New Roman" w:hAnsi="Times New Roman" w:eastAsia="Times New Roman" w:cs="Times New Roman"/>
                <w:b/>
                <w:bCs/>
                <w:sz w:val="18"/>
                <w:szCs w:val="18"/>
              </w:rPr>
              <w:t>Heat AF, % (95% CI)</w:t>
            </w:r>
          </w:p>
        </w:tc>
        <w:tc>
          <w:tcPr>
            <w:tcW w:w="1079" w:type="dxa"/>
            <w:tcBorders>
              <w:bottom w:val="single" w:color="000000" w:sz="8" w:space="0"/>
            </w:tcBorders>
            <w:shd w:val="clear" w:color="auto" w:fill="auto"/>
            <w:tcMar>
              <w:top w:w="60" w:type="dxa"/>
              <w:left w:w="80" w:type="dxa"/>
              <w:bottom w:w="60" w:type="dxa"/>
              <w:right w:w="80" w:type="dxa"/>
            </w:tcMar>
            <w:vAlign w:val="center"/>
          </w:tcPr>
          <w:p w14:paraId="4E305504">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rPr>
                <w:rFonts w:ascii="Times New Roman" w:hAnsi="Times New Roman" w:eastAsia="Times New Roman" w:cs="Times New Roman"/>
                <w:b/>
                <w:bCs/>
                <w:sz w:val="18"/>
                <w:szCs w:val="18"/>
              </w:rPr>
            </w:pPr>
            <w:r>
              <w:rPr>
                <w:rFonts w:ascii="Times New Roman" w:hAnsi="Times New Roman" w:eastAsia="Times New Roman" w:cs="Times New Roman"/>
                <w:b/>
                <w:bCs/>
                <w:sz w:val="18"/>
                <w:szCs w:val="18"/>
              </w:rPr>
              <w:t>Cold : heat</w:t>
            </w:r>
          </w:p>
        </w:tc>
      </w:tr>
      <w:tr w14:paraId="7FFE0218">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3000" w:type="dxa"/>
            <w:tcBorders>
              <w:top w:val="single" w:color="000000" w:sz="8" w:space="0"/>
            </w:tcBorders>
            <w:tcMar>
              <w:top w:w="60" w:type="dxa"/>
              <w:left w:w="80" w:type="dxa"/>
              <w:bottom w:w="60" w:type="dxa"/>
              <w:right w:w="80" w:type="dxa"/>
            </w:tcMar>
            <w:vAlign w:val="center"/>
          </w:tcPr>
          <w:p w14:paraId="183AAC2F">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Lower limit of the MMT empirical CI</w:t>
            </w:r>
          </w:p>
        </w:tc>
        <w:tc>
          <w:tcPr>
            <w:tcW w:w="1390" w:type="dxa"/>
            <w:tcBorders>
              <w:top w:val="single" w:color="000000" w:sz="8" w:space="0"/>
            </w:tcBorders>
            <w:tcMar>
              <w:top w:w="60" w:type="dxa"/>
              <w:left w:w="80" w:type="dxa"/>
              <w:bottom w:w="60" w:type="dxa"/>
              <w:right w:w="80" w:type="dxa"/>
            </w:tcMar>
            <w:vAlign w:val="center"/>
          </w:tcPr>
          <w:p w14:paraId="0AC3B337">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10.4 (26.2)</w:t>
            </w:r>
          </w:p>
        </w:tc>
        <w:tc>
          <w:tcPr>
            <w:tcW w:w="2131" w:type="dxa"/>
            <w:tcBorders>
              <w:top w:val="single" w:color="000000" w:sz="8" w:space="0"/>
            </w:tcBorders>
            <w:tcMar>
              <w:top w:w="60" w:type="dxa"/>
              <w:left w:w="80" w:type="dxa"/>
              <w:bottom w:w="60" w:type="dxa"/>
              <w:right w:w="80" w:type="dxa"/>
            </w:tcMar>
            <w:vAlign w:val="center"/>
          </w:tcPr>
          <w:p w14:paraId="52290616">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2.64 (1.92, 3.35)</w:t>
            </w:r>
          </w:p>
        </w:tc>
        <w:tc>
          <w:tcPr>
            <w:tcW w:w="2038" w:type="dxa"/>
            <w:tcBorders>
              <w:top w:val="single" w:color="000000" w:sz="8" w:space="0"/>
            </w:tcBorders>
            <w:tcMar>
              <w:top w:w="60" w:type="dxa"/>
              <w:left w:w="80" w:type="dxa"/>
              <w:bottom w:w="60" w:type="dxa"/>
              <w:right w:w="80" w:type="dxa"/>
            </w:tcMar>
            <w:vAlign w:val="center"/>
          </w:tcPr>
          <w:p w14:paraId="3C11BC53">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0.52 (−4.28, 4.75)</w:t>
            </w:r>
          </w:p>
        </w:tc>
        <w:tc>
          <w:tcPr>
            <w:tcW w:w="1079" w:type="dxa"/>
            <w:tcBorders>
              <w:top w:val="single" w:color="000000" w:sz="8" w:space="0"/>
            </w:tcBorders>
            <w:tcMar>
              <w:top w:w="60" w:type="dxa"/>
              <w:left w:w="80" w:type="dxa"/>
              <w:bottom w:w="60" w:type="dxa"/>
              <w:right w:w="80" w:type="dxa"/>
            </w:tcMar>
            <w:vAlign w:val="center"/>
          </w:tcPr>
          <w:p w14:paraId="750DDC70">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5.1 : 1</w:t>
            </w:r>
          </w:p>
        </w:tc>
      </w:tr>
      <w:tr w14:paraId="379F1625">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3000" w:type="dxa"/>
            <w:tcMar>
              <w:top w:w="60" w:type="dxa"/>
              <w:left w:w="80" w:type="dxa"/>
              <w:bottom w:w="60" w:type="dxa"/>
              <w:right w:w="80" w:type="dxa"/>
            </w:tcMar>
            <w:vAlign w:val="center"/>
          </w:tcPr>
          <w:p w14:paraId="63556793">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MMT point estimate (main analysis)</w:t>
            </w:r>
          </w:p>
        </w:tc>
        <w:tc>
          <w:tcPr>
            <w:tcW w:w="1390" w:type="dxa"/>
            <w:tcMar>
              <w:top w:w="60" w:type="dxa"/>
              <w:left w:w="80" w:type="dxa"/>
              <w:bottom w:w="60" w:type="dxa"/>
              <w:right w:w="80" w:type="dxa"/>
            </w:tcMar>
            <w:vAlign w:val="center"/>
          </w:tcPr>
          <w:p w14:paraId="520C3463">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28.0 (85.7)</w:t>
            </w:r>
          </w:p>
        </w:tc>
        <w:tc>
          <w:tcPr>
            <w:tcW w:w="2131" w:type="dxa"/>
            <w:tcMar>
              <w:top w:w="60" w:type="dxa"/>
              <w:left w:w="80" w:type="dxa"/>
              <w:bottom w:w="60" w:type="dxa"/>
              <w:right w:w="80" w:type="dxa"/>
            </w:tcMar>
            <w:vAlign w:val="center"/>
          </w:tcPr>
          <w:p w14:paraId="4EB64D90">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7.70 (1.31, 13.36)</w:t>
            </w:r>
          </w:p>
        </w:tc>
        <w:tc>
          <w:tcPr>
            <w:tcW w:w="2038" w:type="dxa"/>
            <w:tcMar>
              <w:top w:w="60" w:type="dxa"/>
              <w:left w:w="80" w:type="dxa"/>
              <w:bottom w:w="60" w:type="dxa"/>
              <w:right w:w="80" w:type="dxa"/>
            </w:tcMar>
            <w:vAlign w:val="center"/>
          </w:tcPr>
          <w:p w14:paraId="14D021DC">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0.85 (0.24, 1.42)</w:t>
            </w:r>
          </w:p>
        </w:tc>
        <w:tc>
          <w:tcPr>
            <w:tcW w:w="1079" w:type="dxa"/>
            <w:tcMar>
              <w:top w:w="60" w:type="dxa"/>
              <w:left w:w="80" w:type="dxa"/>
              <w:bottom w:w="60" w:type="dxa"/>
              <w:right w:w="80" w:type="dxa"/>
            </w:tcMar>
            <w:vAlign w:val="center"/>
          </w:tcPr>
          <w:p w14:paraId="3C7EA9AB">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9.1 : 1</w:t>
            </w:r>
          </w:p>
        </w:tc>
      </w:tr>
      <w:tr w14:paraId="1D755884">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c>
          <w:tcPr>
            <w:tcW w:w="3000" w:type="dxa"/>
            <w:tcMar>
              <w:top w:w="60" w:type="dxa"/>
              <w:left w:w="80" w:type="dxa"/>
              <w:bottom w:w="60" w:type="dxa"/>
              <w:right w:w="80" w:type="dxa"/>
            </w:tcMar>
            <w:vAlign w:val="center"/>
          </w:tcPr>
          <w:p w14:paraId="18360897">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Upper limit of the MMT empirical CI</w:t>
            </w:r>
          </w:p>
        </w:tc>
        <w:tc>
          <w:tcPr>
            <w:tcW w:w="1390" w:type="dxa"/>
            <w:tcMar>
              <w:top w:w="60" w:type="dxa"/>
              <w:left w:w="80" w:type="dxa"/>
              <w:bottom w:w="60" w:type="dxa"/>
              <w:right w:w="80" w:type="dxa"/>
            </w:tcMar>
            <w:vAlign w:val="center"/>
          </w:tcPr>
          <w:p w14:paraId="68D44429">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28.7 (88.2)</w:t>
            </w:r>
          </w:p>
        </w:tc>
        <w:tc>
          <w:tcPr>
            <w:tcW w:w="2131" w:type="dxa"/>
            <w:tcMar>
              <w:top w:w="60" w:type="dxa"/>
              <w:left w:w="80" w:type="dxa"/>
              <w:bottom w:w="60" w:type="dxa"/>
              <w:right w:w="80" w:type="dxa"/>
            </w:tcMar>
            <w:vAlign w:val="center"/>
          </w:tcPr>
          <w:p w14:paraId="4719A60E">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7.24 (0.65, 13.05)</w:t>
            </w:r>
          </w:p>
        </w:tc>
        <w:tc>
          <w:tcPr>
            <w:tcW w:w="2038" w:type="dxa"/>
            <w:tcMar>
              <w:top w:w="60" w:type="dxa"/>
              <w:left w:w="80" w:type="dxa"/>
              <w:bottom w:w="60" w:type="dxa"/>
              <w:right w:w="80" w:type="dxa"/>
            </w:tcMar>
            <w:vAlign w:val="center"/>
          </w:tcPr>
          <w:p w14:paraId="425122E3">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0.79 (0.28, 1.27)</w:t>
            </w:r>
          </w:p>
        </w:tc>
        <w:tc>
          <w:tcPr>
            <w:tcW w:w="1079" w:type="dxa"/>
            <w:tcMar>
              <w:top w:w="60" w:type="dxa"/>
              <w:left w:w="80" w:type="dxa"/>
              <w:bottom w:w="60" w:type="dxa"/>
              <w:right w:w="80" w:type="dxa"/>
            </w:tcMar>
            <w:vAlign w:val="center"/>
          </w:tcPr>
          <w:p w14:paraId="2E393B57">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9.2 : 1</w:t>
            </w:r>
          </w:p>
        </w:tc>
      </w:tr>
    </w:tbl>
    <w:p w14:paraId="23E9EB9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sz w:val="18"/>
          <w:szCs w:val="18"/>
        </w:rPr>
        <w:t>The empirical 95% CI for the MMT was obtained by Monte Carlo simulation (5,000 draws) from the reduced overall-cumulative coefficients, searching within the 1st–99th percentiles of daily mean temperature. Attributable fractions were computed by the method of Gasparrini and Leone with 5,000 simulations. The cold burden exceeded the heat burden under all three reference temperatures.</w:t>
      </w:r>
    </w:p>
    <w:p w14:paraId="7E8245B8">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br w:type="page"/>
      </w:r>
    </w:p>
    <w:p w14:paraId="1FE0A9CD">
      <w:pPr>
        <w:keepNext w:val="0"/>
        <w:keepLines w:val="0"/>
        <w:pageBreakBefore w:val="0"/>
        <w:widowControl w:val="0"/>
        <w:kinsoku/>
        <w:wordWrap/>
        <w:overflowPunct/>
        <w:topLinePunct w:val="0"/>
        <w:autoSpaceDE/>
        <w:autoSpaceDN/>
        <w:bidi w:val="0"/>
        <w:adjustRightInd/>
        <w:snapToGrid/>
        <w:spacing w:line="360" w:lineRule="auto"/>
        <w:jc w:val="center"/>
        <w:textAlignment w:val="auto"/>
        <w:sectPr>
          <w:footerReference r:id="rId3" w:type="default"/>
          <w:pgSz w:w="11906" w:h="16838"/>
          <w:pgMar w:top="1134" w:right="1134" w:bottom="1134" w:left="1134" w:header="708" w:footer="708" w:gutter="0"/>
          <w:pgBorders>
            <w:top w:val="none" w:sz="0" w:space="0"/>
            <w:left w:val="none" w:sz="0" w:space="0"/>
            <w:bottom w:val="none" w:sz="0" w:space="0"/>
            <w:right w:val="none" w:sz="0" w:space="0"/>
          </w:pgBorders>
          <w:cols w:space="720" w:num="1"/>
          <w:docGrid w:linePitch="360" w:charSpace="0"/>
        </w:sectPr>
      </w:pPr>
    </w:p>
    <w:p w14:paraId="47C04AC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Table S4  </w:t>
      </w:r>
      <w:r>
        <w:rPr>
          <w:rFonts w:ascii="Times New Roman" w:hAnsi="Times New Roman" w:eastAsia="Times New Roman" w:cs="Times New Roman"/>
          <w:sz w:val="20"/>
          <w:szCs w:val="20"/>
        </w:rPr>
        <w:t>Sensitivity of the temperature–mortality association to the placement of the internal knots of the temperature spline (non-accidental mortality).</w:t>
      </w:r>
    </w:p>
    <w:tbl>
      <w:tblPr>
        <w:tblStyle w:val="2"/>
        <w:tblW w:w="14388" w:type="dxa"/>
        <w:jc w:val="center"/>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Layout w:type="autofit"/>
        <w:tblCellMar>
          <w:top w:w="0" w:type="dxa"/>
          <w:left w:w="10" w:type="dxa"/>
          <w:bottom w:w="0" w:type="dxa"/>
          <w:right w:w="10" w:type="dxa"/>
        </w:tblCellMar>
      </w:tblPr>
      <w:tblGrid>
        <w:gridCol w:w="3000"/>
        <w:gridCol w:w="1350"/>
        <w:gridCol w:w="900"/>
        <w:gridCol w:w="900"/>
        <w:gridCol w:w="900"/>
        <w:gridCol w:w="1050"/>
        <w:gridCol w:w="1050"/>
        <w:gridCol w:w="2050"/>
        <w:gridCol w:w="2050"/>
        <w:gridCol w:w="1138"/>
      </w:tblGrid>
      <w:tr w14:paraId="2BFA43C9">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rPr>
          <w:tblHeader/>
          <w:jc w:val="center"/>
        </w:trPr>
        <w:tc>
          <w:tcPr>
            <w:tcW w:w="3000" w:type="dxa"/>
            <w:tcBorders>
              <w:bottom w:val="single" w:color="000000" w:sz="8" w:space="0"/>
            </w:tcBorders>
            <w:shd w:val="clear" w:color="auto" w:fill="auto"/>
            <w:tcMar>
              <w:top w:w="60" w:type="dxa"/>
              <w:left w:w="80" w:type="dxa"/>
              <w:bottom w:w="60" w:type="dxa"/>
              <w:right w:w="80" w:type="dxa"/>
            </w:tcMar>
            <w:vAlign w:val="center"/>
          </w:tcPr>
          <w:p w14:paraId="79B113AE">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Internal knot placement</w:t>
            </w:r>
          </w:p>
        </w:tc>
        <w:tc>
          <w:tcPr>
            <w:tcW w:w="1350" w:type="dxa"/>
            <w:tcBorders>
              <w:bottom w:val="single" w:color="000000" w:sz="8" w:space="0"/>
            </w:tcBorders>
            <w:shd w:val="clear" w:color="auto" w:fill="auto"/>
            <w:tcMar>
              <w:top w:w="60" w:type="dxa"/>
              <w:left w:w="80" w:type="dxa"/>
              <w:bottom w:w="60" w:type="dxa"/>
              <w:right w:w="80" w:type="dxa"/>
            </w:tcMar>
            <w:vAlign w:val="center"/>
          </w:tcPr>
          <w:p w14:paraId="6C09435A">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MMT, °C (percentile)</w:t>
            </w:r>
          </w:p>
        </w:tc>
        <w:tc>
          <w:tcPr>
            <w:tcW w:w="900" w:type="dxa"/>
            <w:tcBorders>
              <w:bottom w:val="single" w:color="000000" w:sz="8" w:space="0"/>
            </w:tcBorders>
            <w:shd w:val="clear" w:color="auto" w:fill="auto"/>
            <w:tcMar>
              <w:top w:w="60" w:type="dxa"/>
              <w:left w:w="80" w:type="dxa"/>
              <w:bottom w:w="60" w:type="dxa"/>
              <w:right w:w="80" w:type="dxa"/>
            </w:tcMar>
            <w:vAlign w:val="center"/>
          </w:tcPr>
          <w:p w14:paraId="675B7B84">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RR at 18 °C</w:t>
            </w:r>
          </w:p>
        </w:tc>
        <w:tc>
          <w:tcPr>
            <w:tcW w:w="900" w:type="dxa"/>
            <w:tcBorders>
              <w:bottom w:val="single" w:color="000000" w:sz="8" w:space="0"/>
            </w:tcBorders>
            <w:shd w:val="clear" w:color="auto" w:fill="auto"/>
            <w:tcMar>
              <w:top w:w="60" w:type="dxa"/>
              <w:left w:w="80" w:type="dxa"/>
              <w:bottom w:w="60" w:type="dxa"/>
              <w:right w:w="80" w:type="dxa"/>
            </w:tcMar>
            <w:vAlign w:val="center"/>
          </w:tcPr>
          <w:p w14:paraId="3BF3C62C">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RR at 20 °C</w:t>
            </w:r>
          </w:p>
        </w:tc>
        <w:tc>
          <w:tcPr>
            <w:tcW w:w="900" w:type="dxa"/>
            <w:tcBorders>
              <w:bottom w:val="single" w:color="000000" w:sz="8" w:space="0"/>
            </w:tcBorders>
            <w:shd w:val="clear" w:color="auto" w:fill="auto"/>
            <w:tcMar>
              <w:top w:w="60" w:type="dxa"/>
              <w:left w:w="80" w:type="dxa"/>
              <w:bottom w:w="60" w:type="dxa"/>
              <w:right w:w="80" w:type="dxa"/>
            </w:tcMar>
            <w:vAlign w:val="center"/>
          </w:tcPr>
          <w:p w14:paraId="7FF62DA2">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RR at 22 °C</w:t>
            </w:r>
          </w:p>
        </w:tc>
        <w:tc>
          <w:tcPr>
            <w:tcW w:w="1050" w:type="dxa"/>
            <w:tcBorders>
              <w:bottom w:val="single" w:color="000000" w:sz="8" w:space="0"/>
            </w:tcBorders>
            <w:shd w:val="clear" w:color="auto" w:fill="auto"/>
            <w:tcMar>
              <w:top w:w="60" w:type="dxa"/>
              <w:left w:w="80" w:type="dxa"/>
              <w:bottom w:w="60" w:type="dxa"/>
              <w:right w:w="80" w:type="dxa"/>
            </w:tcMar>
            <w:vAlign w:val="center"/>
          </w:tcPr>
          <w:p w14:paraId="3B1F62C5">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Extreme cold, RR</w:t>
            </w:r>
          </w:p>
        </w:tc>
        <w:tc>
          <w:tcPr>
            <w:tcW w:w="1050" w:type="dxa"/>
            <w:tcBorders>
              <w:bottom w:val="single" w:color="000000" w:sz="8" w:space="0"/>
            </w:tcBorders>
            <w:shd w:val="clear" w:color="auto" w:fill="auto"/>
            <w:tcMar>
              <w:top w:w="60" w:type="dxa"/>
              <w:left w:w="80" w:type="dxa"/>
              <w:bottom w:w="60" w:type="dxa"/>
              <w:right w:w="80" w:type="dxa"/>
            </w:tcMar>
            <w:vAlign w:val="center"/>
          </w:tcPr>
          <w:p w14:paraId="0E534BF0">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Extreme heat, RR</w:t>
            </w:r>
          </w:p>
        </w:tc>
        <w:tc>
          <w:tcPr>
            <w:tcW w:w="2050" w:type="dxa"/>
            <w:tcBorders>
              <w:bottom w:val="single" w:color="000000" w:sz="8" w:space="0"/>
            </w:tcBorders>
            <w:shd w:val="clear" w:color="auto" w:fill="auto"/>
            <w:tcMar>
              <w:top w:w="60" w:type="dxa"/>
              <w:left w:w="80" w:type="dxa"/>
              <w:bottom w:w="60" w:type="dxa"/>
              <w:right w:w="80" w:type="dxa"/>
            </w:tcMar>
            <w:vAlign w:val="center"/>
          </w:tcPr>
          <w:p w14:paraId="158F4FD4">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Cold AF, % (95% CI)</w:t>
            </w:r>
          </w:p>
        </w:tc>
        <w:tc>
          <w:tcPr>
            <w:tcW w:w="2050" w:type="dxa"/>
            <w:tcBorders>
              <w:bottom w:val="single" w:color="000000" w:sz="8" w:space="0"/>
            </w:tcBorders>
            <w:shd w:val="clear" w:color="auto" w:fill="auto"/>
            <w:tcMar>
              <w:top w:w="60" w:type="dxa"/>
              <w:left w:w="80" w:type="dxa"/>
              <w:bottom w:w="60" w:type="dxa"/>
              <w:right w:w="80" w:type="dxa"/>
            </w:tcMar>
            <w:vAlign w:val="center"/>
          </w:tcPr>
          <w:p w14:paraId="02D014FA">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Heat AF, % (95% CI)</w:t>
            </w:r>
          </w:p>
        </w:tc>
        <w:tc>
          <w:tcPr>
            <w:tcW w:w="1138" w:type="dxa"/>
            <w:tcBorders>
              <w:bottom w:val="single" w:color="000000" w:sz="8" w:space="0"/>
            </w:tcBorders>
            <w:shd w:val="clear" w:color="auto" w:fill="auto"/>
            <w:tcMar>
              <w:top w:w="60" w:type="dxa"/>
              <w:left w:w="80" w:type="dxa"/>
              <w:bottom w:w="60" w:type="dxa"/>
              <w:right w:w="80" w:type="dxa"/>
            </w:tcMar>
            <w:vAlign w:val="center"/>
          </w:tcPr>
          <w:p w14:paraId="4421EFC8">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QAIC</w:t>
            </w:r>
          </w:p>
        </w:tc>
      </w:tr>
      <w:tr w14:paraId="4DBA5BF4">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rPr>
          <w:jc w:val="center"/>
        </w:trPr>
        <w:tc>
          <w:tcPr>
            <w:tcW w:w="3000" w:type="dxa"/>
            <w:tcBorders>
              <w:top w:val="single" w:color="000000" w:sz="8" w:space="0"/>
            </w:tcBorders>
            <w:tcMar>
              <w:top w:w="60" w:type="dxa"/>
              <w:left w:w="80" w:type="dxa"/>
              <w:bottom w:w="60" w:type="dxa"/>
              <w:right w:w="80" w:type="dxa"/>
            </w:tcMar>
            <w:vAlign w:val="center"/>
          </w:tcPr>
          <w:p w14:paraId="12E47E3C">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10th / 75th / 90th percentiles (main model)</w:t>
            </w:r>
          </w:p>
        </w:tc>
        <w:tc>
          <w:tcPr>
            <w:tcW w:w="1350" w:type="dxa"/>
            <w:tcBorders>
              <w:top w:val="single" w:color="000000" w:sz="8" w:space="0"/>
            </w:tcBorders>
            <w:tcMar>
              <w:top w:w="60" w:type="dxa"/>
              <w:left w:w="80" w:type="dxa"/>
              <w:bottom w:w="60" w:type="dxa"/>
              <w:right w:w="80" w:type="dxa"/>
            </w:tcMar>
            <w:vAlign w:val="center"/>
          </w:tcPr>
          <w:p w14:paraId="6AD7298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28.0 (85.7)</w:t>
            </w:r>
          </w:p>
        </w:tc>
        <w:tc>
          <w:tcPr>
            <w:tcW w:w="900" w:type="dxa"/>
            <w:tcBorders>
              <w:top w:val="single" w:color="000000" w:sz="8" w:space="0"/>
            </w:tcBorders>
            <w:tcMar>
              <w:top w:w="60" w:type="dxa"/>
              <w:left w:w="80" w:type="dxa"/>
              <w:bottom w:w="60" w:type="dxa"/>
              <w:right w:w="80" w:type="dxa"/>
            </w:tcMar>
            <w:vAlign w:val="center"/>
          </w:tcPr>
          <w:p w14:paraId="349C4968">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1.088</w:t>
            </w:r>
          </w:p>
        </w:tc>
        <w:tc>
          <w:tcPr>
            <w:tcW w:w="900" w:type="dxa"/>
            <w:tcBorders>
              <w:top w:val="single" w:color="000000" w:sz="8" w:space="0"/>
            </w:tcBorders>
            <w:tcMar>
              <w:top w:w="60" w:type="dxa"/>
              <w:left w:w="80" w:type="dxa"/>
              <w:bottom w:w="60" w:type="dxa"/>
              <w:right w:w="80" w:type="dxa"/>
            </w:tcMar>
            <w:vAlign w:val="center"/>
          </w:tcPr>
          <w:p w14:paraId="46185F4F">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1.097</w:t>
            </w:r>
          </w:p>
        </w:tc>
        <w:tc>
          <w:tcPr>
            <w:tcW w:w="900" w:type="dxa"/>
            <w:tcBorders>
              <w:top w:val="single" w:color="000000" w:sz="8" w:space="0"/>
            </w:tcBorders>
            <w:tcMar>
              <w:top w:w="60" w:type="dxa"/>
              <w:left w:w="80" w:type="dxa"/>
              <w:bottom w:w="60" w:type="dxa"/>
              <w:right w:w="80" w:type="dxa"/>
            </w:tcMar>
            <w:vAlign w:val="center"/>
          </w:tcPr>
          <w:p w14:paraId="38C46C7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1.094</w:t>
            </w:r>
          </w:p>
        </w:tc>
        <w:tc>
          <w:tcPr>
            <w:tcW w:w="1050" w:type="dxa"/>
            <w:tcBorders>
              <w:top w:val="single" w:color="000000" w:sz="8" w:space="0"/>
            </w:tcBorders>
            <w:tcMar>
              <w:top w:w="60" w:type="dxa"/>
              <w:left w:w="80" w:type="dxa"/>
              <w:bottom w:w="60" w:type="dxa"/>
              <w:right w:w="80" w:type="dxa"/>
            </w:tcMar>
            <w:vAlign w:val="center"/>
          </w:tcPr>
          <w:p w14:paraId="1F1EA776">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1.355</w:t>
            </w:r>
          </w:p>
        </w:tc>
        <w:tc>
          <w:tcPr>
            <w:tcW w:w="1050" w:type="dxa"/>
            <w:tcBorders>
              <w:top w:val="single" w:color="000000" w:sz="8" w:space="0"/>
            </w:tcBorders>
            <w:tcMar>
              <w:top w:w="60" w:type="dxa"/>
              <w:left w:w="80" w:type="dxa"/>
              <w:bottom w:w="60" w:type="dxa"/>
              <w:right w:w="80" w:type="dxa"/>
            </w:tcMar>
            <w:vAlign w:val="center"/>
          </w:tcPr>
          <w:p w14:paraId="2F2811A3">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1.139</w:t>
            </w:r>
          </w:p>
        </w:tc>
        <w:tc>
          <w:tcPr>
            <w:tcW w:w="2050" w:type="dxa"/>
            <w:tcBorders>
              <w:top w:val="single" w:color="000000" w:sz="8" w:space="0"/>
            </w:tcBorders>
            <w:tcMar>
              <w:top w:w="60" w:type="dxa"/>
              <w:left w:w="80" w:type="dxa"/>
              <w:bottom w:w="60" w:type="dxa"/>
              <w:right w:w="80" w:type="dxa"/>
            </w:tcMar>
            <w:vAlign w:val="center"/>
          </w:tcPr>
          <w:p w14:paraId="7A98F96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7.70 (1.31, 13.36)</w:t>
            </w:r>
          </w:p>
        </w:tc>
        <w:tc>
          <w:tcPr>
            <w:tcW w:w="2050" w:type="dxa"/>
            <w:tcBorders>
              <w:top w:val="single" w:color="000000" w:sz="8" w:space="0"/>
            </w:tcBorders>
            <w:tcMar>
              <w:top w:w="60" w:type="dxa"/>
              <w:left w:w="80" w:type="dxa"/>
              <w:bottom w:w="60" w:type="dxa"/>
              <w:right w:w="80" w:type="dxa"/>
            </w:tcMar>
            <w:vAlign w:val="center"/>
          </w:tcPr>
          <w:p w14:paraId="2F060DCE">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0.85 (0.24, 1.42)</w:t>
            </w:r>
          </w:p>
        </w:tc>
        <w:tc>
          <w:tcPr>
            <w:tcW w:w="1138" w:type="dxa"/>
            <w:tcBorders>
              <w:top w:val="single" w:color="000000" w:sz="8" w:space="0"/>
            </w:tcBorders>
            <w:tcMar>
              <w:top w:w="60" w:type="dxa"/>
              <w:left w:w="80" w:type="dxa"/>
              <w:bottom w:w="60" w:type="dxa"/>
              <w:right w:w="80" w:type="dxa"/>
            </w:tcMar>
            <w:vAlign w:val="center"/>
          </w:tcPr>
          <w:p w14:paraId="1301EEE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21,967.5</w:t>
            </w:r>
          </w:p>
        </w:tc>
      </w:tr>
      <w:tr w14:paraId="019F5888">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rPr>
          <w:jc w:val="center"/>
        </w:trPr>
        <w:tc>
          <w:tcPr>
            <w:tcW w:w="3000" w:type="dxa"/>
            <w:tcMar>
              <w:top w:w="60" w:type="dxa"/>
              <w:left w:w="80" w:type="dxa"/>
              <w:bottom w:w="60" w:type="dxa"/>
              <w:right w:w="80" w:type="dxa"/>
            </w:tcMar>
            <w:vAlign w:val="center"/>
          </w:tcPr>
          <w:p w14:paraId="4012AF2C">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10th / 50th / 90th percentiles</w:t>
            </w:r>
          </w:p>
        </w:tc>
        <w:tc>
          <w:tcPr>
            <w:tcW w:w="1350" w:type="dxa"/>
            <w:tcMar>
              <w:top w:w="60" w:type="dxa"/>
              <w:left w:w="80" w:type="dxa"/>
              <w:bottom w:w="60" w:type="dxa"/>
              <w:right w:w="80" w:type="dxa"/>
            </w:tcMar>
            <w:vAlign w:val="center"/>
          </w:tcPr>
          <w:p w14:paraId="7F88380A">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26.9 (81.9)</w:t>
            </w:r>
          </w:p>
        </w:tc>
        <w:tc>
          <w:tcPr>
            <w:tcW w:w="900" w:type="dxa"/>
            <w:tcMar>
              <w:top w:w="60" w:type="dxa"/>
              <w:left w:w="80" w:type="dxa"/>
              <w:bottom w:w="60" w:type="dxa"/>
              <w:right w:w="80" w:type="dxa"/>
            </w:tcMar>
            <w:vAlign w:val="center"/>
          </w:tcPr>
          <w:p w14:paraId="3AB2972C">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1.060</w:t>
            </w:r>
          </w:p>
        </w:tc>
        <w:tc>
          <w:tcPr>
            <w:tcW w:w="900" w:type="dxa"/>
            <w:tcMar>
              <w:top w:w="60" w:type="dxa"/>
              <w:left w:w="80" w:type="dxa"/>
              <w:bottom w:w="60" w:type="dxa"/>
              <w:right w:w="80" w:type="dxa"/>
            </w:tcMar>
            <w:vAlign w:val="center"/>
          </w:tcPr>
          <w:p w14:paraId="42B6801B">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1.052</w:t>
            </w:r>
          </w:p>
        </w:tc>
        <w:tc>
          <w:tcPr>
            <w:tcW w:w="900" w:type="dxa"/>
            <w:tcMar>
              <w:top w:w="60" w:type="dxa"/>
              <w:left w:w="80" w:type="dxa"/>
              <w:bottom w:w="60" w:type="dxa"/>
              <w:right w:w="80" w:type="dxa"/>
            </w:tcMar>
            <w:vAlign w:val="center"/>
          </w:tcPr>
          <w:p w14:paraId="6B500023">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1.034</w:t>
            </w:r>
          </w:p>
        </w:tc>
        <w:tc>
          <w:tcPr>
            <w:tcW w:w="1050" w:type="dxa"/>
            <w:tcMar>
              <w:top w:w="60" w:type="dxa"/>
              <w:left w:w="80" w:type="dxa"/>
              <w:bottom w:w="60" w:type="dxa"/>
              <w:right w:w="80" w:type="dxa"/>
            </w:tcMar>
            <w:vAlign w:val="center"/>
          </w:tcPr>
          <w:p w14:paraId="5720FA2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1.299</w:t>
            </w:r>
          </w:p>
        </w:tc>
        <w:tc>
          <w:tcPr>
            <w:tcW w:w="1050" w:type="dxa"/>
            <w:tcMar>
              <w:top w:w="60" w:type="dxa"/>
              <w:left w:w="80" w:type="dxa"/>
              <w:bottom w:w="60" w:type="dxa"/>
              <w:right w:w="80" w:type="dxa"/>
            </w:tcMar>
            <w:vAlign w:val="center"/>
          </w:tcPr>
          <w:p w14:paraId="5E819AC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1.051</w:t>
            </w:r>
          </w:p>
        </w:tc>
        <w:tc>
          <w:tcPr>
            <w:tcW w:w="2050" w:type="dxa"/>
            <w:tcMar>
              <w:top w:w="60" w:type="dxa"/>
              <w:left w:w="80" w:type="dxa"/>
              <w:bottom w:w="60" w:type="dxa"/>
              <w:right w:w="80" w:type="dxa"/>
            </w:tcMar>
            <w:vAlign w:val="center"/>
          </w:tcPr>
          <w:p w14:paraId="49F906DA">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4.74 (−1.05, 10.07)</w:t>
            </w:r>
          </w:p>
        </w:tc>
        <w:tc>
          <w:tcPr>
            <w:tcW w:w="2050" w:type="dxa"/>
            <w:tcMar>
              <w:top w:w="60" w:type="dxa"/>
              <w:left w:w="80" w:type="dxa"/>
              <w:bottom w:w="60" w:type="dxa"/>
              <w:right w:w="80" w:type="dxa"/>
            </w:tcMar>
            <w:vAlign w:val="center"/>
          </w:tcPr>
          <w:p w14:paraId="392C4E3A">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0.39 (−0.32, 1.06)</w:t>
            </w:r>
          </w:p>
        </w:tc>
        <w:tc>
          <w:tcPr>
            <w:tcW w:w="1138" w:type="dxa"/>
            <w:tcMar>
              <w:top w:w="60" w:type="dxa"/>
              <w:left w:w="80" w:type="dxa"/>
              <w:bottom w:w="60" w:type="dxa"/>
              <w:right w:w="80" w:type="dxa"/>
            </w:tcMar>
            <w:vAlign w:val="center"/>
          </w:tcPr>
          <w:p w14:paraId="5E1EB2B6">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21,983.7</w:t>
            </w:r>
          </w:p>
        </w:tc>
      </w:tr>
      <w:tr w14:paraId="329BF0F3">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rPr>
          <w:jc w:val="center"/>
        </w:trPr>
        <w:tc>
          <w:tcPr>
            <w:tcW w:w="3000" w:type="dxa"/>
            <w:tcMar>
              <w:top w:w="60" w:type="dxa"/>
              <w:left w:w="80" w:type="dxa"/>
              <w:bottom w:w="60" w:type="dxa"/>
              <w:right w:w="80" w:type="dxa"/>
            </w:tcMar>
            <w:vAlign w:val="center"/>
          </w:tcPr>
          <w:p w14:paraId="5F4F75CE">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25th / 50th / 75th percentiles</w:t>
            </w:r>
          </w:p>
        </w:tc>
        <w:tc>
          <w:tcPr>
            <w:tcW w:w="1350" w:type="dxa"/>
            <w:tcMar>
              <w:top w:w="60" w:type="dxa"/>
              <w:left w:w="80" w:type="dxa"/>
              <w:bottom w:w="60" w:type="dxa"/>
              <w:right w:w="80" w:type="dxa"/>
            </w:tcMar>
            <w:vAlign w:val="center"/>
          </w:tcPr>
          <w:p w14:paraId="59781B70">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26.5 (80.6)</w:t>
            </w:r>
          </w:p>
        </w:tc>
        <w:tc>
          <w:tcPr>
            <w:tcW w:w="900" w:type="dxa"/>
            <w:tcMar>
              <w:top w:w="60" w:type="dxa"/>
              <w:left w:w="80" w:type="dxa"/>
              <w:bottom w:w="60" w:type="dxa"/>
              <w:right w:w="80" w:type="dxa"/>
            </w:tcMar>
            <w:vAlign w:val="center"/>
          </w:tcPr>
          <w:p w14:paraId="401BA845">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1.053</w:t>
            </w:r>
          </w:p>
        </w:tc>
        <w:tc>
          <w:tcPr>
            <w:tcW w:w="900" w:type="dxa"/>
            <w:tcMar>
              <w:top w:w="60" w:type="dxa"/>
              <w:left w:w="80" w:type="dxa"/>
              <w:bottom w:w="60" w:type="dxa"/>
              <w:right w:w="80" w:type="dxa"/>
            </w:tcMar>
            <w:vAlign w:val="center"/>
          </w:tcPr>
          <w:p w14:paraId="51E00658">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1.048</w:t>
            </w:r>
          </w:p>
        </w:tc>
        <w:tc>
          <w:tcPr>
            <w:tcW w:w="900" w:type="dxa"/>
            <w:tcMar>
              <w:top w:w="60" w:type="dxa"/>
              <w:left w:w="80" w:type="dxa"/>
              <w:bottom w:w="60" w:type="dxa"/>
              <w:right w:w="80" w:type="dxa"/>
            </w:tcMar>
            <w:vAlign w:val="center"/>
          </w:tcPr>
          <w:p w14:paraId="1D27A5B4">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1.030</w:t>
            </w:r>
          </w:p>
        </w:tc>
        <w:tc>
          <w:tcPr>
            <w:tcW w:w="1050" w:type="dxa"/>
            <w:tcMar>
              <w:top w:w="60" w:type="dxa"/>
              <w:left w:w="80" w:type="dxa"/>
              <w:bottom w:w="60" w:type="dxa"/>
              <w:right w:w="80" w:type="dxa"/>
            </w:tcMar>
            <w:vAlign w:val="center"/>
          </w:tcPr>
          <w:p w14:paraId="002FF3B3">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1.300</w:t>
            </w:r>
          </w:p>
        </w:tc>
        <w:tc>
          <w:tcPr>
            <w:tcW w:w="1050" w:type="dxa"/>
            <w:tcMar>
              <w:top w:w="60" w:type="dxa"/>
              <w:left w:w="80" w:type="dxa"/>
              <w:bottom w:w="60" w:type="dxa"/>
              <w:right w:w="80" w:type="dxa"/>
            </w:tcMar>
            <w:vAlign w:val="center"/>
          </w:tcPr>
          <w:p w14:paraId="4BF65D0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1.024</w:t>
            </w:r>
          </w:p>
        </w:tc>
        <w:tc>
          <w:tcPr>
            <w:tcW w:w="2050" w:type="dxa"/>
            <w:tcMar>
              <w:top w:w="60" w:type="dxa"/>
              <w:left w:w="80" w:type="dxa"/>
              <w:bottom w:w="60" w:type="dxa"/>
              <w:right w:w="80" w:type="dxa"/>
            </w:tcMar>
            <w:vAlign w:val="center"/>
          </w:tcPr>
          <w:p w14:paraId="4FA808BA">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4.28 (−1.53, 9.37)</w:t>
            </w:r>
          </w:p>
        </w:tc>
        <w:tc>
          <w:tcPr>
            <w:tcW w:w="2050" w:type="dxa"/>
            <w:tcMar>
              <w:top w:w="60" w:type="dxa"/>
              <w:left w:w="80" w:type="dxa"/>
              <w:bottom w:w="60" w:type="dxa"/>
              <w:right w:w="80" w:type="dxa"/>
            </w:tcMar>
            <w:vAlign w:val="center"/>
          </w:tcPr>
          <w:p w14:paraId="33BC0C85">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0.21 (−0.55, 0.94)</w:t>
            </w:r>
          </w:p>
        </w:tc>
        <w:tc>
          <w:tcPr>
            <w:tcW w:w="1138" w:type="dxa"/>
            <w:tcMar>
              <w:top w:w="60" w:type="dxa"/>
              <w:left w:w="80" w:type="dxa"/>
              <w:bottom w:w="60" w:type="dxa"/>
              <w:right w:w="80" w:type="dxa"/>
            </w:tcMar>
            <w:vAlign w:val="center"/>
          </w:tcPr>
          <w:p w14:paraId="1FE94855">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21,995.9</w:t>
            </w:r>
          </w:p>
        </w:tc>
      </w:tr>
      <w:tr w14:paraId="0B4578F0">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rPr>
          <w:jc w:val="center"/>
        </w:trPr>
        <w:tc>
          <w:tcPr>
            <w:tcW w:w="3000" w:type="dxa"/>
            <w:tcMar>
              <w:top w:w="60" w:type="dxa"/>
              <w:left w:w="80" w:type="dxa"/>
              <w:bottom w:w="60" w:type="dxa"/>
              <w:right w:w="80" w:type="dxa"/>
            </w:tcMar>
            <w:vAlign w:val="center"/>
          </w:tcPr>
          <w:p w14:paraId="08AFFF20">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5th / 50th / 95th percentiles</w:t>
            </w:r>
          </w:p>
        </w:tc>
        <w:tc>
          <w:tcPr>
            <w:tcW w:w="1350" w:type="dxa"/>
            <w:tcMar>
              <w:top w:w="60" w:type="dxa"/>
              <w:left w:w="80" w:type="dxa"/>
              <w:bottom w:w="60" w:type="dxa"/>
              <w:right w:w="80" w:type="dxa"/>
            </w:tcMar>
            <w:vAlign w:val="center"/>
          </w:tcPr>
          <w:p w14:paraId="2E4D093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26.9 (81.9)</w:t>
            </w:r>
          </w:p>
        </w:tc>
        <w:tc>
          <w:tcPr>
            <w:tcW w:w="900" w:type="dxa"/>
            <w:tcMar>
              <w:top w:w="60" w:type="dxa"/>
              <w:left w:w="80" w:type="dxa"/>
              <w:bottom w:w="60" w:type="dxa"/>
              <w:right w:w="80" w:type="dxa"/>
            </w:tcMar>
            <w:vAlign w:val="center"/>
          </w:tcPr>
          <w:p w14:paraId="281355D5">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1.059</w:t>
            </w:r>
          </w:p>
        </w:tc>
        <w:tc>
          <w:tcPr>
            <w:tcW w:w="900" w:type="dxa"/>
            <w:tcMar>
              <w:top w:w="60" w:type="dxa"/>
              <w:left w:w="80" w:type="dxa"/>
              <w:bottom w:w="60" w:type="dxa"/>
              <w:right w:w="80" w:type="dxa"/>
            </w:tcMar>
            <w:vAlign w:val="center"/>
          </w:tcPr>
          <w:p w14:paraId="7AADBA89">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1.051</w:t>
            </w:r>
          </w:p>
        </w:tc>
        <w:tc>
          <w:tcPr>
            <w:tcW w:w="900" w:type="dxa"/>
            <w:tcMar>
              <w:top w:w="60" w:type="dxa"/>
              <w:left w:w="80" w:type="dxa"/>
              <w:bottom w:w="60" w:type="dxa"/>
              <w:right w:w="80" w:type="dxa"/>
            </w:tcMar>
            <w:vAlign w:val="center"/>
          </w:tcPr>
          <w:p w14:paraId="06A81F6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1.033</w:t>
            </w:r>
          </w:p>
        </w:tc>
        <w:tc>
          <w:tcPr>
            <w:tcW w:w="1050" w:type="dxa"/>
            <w:tcMar>
              <w:top w:w="60" w:type="dxa"/>
              <w:left w:w="80" w:type="dxa"/>
              <w:bottom w:w="60" w:type="dxa"/>
              <w:right w:w="80" w:type="dxa"/>
            </w:tcMar>
            <w:vAlign w:val="center"/>
          </w:tcPr>
          <w:p w14:paraId="64A9B18B">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1.292</w:t>
            </w:r>
          </w:p>
        </w:tc>
        <w:tc>
          <w:tcPr>
            <w:tcW w:w="1050" w:type="dxa"/>
            <w:tcMar>
              <w:top w:w="60" w:type="dxa"/>
              <w:left w:w="80" w:type="dxa"/>
              <w:bottom w:w="60" w:type="dxa"/>
              <w:right w:w="80" w:type="dxa"/>
            </w:tcMar>
            <w:vAlign w:val="center"/>
          </w:tcPr>
          <w:p w14:paraId="6646AE9A">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1.052</w:t>
            </w:r>
          </w:p>
        </w:tc>
        <w:tc>
          <w:tcPr>
            <w:tcW w:w="2050" w:type="dxa"/>
            <w:tcMar>
              <w:top w:w="60" w:type="dxa"/>
              <w:left w:w="80" w:type="dxa"/>
              <w:bottom w:w="60" w:type="dxa"/>
              <w:right w:w="80" w:type="dxa"/>
            </w:tcMar>
            <w:vAlign w:val="center"/>
          </w:tcPr>
          <w:p w14:paraId="547908B2">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4.70 (−1.10, 9.99)</w:t>
            </w:r>
          </w:p>
        </w:tc>
        <w:tc>
          <w:tcPr>
            <w:tcW w:w="2050" w:type="dxa"/>
            <w:tcMar>
              <w:top w:w="60" w:type="dxa"/>
              <w:left w:w="80" w:type="dxa"/>
              <w:bottom w:w="60" w:type="dxa"/>
              <w:right w:w="80" w:type="dxa"/>
            </w:tcMar>
            <w:vAlign w:val="center"/>
          </w:tcPr>
          <w:p w14:paraId="59DC15C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0.39 (−0.35, 1.06)</w:t>
            </w:r>
          </w:p>
        </w:tc>
        <w:tc>
          <w:tcPr>
            <w:tcW w:w="1138" w:type="dxa"/>
            <w:tcMar>
              <w:top w:w="60" w:type="dxa"/>
              <w:left w:w="80" w:type="dxa"/>
              <w:bottom w:w="60" w:type="dxa"/>
              <w:right w:w="80" w:type="dxa"/>
            </w:tcMar>
            <w:vAlign w:val="center"/>
          </w:tcPr>
          <w:p w14:paraId="5E2D06EB">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21,984.0</w:t>
            </w:r>
          </w:p>
        </w:tc>
      </w:tr>
    </w:tbl>
    <w:p w14:paraId="18028C4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sz w:val="18"/>
          <w:szCs w:val="18"/>
        </w:rPr>
        <w:t>RRs at 18, 20 and 22 °C are cumulative over lags 0–21 days and are referenced to the MMT of the corresponding model; they document the mid-range undulation of the exposure–response curve discussed in the main text. The extreme-cold cumulative RR remained significant under all four placements, whereas the attributable-fraction intervals crossed the null under the three alternatives. The main model had the lowest QAIC, by about 16 units. The attributable fractions in the main-model row are those reported in Table 4 of the main text.</w:t>
      </w:r>
    </w:p>
    <w:p w14:paraId="27CC4FA4">
      <w:pPr>
        <w:keepNext w:val="0"/>
        <w:keepLines w:val="0"/>
        <w:pageBreakBefore w:val="0"/>
        <w:widowControl w:val="0"/>
        <w:kinsoku/>
        <w:wordWrap/>
        <w:overflowPunct/>
        <w:topLinePunct w:val="0"/>
        <w:autoSpaceDE/>
        <w:autoSpaceDN/>
        <w:bidi w:val="0"/>
        <w:adjustRightInd/>
        <w:snapToGrid/>
        <w:spacing w:line="360" w:lineRule="auto"/>
        <w:jc w:val="center"/>
        <w:textAlignment w:val="auto"/>
      </w:pPr>
    </w:p>
    <w:p w14:paraId="29F4F308">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20"/>
          <w:szCs w:val="20"/>
        </w:rPr>
        <w:t xml:space="preserve">Table S5  </w:t>
      </w:r>
      <w:r>
        <w:rPr>
          <w:rFonts w:ascii="Times New Roman" w:hAnsi="Times New Roman" w:eastAsia="Times New Roman" w:cs="Times New Roman"/>
          <w:sz w:val="20"/>
          <w:szCs w:val="20"/>
        </w:rPr>
        <w:t>Temperature-attributable fractions by cause of death, with the moderate and extreme components.</w:t>
      </w:r>
    </w:p>
    <w:tbl>
      <w:tblPr>
        <w:tblStyle w:val="2"/>
        <w:tblW w:w="14200" w:type="dxa"/>
        <w:jc w:val="center"/>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Layout w:type="autofit"/>
        <w:tblCellMar>
          <w:top w:w="0" w:type="dxa"/>
          <w:left w:w="10" w:type="dxa"/>
          <w:bottom w:w="0" w:type="dxa"/>
          <w:right w:w="10" w:type="dxa"/>
        </w:tblCellMar>
      </w:tblPr>
      <w:tblGrid>
        <w:gridCol w:w="3600"/>
        <w:gridCol w:w="1000"/>
        <w:gridCol w:w="2200"/>
        <w:gridCol w:w="1300"/>
        <w:gridCol w:w="1300"/>
        <w:gridCol w:w="2200"/>
        <w:gridCol w:w="1300"/>
        <w:gridCol w:w="1300"/>
      </w:tblGrid>
      <w:tr w14:paraId="34B09F01">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rPr>
          <w:tblHeader/>
          <w:jc w:val="center"/>
        </w:trPr>
        <w:tc>
          <w:tcPr>
            <w:tcW w:w="3600" w:type="dxa"/>
            <w:tcBorders>
              <w:bottom w:val="single" w:color="000000" w:sz="8" w:space="0"/>
            </w:tcBorders>
            <w:shd w:val="clear" w:color="auto" w:fill="auto"/>
            <w:tcMar>
              <w:top w:w="60" w:type="dxa"/>
              <w:left w:w="80" w:type="dxa"/>
              <w:bottom w:w="60" w:type="dxa"/>
              <w:right w:w="80" w:type="dxa"/>
            </w:tcMar>
            <w:vAlign w:val="center"/>
          </w:tcPr>
          <w:p w14:paraId="75E754F5">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Cause of death</w:t>
            </w:r>
          </w:p>
        </w:tc>
        <w:tc>
          <w:tcPr>
            <w:tcW w:w="1000" w:type="dxa"/>
            <w:tcBorders>
              <w:bottom w:val="single" w:color="000000" w:sz="8" w:space="0"/>
            </w:tcBorders>
            <w:shd w:val="clear" w:color="auto" w:fill="auto"/>
            <w:tcMar>
              <w:top w:w="60" w:type="dxa"/>
              <w:left w:w="80" w:type="dxa"/>
              <w:bottom w:w="60" w:type="dxa"/>
              <w:right w:w="80" w:type="dxa"/>
            </w:tcMar>
            <w:vAlign w:val="center"/>
          </w:tcPr>
          <w:p w14:paraId="236E7BFE">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MMT, °C</w:t>
            </w:r>
          </w:p>
        </w:tc>
        <w:tc>
          <w:tcPr>
            <w:tcW w:w="2200" w:type="dxa"/>
            <w:tcBorders>
              <w:bottom w:val="single" w:color="000000" w:sz="8" w:space="0"/>
            </w:tcBorders>
            <w:shd w:val="clear" w:color="auto" w:fill="auto"/>
            <w:tcMar>
              <w:top w:w="60" w:type="dxa"/>
              <w:left w:w="80" w:type="dxa"/>
              <w:bottom w:w="60" w:type="dxa"/>
              <w:right w:w="80" w:type="dxa"/>
            </w:tcMar>
            <w:vAlign w:val="center"/>
          </w:tcPr>
          <w:p w14:paraId="16ED6BF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Cold total, % (95% CI)</w:t>
            </w:r>
          </w:p>
        </w:tc>
        <w:tc>
          <w:tcPr>
            <w:tcW w:w="1300" w:type="dxa"/>
            <w:tcBorders>
              <w:bottom w:val="single" w:color="000000" w:sz="8" w:space="0"/>
            </w:tcBorders>
            <w:shd w:val="clear" w:color="auto" w:fill="auto"/>
            <w:tcMar>
              <w:top w:w="60" w:type="dxa"/>
              <w:left w:w="80" w:type="dxa"/>
              <w:bottom w:w="60" w:type="dxa"/>
              <w:right w:w="80" w:type="dxa"/>
            </w:tcMar>
            <w:vAlign w:val="center"/>
          </w:tcPr>
          <w:p w14:paraId="35A633C4">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Moderate cold, %</w:t>
            </w:r>
          </w:p>
        </w:tc>
        <w:tc>
          <w:tcPr>
            <w:tcW w:w="1300" w:type="dxa"/>
            <w:tcBorders>
              <w:bottom w:val="single" w:color="000000" w:sz="8" w:space="0"/>
            </w:tcBorders>
            <w:shd w:val="clear" w:color="auto" w:fill="auto"/>
            <w:tcMar>
              <w:top w:w="60" w:type="dxa"/>
              <w:left w:w="80" w:type="dxa"/>
              <w:bottom w:w="60" w:type="dxa"/>
              <w:right w:w="80" w:type="dxa"/>
            </w:tcMar>
            <w:vAlign w:val="center"/>
          </w:tcPr>
          <w:p w14:paraId="75F8BC00">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Extreme cold, %</w:t>
            </w:r>
          </w:p>
        </w:tc>
        <w:tc>
          <w:tcPr>
            <w:tcW w:w="2200" w:type="dxa"/>
            <w:tcBorders>
              <w:bottom w:val="single" w:color="000000" w:sz="8" w:space="0"/>
            </w:tcBorders>
            <w:shd w:val="clear" w:color="auto" w:fill="auto"/>
            <w:tcMar>
              <w:top w:w="60" w:type="dxa"/>
              <w:left w:w="80" w:type="dxa"/>
              <w:bottom w:w="60" w:type="dxa"/>
              <w:right w:w="80" w:type="dxa"/>
            </w:tcMar>
            <w:vAlign w:val="center"/>
          </w:tcPr>
          <w:p w14:paraId="54FA98A9">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Heat total, % (95% CI)</w:t>
            </w:r>
          </w:p>
        </w:tc>
        <w:tc>
          <w:tcPr>
            <w:tcW w:w="1300" w:type="dxa"/>
            <w:tcBorders>
              <w:bottom w:val="single" w:color="000000" w:sz="8" w:space="0"/>
            </w:tcBorders>
            <w:shd w:val="clear" w:color="auto" w:fill="auto"/>
            <w:tcMar>
              <w:top w:w="60" w:type="dxa"/>
              <w:left w:w="80" w:type="dxa"/>
              <w:bottom w:w="60" w:type="dxa"/>
              <w:right w:w="80" w:type="dxa"/>
            </w:tcMar>
            <w:vAlign w:val="center"/>
          </w:tcPr>
          <w:p w14:paraId="37586649">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Moderate heat, %</w:t>
            </w:r>
          </w:p>
        </w:tc>
        <w:tc>
          <w:tcPr>
            <w:tcW w:w="1300" w:type="dxa"/>
            <w:tcBorders>
              <w:bottom w:val="single" w:color="000000" w:sz="8" w:space="0"/>
            </w:tcBorders>
            <w:shd w:val="clear" w:color="auto" w:fill="auto"/>
            <w:tcMar>
              <w:top w:w="60" w:type="dxa"/>
              <w:left w:w="80" w:type="dxa"/>
              <w:bottom w:w="60" w:type="dxa"/>
              <w:right w:w="80" w:type="dxa"/>
            </w:tcMar>
            <w:vAlign w:val="center"/>
          </w:tcPr>
          <w:p w14:paraId="5F990EE4">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bCs/>
                <w:sz w:val="18"/>
                <w:szCs w:val="18"/>
              </w:rPr>
              <w:t>Extreme heat, %</w:t>
            </w:r>
          </w:p>
        </w:tc>
      </w:tr>
      <w:tr w14:paraId="71F243DA">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rPr>
          <w:jc w:val="center"/>
        </w:trPr>
        <w:tc>
          <w:tcPr>
            <w:tcW w:w="3600" w:type="dxa"/>
            <w:tcBorders>
              <w:top w:val="single" w:color="000000" w:sz="8" w:space="0"/>
            </w:tcBorders>
            <w:tcMar>
              <w:top w:w="60" w:type="dxa"/>
              <w:left w:w="80" w:type="dxa"/>
              <w:bottom w:w="60" w:type="dxa"/>
              <w:right w:w="80" w:type="dxa"/>
            </w:tcMar>
            <w:vAlign w:val="center"/>
          </w:tcPr>
          <w:p w14:paraId="224E124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Non-accidental</w:t>
            </w:r>
          </w:p>
        </w:tc>
        <w:tc>
          <w:tcPr>
            <w:tcW w:w="1000" w:type="dxa"/>
            <w:tcBorders>
              <w:top w:val="single" w:color="000000" w:sz="8" w:space="0"/>
            </w:tcBorders>
            <w:tcMar>
              <w:top w:w="60" w:type="dxa"/>
              <w:left w:w="80" w:type="dxa"/>
              <w:bottom w:w="60" w:type="dxa"/>
              <w:right w:w="80" w:type="dxa"/>
            </w:tcMar>
            <w:vAlign w:val="center"/>
          </w:tcPr>
          <w:p w14:paraId="1420D42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28.0</w:t>
            </w:r>
          </w:p>
        </w:tc>
        <w:tc>
          <w:tcPr>
            <w:tcW w:w="2200" w:type="dxa"/>
            <w:tcBorders>
              <w:top w:val="single" w:color="000000" w:sz="8" w:space="0"/>
            </w:tcBorders>
            <w:tcMar>
              <w:top w:w="60" w:type="dxa"/>
              <w:left w:w="80" w:type="dxa"/>
              <w:bottom w:w="60" w:type="dxa"/>
              <w:right w:w="80" w:type="dxa"/>
            </w:tcMar>
            <w:vAlign w:val="center"/>
          </w:tcPr>
          <w:p w14:paraId="610B694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7.70 (1.31, 13.36)</w:t>
            </w:r>
          </w:p>
        </w:tc>
        <w:tc>
          <w:tcPr>
            <w:tcW w:w="1300" w:type="dxa"/>
            <w:tcBorders>
              <w:top w:val="single" w:color="000000" w:sz="8" w:space="0"/>
            </w:tcBorders>
            <w:tcMar>
              <w:top w:w="60" w:type="dxa"/>
              <w:left w:w="80" w:type="dxa"/>
              <w:bottom w:w="60" w:type="dxa"/>
              <w:right w:w="80" w:type="dxa"/>
            </w:tcMar>
            <w:vAlign w:val="center"/>
          </w:tcPr>
          <w:p w14:paraId="7EC33D97">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6.60</w:t>
            </w:r>
          </w:p>
        </w:tc>
        <w:tc>
          <w:tcPr>
            <w:tcW w:w="1300" w:type="dxa"/>
            <w:tcBorders>
              <w:top w:val="single" w:color="000000" w:sz="8" w:space="0"/>
            </w:tcBorders>
            <w:tcMar>
              <w:top w:w="60" w:type="dxa"/>
              <w:left w:w="80" w:type="dxa"/>
              <w:bottom w:w="60" w:type="dxa"/>
              <w:right w:w="80" w:type="dxa"/>
            </w:tcMar>
            <w:vAlign w:val="center"/>
          </w:tcPr>
          <w:p w14:paraId="5B4AA3B3">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1.10</w:t>
            </w:r>
          </w:p>
        </w:tc>
        <w:tc>
          <w:tcPr>
            <w:tcW w:w="2200" w:type="dxa"/>
            <w:tcBorders>
              <w:top w:val="single" w:color="000000" w:sz="8" w:space="0"/>
            </w:tcBorders>
            <w:tcMar>
              <w:top w:w="60" w:type="dxa"/>
              <w:left w:w="80" w:type="dxa"/>
              <w:bottom w:w="60" w:type="dxa"/>
              <w:right w:w="80" w:type="dxa"/>
            </w:tcMar>
            <w:vAlign w:val="center"/>
          </w:tcPr>
          <w:p w14:paraId="74709FBF">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0.85 (0.24, 1.42)</w:t>
            </w:r>
          </w:p>
        </w:tc>
        <w:tc>
          <w:tcPr>
            <w:tcW w:w="1300" w:type="dxa"/>
            <w:tcBorders>
              <w:top w:val="single" w:color="000000" w:sz="8" w:space="0"/>
            </w:tcBorders>
            <w:tcMar>
              <w:top w:w="60" w:type="dxa"/>
              <w:left w:w="80" w:type="dxa"/>
              <w:bottom w:w="60" w:type="dxa"/>
              <w:right w:w="80" w:type="dxa"/>
            </w:tcMar>
            <w:vAlign w:val="center"/>
          </w:tcPr>
          <w:p w14:paraId="4A4AACC7">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0.46</w:t>
            </w:r>
          </w:p>
        </w:tc>
        <w:tc>
          <w:tcPr>
            <w:tcW w:w="1300" w:type="dxa"/>
            <w:tcBorders>
              <w:top w:val="single" w:color="000000" w:sz="8" w:space="0"/>
            </w:tcBorders>
            <w:tcMar>
              <w:top w:w="60" w:type="dxa"/>
              <w:left w:w="80" w:type="dxa"/>
              <w:bottom w:w="60" w:type="dxa"/>
              <w:right w:w="80" w:type="dxa"/>
            </w:tcMar>
            <w:vAlign w:val="center"/>
          </w:tcPr>
          <w:p w14:paraId="1F60409A">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0.39</w:t>
            </w:r>
          </w:p>
        </w:tc>
      </w:tr>
      <w:tr w14:paraId="469EC185">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rPr>
          <w:jc w:val="center"/>
        </w:trPr>
        <w:tc>
          <w:tcPr>
            <w:tcW w:w="3600" w:type="dxa"/>
            <w:tcMar>
              <w:top w:w="60" w:type="dxa"/>
              <w:left w:w="80" w:type="dxa"/>
              <w:bottom w:w="60" w:type="dxa"/>
              <w:right w:w="80" w:type="dxa"/>
            </w:tcMar>
            <w:vAlign w:val="center"/>
          </w:tcPr>
          <w:p w14:paraId="1DDDECCC">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Circulatory system</w:t>
            </w:r>
          </w:p>
        </w:tc>
        <w:tc>
          <w:tcPr>
            <w:tcW w:w="1000" w:type="dxa"/>
            <w:tcMar>
              <w:top w:w="60" w:type="dxa"/>
              <w:left w:w="80" w:type="dxa"/>
              <w:bottom w:w="60" w:type="dxa"/>
              <w:right w:w="80" w:type="dxa"/>
            </w:tcMar>
            <w:vAlign w:val="center"/>
          </w:tcPr>
          <w:p w14:paraId="7EC66890">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28.0</w:t>
            </w:r>
          </w:p>
        </w:tc>
        <w:tc>
          <w:tcPr>
            <w:tcW w:w="2200" w:type="dxa"/>
            <w:tcMar>
              <w:top w:w="60" w:type="dxa"/>
              <w:left w:w="80" w:type="dxa"/>
              <w:bottom w:w="60" w:type="dxa"/>
              <w:right w:w="80" w:type="dxa"/>
            </w:tcMar>
            <w:vAlign w:val="center"/>
          </w:tcPr>
          <w:p w14:paraId="1F1C6046">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13.13 (5.56, 19.72)</w:t>
            </w:r>
          </w:p>
        </w:tc>
        <w:tc>
          <w:tcPr>
            <w:tcW w:w="1300" w:type="dxa"/>
            <w:tcMar>
              <w:top w:w="60" w:type="dxa"/>
              <w:left w:w="80" w:type="dxa"/>
              <w:bottom w:w="60" w:type="dxa"/>
              <w:right w:w="80" w:type="dxa"/>
            </w:tcMar>
            <w:vAlign w:val="center"/>
          </w:tcPr>
          <w:p w14:paraId="71F4C853">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11.59</w:t>
            </w:r>
          </w:p>
        </w:tc>
        <w:tc>
          <w:tcPr>
            <w:tcW w:w="1300" w:type="dxa"/>
            <w:tcMar>
              <w:top w:w="60" w:type="dxa"/>
              <w:left w:w="80" w:type="dxa"/>
              <w:bottom w:w="60" w:type="dxa"/>
              <w:right w:w="80" w:type="dxa"/>
            </w:tcMar>
            <w:vAlign w:val="center"/>
          </w:tcPr>
          <w:p w14:paraId="27B51BEE">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1.54</w:t>
            </w:r>
          </w:p>
        </w:tc>
        <w:tc>
          <w:tcPr>
            <w:tcW w:w="2200" w:type="dxa"/>
            <w:tcMar>
              <w:top w:w="60" w:type="dxa"/>
              <w:left w:w="80" w:type="dxa"/>
              <w:bottom w:w="60" w:type="dxa"/>
              <w:right w:w="80" w:type="dxa"/>
            </w:tcMar>
            <w:vAlign w:val="center"/>
          </w:tcPr>
          <w:p w14:paraId="136185D0">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1.09 (0.35, 1.78)</w:t>
            </w:r>
          </w:p>
        </w:tc>
        <w:tc>
          <w:tcPr>
            <w:tcW w:w="1300" w:type="dxa"/>
            <w:tcMar>
              <w:top w:w="60" w:type="dxa"/>
              <w:left w:w="80" w:type="dxa"/>
              <w:bottom w:w="60" w:type="dxa"/>
              <w:right w:w="80" w:type="dxa"/>
            </w:tcMar>
            <w:vAlign w:val="center"/>
          </w:tcPr>
          <w:p w14:paraId="4FBAD963">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0.60</w:t>
            </w:r>
          </w:p>
        </w:tc>
        <w:tc>
          <w:tcPr>
            <w:tcW w:w="1300" w:type="dxa"/>
            <w:tcMar>
              <w:top w:w="60" w:type="dxa"/>
              <w:left w:w="80" w:type="dxa"/>
              <w:bottom w:w="60" w:type="dxa"/>
              <w:right w:w="80" w:type="dxa"/>
            </w:tcMar>
            <w:vAlign w:val="center"/>
          </w:tcPr>
          <w:p w14:paraId="0198748A">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0.49</w:t>
            </w:r>
          </w:p>
        </w:tc>
      </w:tr>
      <w:tr w14:paraId="0EED64E1">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rPr>
          <w:jc w:val="center"/>
        </w:trPr>
        <w:tc>
          <w:tcPr>
            <w:tcW w:w="3600" w:type="dxa"/>
            <w:tcMar>
              <w:top w:w="60" w:type="dxa"/>
              <w:left w:w="80" w:type="dxa"/>
              <w:bottom w:w="60" w:type="dxa"/>
              <w:right w:w="80" w:type="dxa"/>
            </w:tcMar>
            <w:vAlign w:val="center"/>
          </w:tcPr>
          <w:p w14:paraId="0D49802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Respiratory system</w:t>
            </w:r>
          </w:p>
        </w:tc>
        <w:tc>
          <w:tcPr>
            <w:tcW w:w="1000" w:type="dxa"/>
            <w:tcMar>
              <w:top w:w="60" w:type="dxa"/>
              <w:left w:w="80" w:type="dxa"/>
              <w:bottom w:w="60" w:type="dxa"/>
              <w:right w:w="80" w:type="dxa"/>
            </w:tcMar>
            <w:vAlign w:val="center"/>
          </w:tcPr>
          <w:p w14:paraId="7FCD1E95">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27.5</w:t>
            </w:r>
          </w:p>
        </w:tc>
        <w:tc>
          <w:tcPr>
            <w:tcW w:w="2200" w:type="dxa"/>
            <w:tcMar>
              <w:top w:w="60" w:type="dxa"/>
              <w:left w:w="80" w:type="dxa"/>
              <w:bottom w:w="60" w:type="dxa"/>
              <w:right w:w="80" w:type="dxa"/>
            </w:tcMar>
            <w:vAlign w:val="center"/>
          </w:tcPr>
          <w:p w14:paraId="1DC4E787">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12.49 (−4.06, 25.17)</w:t>
            </w:r>
          </w:p>
        </w:tc>
        <w:tc>
          <w:tcPr>
            <w:tcW w:w="1300" w:type="dxa"/>
            <w:tcMar>
              <w:top w:w="60" w:type="dxa"/>
              <w:left w:w="80" w:type="dxa"/>
              <w:bottom w:w="60" w:type="dxa"/>
              <w:right w:w="80" w:type="dxa"/>
            </w:tcMar>
            <w:vAlign w:val="center"/>
          </w:tcPr>
          <w:p w14:paraId="31553245">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11.16</w:t>
            </w:r>
          </w:p>
        </w:tc>
        <w:tc>
          <w:tcPr>
            <w:tcW w:w="1300" w:type="dxa"/>
            <w:tcMar>
              <w:top w:w="60" w:type="dxa"/>
              <w:left w:w="80" w:type="dxa"/>
              <w:bottom w:w="60" w:type="dxa"/>
              <w:right w:w="80" w:type="dxa"/>
            </w:tcMar>
            <w:vAlign w:val="center"/>
          </w:tcPr>
          <w:p w14:paraId="7364C05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1.33</w:t>
            </w:r>
          </w:p>
        </w:tc>
        <w:tc>
          <w:tcPr>
            <w:tcW w:w="2200" w:type="dxa"/>
            <w:tcMar>
              <w:top w:w="60" w:type="dxa"/>
              <w:left w:w="80" w:type="dxa"/>
              <w:bottom w:w="60" w:type="dxa"/>
              <w:right w:w="80" w:type="dxa"/>
            </w:tcMar>
            <w:vAlign w:val="center"/>
          </w:tcPr>
          <w:p w14:paraId="2710E367">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2.04 (0.70, 3.17)</w:t>
            </w:r>
          </w:p>
        </w:tc>
        <w:tc>
          <w:tcPr>
            <w:tcW w:w="1300" w:type="dxa"/>
            <w:tcMar>
              <w:top w:w="60" w:type="dxa"/>
              <w:left w:w="80" w:type="dxa"/>
              <w:bottom w:w="60" w:type="dxa"/>
              <w:right w:w="80" w:type="dxa"/>
            </w:tcMar>
            <w:vAlign w:val="center"/>
          </w:tcPr>
          <w:p w14:paraId="345AF243">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1.19</w:t>
            </w:r>
          </w:p>
        </w:tc>
        <w:tc>
          <w:tcPr>
            <w:tcW w:w="1300" w:type="dxa"/>
            <w:tcMar>
              <w:top w:w="60" w:type="dxa"/>
              <w:left w:w="80" w:type="dxa"/>
              <w:bottom w:w="60" w:type="dxa"/>
              <w:right w:w="80" w:type="dxa"/>
            </w:tcMar>
            <w:vAlign w:val="center"/>
          </w:tcPr>
          <w:p w14:paraId="7B970908">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0.85</w:t>
            </w:r>
          </w:p>
        </w:tc>
      </w:tr>
      <w:tr w14:paraId="43798229">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rPr>
          <w:jc w:val="center"/>
        </w:trPr>
        <w:tc>
          <w:tcPr>
            <w:tcW w:w="3600" w:type="dxa"/>
            <w:tcMar>
              <w:top w:w="60" w:type="dxa"/>
              <w:left w:w="80" w:type="dxa"/>
              <w:bottom w:w="60" w:type="dxa"/>
              <w:right w:w="80" w:type="dxa"/>
            </w:tcMar>
            <w:vAlign w:val="center"/>
          </w:tcPr>
          <w:p w14:paraId="12C25222">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Malignant neoplasms</w:t>
            </w:r>
          </w:p>
        </w:tc>
        <w:tc>
          <w:tcPr>
            <w:tcW w:w="1000" w:type="dxa"/>
            <w:tcMar>
              <w:top w:w="60" w:type="dxa"/>
              <w:left w:w="80" w:type="dxa"/>
              <w:bottom w:w="60" w:type="dxa"/>
              <w:right w:w="80" w:type="dxa"/>
            </w:tcMar>
            <w:vAlign w:val="center"/>
          </w:tcPr>
          <w:p w14:paraId="4B79D024">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9.8</w:t>
            </w:r>
          </w:p>
        </w:tc>
        <w:tc>
          <w:tcPr>
            <w:tcW w:w="2200" w:type="dxa"/>
            <w:tcMar>
              <w:top w:w="60" w:type="dxa"/>
              <w:left w:w="80" w:type="dxa"/>
              <w:bottom w:w="60" w:type="dxa"/>
              <w:right w:w="80" w:type="dxa"/>
            </w:tcMar>
            <w:vAlign w:val="center"/>
          </w:tcPr>
          <w:p w14:paraId="43BBDED5">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0.87 (−0.26, 1.95)</w:t>
            </w:r>
          </w:p>
        </w:tc>
        <w:tc>
          <w:tcPr>
            <w:tcW w:w="1300" w:type="dxa"/>
            <w:tcMar>
              <w:top w:w="60" w:type="dxa"/>
              <w:left w:w="80" w:type="dxa"/>
              <w:bottom w:w="60" w:type="dxa"/>
              <w:right w:w="80" w:type="dxa"/>
            </w:tcMar>
            <w:vAlign w:val="center"/>
          </w:tcPr>
          <w:p w14:paraId="0E25122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0.49</w:t>
            </w:r>
          </w:p>
        </w:tc>
        <w:tc>
          <w:tcPr>
            <w:tcW w:w="1300" w:type="dxa"/>
            <w:tcMar>
              <w:top w:w="60" w:type="dxa"/>
              <w:left w:w="80" w:type="dxa"/>
              <w:bottom w:w="60" w:type="dxa"/>
              <w:right w:w="80" w:type="dxa"/>
            </w:tcMar>
            <w:vAlign w:val="center"/>
          </w:tcPr>
          <w:p w14:paraId="349474E9">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0.38</w:t>
            </w:r>
          </w:p>
        </w:tc>
        <w:tc>
          <w:tcPr>
            <w:tcW w:w="2200" w:type="dxa"/>
            <w:tcMar>
              <w:top w:w="60" w:type="dxa"/>
              <w:left w:w="80" w:type="dxa"/>
              <w:bottom w:w="60" w:type="dxa"/>
              <w:right w:w="80" w:type="dxa"/>
            </w:tcMar>
            <w:vAlign w:val="center"/>
          </w:tcPr>
          <w:p w14:paraId="20F81706">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4.71 (−4.18, 12.28)</w:t>
            </w:r>
          </w:p>
        </w:tc>
        <w:tc>
          <w:tcPr>
            <w:tcW w:w="1300" w:type="dxa"/>
            <w:tcMar>
              <w:top w:w="60" w:type="dxa"/>
              <w:left w:w="80" w:type="dxa"/>
              <w:bottom w:w="60" w:type="dxa"/>
              <w:right w:w="80" w:type="dxa"/>
            </w:tcMar>
            <w:vAlign w:val="center"/>
          </w:tcPr>
          <w:p w14:paraId="028FBE6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4.63</w:t>
            </w:r>
          </w:p>
        </w:tc>
        <w:tc>
          <w:tcPr>
            <w:tcW w:w="1300" w:type="dxa"/>
            <w:tcMar>
              <w:top w:w="60" w:type="dxa"/>
              <w:left w:w="80" w:type="dxa"/>
              <w:bottom w:w="60" w:type="dxa"/>
              <w:right w:w="80" w:type="dxa"/>
            </w:tcMar>
            <w:vAlign w:val="center"/>
          </w:tcPr>
          <w:p w14:paraId="1FD82D32">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0.08</w:t>
            </w:r>
          </w:p>
        </w:tc>
      </w:tr>
      <w:tr w14:paraId="657BF520">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rPr>
          <w:jc w:val="center"/>
        </w:trPr>
        <w:tc>
          <w:tcPr>
            <w:tcW w:w="3600" w:type="dxa"/>
            <w:tcMar>
              <w:top w:w="60" w:type="dxa"/>
              <w:left w:w="80" w:type="dxa"/>
              <w:bottom w:w="60" w:type="dxa"/>
              <w:right w:w="80" w:type="dxa"/>
            </w:tcMar>
            <w:vAlign w:val="center"/>
          </w:tcPr>
          <w:p w14:paraId="649F48DF">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Other causes</w:t>
            </w:r>
          </w:p>
        </w:tc>
        <w:tc>
          <w:tcPr>
            <w:tcW w:w="1000" w:type="dxa"/>
            <w:tcMar>
              <w:top w:w="60" w:type="dxa"/>
              <w:left w:w="80" w:type="dxa"/>
              <w:bottom w:w="60" w:type="dxa"/>
              <w:right w:w="80" w:type="dxa"/>
            </w:tcMar>
            <w:vAlign w:val="center"/>
          </w:tcPr>
          <w:p w14:paraId="78E120B2">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11.0</w:t>
            </w:r>
          </w:p>
        </w:tc>
        <w:tc>
          <w:tcPr>
            <w:tcW w:w="2200" w:type="dxa"/>
            <w:tcMar>
              <w:top w:w="60" w:type="dxa"/>
              <w:left w:w="80" w:type="dxa"/>
              <w:bottom w:w="60" w:type="dxa"/>
              <w:right w:w="80" w:type="dxa"/>
            </w:tcMar>
            <w:vAlign w:val="center"/>
          </w:tcPr>
          <w:p w14:paraId="23FEC56F">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1.98 (−0.07, 3.85)</w:t>
            </w:r>
          </w:p>
        </w:tc>
        <w:tc>
          <w:tcPr>
            <w:tcW w:w="1300" w:type="dxa"/>
            <w:tcMar>
              <w:top w:w="60" w:type="dxa"/>
              <w:left w:w="80" w:type="dxa"/>
              <w:bottom w:w="60" w:type="dxa"/>
              <w:right w:w="80" w:type="dxa"/>
            </w:tcMar>
            <w:vAlign w:val="center"/>
          </w:tcPr>
          <w:p w14:paraId="380E8088">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1.24</w:t>
            </w:r>
          </w:p>
        </w:tc>
        <w:tc>
          <w:tcPr>
            <w:tcW w:w="1300" w:type="dxa"/>
            <w:tcMar>
              <w:top w:w="60" w:type="dxa"/>
              <w:left w:w="80" w:type="dxa"/>
              <w:bottom w:w="60" w:type="dxa"/>
              <w:right w:w="80" w:type="dxa"/>
            </w:tcMar>
            <w:vAlign w:val="center"/>
          </w:tcPr>
          <w:p w14:paraId="64CD14B7">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0.74</w:t>
            </w:r>
          </w:p>
        </w:tc>
        <w:tc>
          <w:tcPr>
            <w:tcW w:w="2200" w:type="dxa"/>
            <w:tcMar>
              <w:top w:w="60" w:type="dxa"/>
              <w:left w:w="80" w:type="dxa"/>
              <w:bottom w:w="60" w:type="dxa"/>
              <w:right w:w="80" w:type="dxa"/>
            </w:tcMar>
            <w:vAlign w:val="center"/>
          </w:tcPr>
          <w:p w14:paraId="5F40A404">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4.01 (−7.05, 12.85)</w:t>
            </w:r>
          </w:p>
        </w:tc>
        <w:tc>
          <w:tcPr>
            <w:tcW w:w="1300" w:type="dxa"/>
            <w:tcMar>
              <w:top w:w="60" w:type="dxa"/>
              <w:left w:w="80" w:type="dxa"/>
              <w:bottom w:w="60" w:type="dxa"/>
              <w:right w:w="80" w:type="dxa"/>
            </w:tcMar>
            <w:vAlign w:val="center"/>
          </w:tcPr>
          <w:p w14:paraId="6809113C">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3.75</w:t>
            </w:r>
          </w:p>
        </w:tc>
        <w:tc>
          <w:tcPr>
            <w:tcW w:w="1300" w:type="dxa"/>
            <w:tcMar>
              <w:top w:w="60" w:type="dxa"/>
              <w:left w:w="80" w:type="dxa"/>
              <w:bottom w:w="60" w:type="dxa"/>
              <w:right w:w="80" w:type="dxa"/>
            </w:tcMar>
            <w:vAlign w:val="center"/>
          </w:tcPr>
          <w:p w14:paraId="39C8847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0.26</w:t>
            </w:r>
          </w:p>
        </w:tc>
      </w:tr>
      <w:tr w14:paraId="265EEB36">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rPr>
          <w:jc w:val="center"/>
        </w:trPr>
        <w:tc>
          <w:tcPr>
            <w:tcW w:w="3600" w:type="dxa"/>
            <w:tcMar>
              <w:top w:w="60" w:type="dxa"/>
              <w:left w:w="80" w:type="dxa"/>
              <w:bottom w:w="60" w:type="dxa"/>
              <w:right w:w="80" w:type="dxa"/>
            </w:tcMar>
            <w:vAlign w:val="center"/>
          </w:tcPr>
          <w:p w14:paraId="2EDF7EC7">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Digestive system</w:t>
            </w:r>
          </w:p>
        </w:tc>
        <w:tc>
          <w:tcPr>
            <w:tcW w:w="1000" w:type="dxa"/>
            <w:tcMar>
              <w:top w:w="60" w:type="dxa"/>
              <w:left w:w="80" w:type="dxa"/>
              <w:bottom w:w="60" w:type="dxa"/>
              <w:right w:w="80" w:type="dxa"/>
            </w:tcMar>
            <w:vAlign w:val="center"/>
          </w:tcPr>
          <w:p w14:paraId="05D7BE96">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8.4</w:t>
            </w:r>
          </w:p>
        </w:tc>
        <w:tc>
          <w:tcPr>
            <w:tcW w:w="2200" w:type="dxa"/>
            <w:tcMar>
              <w:top w:w="60" w:type="dxa"/>
              <w:left w:w="80" w:type="dxa"/>
              <w:bottom w:w="60" w:type="dxa"/>
              <w:right w:w="80" w:type="dxa"/>
            </w:tcMar>
            <w:vAlign w:val="center"/>
          </w:tcPr>
          <w:p w14:paraId="14918BB3">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1.62 (−1.47, 4.10)</w:t>
            </w:r>
          </w:p>
        </w:tc>
        <w:tc>
          <w:tcPr>
            <w:tcW w:w="1300" w:type="dxa"/>
            <w:tcMar>
              <w:top w:w="60" w:type="dxa"/>
              <w:left w:w="80" w:type="dxa"/>
              <w:bottom w:w="60" w:type="dxa"/>
              <w:right w:w="80" w:type="dxa"/>
            </w:tcMar>
            <w:vAlign w:val="center"/>
          </w:tcPr>
          <w:p w14:paraId="4C3D00FE">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0.78</w:t>
            </w:r>
          </w:p>
        </w:tc>
        <w:tc>
          <w:tcPr>
            <w:tcW w:w="1300" w:type="dxa"/>
            <w:tcMar>
              <w:top w:w="60" w:type="dxa"/>
              <w:left w:w="80" w:type="dxa"/>
              <w:bottom w:w="60" w:type="dxa"/>
              <w:right w:w="80" w:type="dxa"/>
            </w:tcMar>
            <w:vAlign w:val="center"/>
          </w:tcPr>
          <w:p w14:paraId="17729B04">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0.84</w:t>
            </w:r>
          </w:p>
        </w:tc>
        <w:tc>
          <w:tcPr>
            <w:tcW w:w="2200" w:type="dxa"/>
            <w:tcMar>
              <w:top w:w="60" w:type="dxa"/>
              <w:left w:w="80" w:type="dxa"/>
              <w:bottom w:w="60" w:type="dxa"/>
              <w:right w:w="80" w:type="dxa"/>
            </w:tcMar>
            <w:vAlign w:val="center"/>
          </w:tcPr>
          <w:p w14:paraId="6FB46C4F">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20.93 (−4.82, 36.51)</w:t>
            </w:r>
          </w:p>
        </w:tc>
        <w:tc>
          <w:tcPr>
            <w:tcW w:w="1300" w:type="dxa"/>
            <w:tcMar>
              <w:top w:w="60" w:type="dxa"/>
              <w:left w:w="80" w:type="dxa"/>
              <w:bottom w:w="60" w:type="dxa"/>
              <w:right w:w="80" w:type="dxa"/>
            </w:tcMar>
            <w:vAlign w:val="center"/>
          </w:tcPr>
          <w:p w14:paraId="4647F02C">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20.11</w:t>
            </w:r>
          </w:p>
        </w:tc>
        <w:tc>
          <w:tcPr>
            <w:tcW w:w="1300" w:type="dxa"/>
            <w:tcMar>
              <w:top w:w="60" w:type="dxa"/>
              <w:left w:w="80" w:type="dxa"/>
              <w:bottom w:w="60" w:type="dxa"/>
              <w:right w:w="80" w:type="dxa"/>
            </w:tcMar>
            <w:vAlign w:val="center"/>
          </w:tcPr>
          <w:p w14:paraId="3D04434B">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0.82</w:t>
            </w:r>
          </w:p>
        </w:tc>
      </w:tr>
      <w:tr w14:paraId="7E5A7A13">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rPr>
          <w:jc w:val="center"/>
        </w:trPr>
        <w:tc>
          <w:tcPr>
            <w:tcW w:w="3600" w:type="dxa"/>
            <w:tcMar>
              <w:top w:w="60" w:type="dxa"/>
              <w:left w:w="80" w:type="dxa"/>
              <w:bottom w:w="60" w:type="dxa"/>
              <w:right w:w="80" w:type="dxa"/>
            </w:tcMar>
            <w:vAlign w:val="center"/>
          </w:tcPr>
          <w:p w14:paraId="09476BE6">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Endocrine, nutritional and metabolic</w:t>
            </w:r>
          </w:p>
        </w:tc>
        <w:tc>
          <w:tcPr>
            <w:tcW w:w="1000" w:type="dxa"/>
            <w:tcMar>
              <w:top w:w="60" w:type="dxa"/>
              <w:left w:w="80" w:type="dxa"/>
              <w:bottom w:w="60" w:type="dxa"/>
              <w:right w:w="80" w:type="dxa"/>
            </w:tcMar>
            <w:vAlign w:val="center"/>
          </w:tcPr>
          <w:p w14:paraId="5FE917AC">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27.6</w:t>
            </w:r>
          </w:p>
        </w:tc>
        <w:tc>
          <w:tcPr>
            <w:tcW w:w="2200" w:type="dxa"/>
            <w:tcMar>
              <w:top w:w="60" w:type="dxa"/>
              <w:left w:w="80" w:type="dxa"/>
              <w:bottom w:w="60" w:type="dxa"/>
              <w:right w:w="80" w:type="dxa"/>
            </w:tcMar>
            <w:vAlign w:val="center"/>
          </w:tcPr>
          <w:p w14:paraId="4BD9D8D5">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6.89 (−23.33, 27.25)</w:t>
            </w:r>
          </w:p>
        </w:tc>
        <w:tc>
          <w:tcPr>
            <w:tcW w:w="1300" w:type="dxa"/>
            <w:tcMar>
              <w:top w:w="60" w:type="dxa"/>
              <w:left w:w="80" w:type="dxa"/>
              <w:bottom w:w="60" w:type="dxa"/>
              <w:right w:w="80" w:type="dxa"/>
            </w:tcMar>
            <w:vAlign w:val="center"/>
          </w:tcPr>
          <w:p w14:paraId="4B2519A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6.02</w:t>
            </w:r>
          </w:p>
        </w:tc>
        <w:tc>
          <w:tcPr>
            <w:tcW w:w="1300" w:type="dxa"/>
            <w:tcMar>
              <w:top w:w="60" w:type="dxa"/>
              <w:left w:w="80" w:type="dxa"/>
              <w:bottom w:w="60" w:type="dxa"/>
              <w:right w:w="80" w:type="dxa"/>
            </w:tcMar>
            <w:vAlign w:val="center"/>
          </w:tcPr>
          <w:p w14:paraId="7F3E62BA">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0.87</w:t>
            </w:r>
          </w:p>
        </w:tc>
        <w:tc>
          <w:tcPr>
            <w:tcW w:w="2200" w:type="dxa"/>
            <w:tcMar>
              <w:top w:w="60" w:type="dxa"/>
              <w:left w:w="80" w:type="dxa"/>
              <w:bottom w:w="60" w:type="dxa"/>
              <w:right w:w="80" w:type="dxa"/>
            </w:tcMar>
            <w:vAlign w:val="center"/>
          </w:tcPr>
          <w:p w14:paraId="6492AB18">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1.10 (−1.89, 3.21)</w:t>
            </w:r>
          </w:p>
        </w:tc>
        <w:tc>
          <w:tcPr>
            <w:tcW w:w="1300" w:type="dxa"/>
            <w:tcMar>
              <w:top w:w="60" w:type="dxa"/>
              <w:left w:w="80" w:type="dxa"/>
              <w:bottom w:w="60" w:type="dxa"/>
              <w:right w:w="80" w:type="dxa"/>
            </w:tcMar>
            <w:vAlign w:val="center"/>
          </w:tcPr>
          <w:p w14:paraId="717D1ED8">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0.63</w:t>
            </w:r>
          </w:p>
        </w:tc>
        <w:tc>
          <w:tcPr>
            <w:tcW w:w="1300" w:type="dxa"/>
            <w:tcMar>
              <w:top w:w="60" w:type="dxa"/>
              <w:left w:w="80" w:type="dxa"/>
              <w:bottom w:w="60" w:type="dxa"/>
              <w:right w:w="80" w:type="dxa"/>
            </w:tcMar>
            <w:vAlign w:val="center"/>
          </w:tcPr>
          <w:p w14:paraId="5B82B34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0.47</w:t>
            </w:r>
          </w:p>
        </w:tc>
      </w:tr>
      <w:tr w14:paraId="63275478">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rPr>
          <w:jc w:val="center"/>
        </w:trPr>
        <w:tc>
          <w:tcPr>
            <w:tcW w:w="3600" w:type="dxa"/>
            <w:tcMar>
              <w:top w:w="60" w:type="dxa"/>
              <w:left w:w="80" w:type="dxa"/>
              <w:bottom w:w="60" w:type="dxa"/>
              <w:right w:w="80" w:type="dxa"/>
            </w:tcMar>
            <w:vAlign w:val="center"/>
          </w:tcPr>
          <w:p w14:paraId="2942D6AB">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Nervous system</w:t>
            </w:r>
          </w:p>
        </w:tc>
        <w:tc>
          <w:tcPr>
            <w:tcW w:w="1000" w:type="dxa"/>
            <w:tcMar>
              <w:top w:w="60" w:type="dxa"/>
              <w:left w:w="80" w:type="dxa"/>
              <w:bottom w:w="60" w:type="dxa"/>
              <w:right w:w="80" w:type="dxa"/>
            </w:tcMar>
            <w:vAlign w:val="center"/>
          </w:tcPr>
          <w:p w14:paraId="4EE40AA0">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27.5</w:t>
            </w:r>
          </w:p>
        </w:tc>
        <w:tc>
          <w:tcPr>
            <w:tcW w:w="2200" w:type="dxa"/>
            <w:tcMar>
              <w:top w:w="60" w:type="dxa"/>
              <w:left w:w="80" w:type="dxa"/>
              <w:bottom w:w="60" w:type="dxa"/>
              <w:right w:w="80" w:type="dxa"/>
            </w:tcMar>
            <w:vAlign w:val="center"/>
          </w:tcPr>
          <w:p w14:paraId="48FF4D70">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19.14 (−39.82, 46.46)</w:t>
            </w:r>
          </w:p>
        </w:tc>
        <w:tc>
          <w:tcPr>
            <w:tcW w:w="1300" w:type="dxa"/>
            <w:tcMar>
              <w:top w:w="60" w:type="dxa"/>
              <w:left w:w="80" w:type="dxa"/>
              <w:bottom w:w="60" w:type="dxa"/>
              <w:right w:w="80" w:type="dxa"/>
            </w:tcMar>
            <w:vAlign w:val="center"/>
          </w:tcPr>
          <w:p w14:paraId="506DB76B">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16.87</w:t>
            </w:r>
          </w:p>
        </w:tc>
        <w:tc>
          <w:tcPr>
            <w:tcW w:w="1300" w:type="dxa"/>
            <w:tcMar>
              <w:top w:w="60" w:type="dxa"/>
              <w:left w:w="80" w:type="dxa"/>
              <w:bottom w:w="60" w:type="dxa"/>
              <w:right w:w="80" w:type="dxa"/>
            </w:tcMar>
            <w:vAlign w:val="center"/>
          </w:tcPr>
          <w:p w14:paraId="64904CBE">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2.27</w:t>
            </w:r>
          </w:p>
        </w:tc>
        <w:tc>
          <w:tcPr>
            <w:tcW w:w="2200" w:type="dxa"/>
            <w:tcMar>
              <w:top w:w="60" w:type="dxa"/>
              <w:left w:w="80" w:type="dxa"/>
              <w:bottom w:w="60" w:type="dxa"/>
              <w:right w:w="80" w:type="dxa"/>
            </w:tcMar>
            <w:vAlign w:val="center"/>
          </w:tcPr>
          <w:p w14:paraId="0D065FE2">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3.34 (−1.87, 6.24)</w:t>
            </w:r>
          </w:p>
        </w:tc>
        <w:tc>
          <w:tcPr>
            <w:tcW w:w="1300" w:type="dxa"/>
            <w:tcMar>
              <w:top w:w="60" w:type="dxa"/>
              <w:left w:w="80" w:type="dxa"/>
              <w:bottom w:w="60" w:type="dxa"/>
              <w:right w:w="80" w:type="dxa"/>
            </w:tcMar>
            <w:vAlign w:val="center"/>
          </w:tcPr>
          <w:p w14:paraId="44B879D2">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1.99</w:t>
            </w:r>
          </w:p>
        </w:tc>
        <w:tc>
          <w:tcPr>
            <w:tcW w:w="1300" w:type="dxa"/>
            <w:tcMar>
              <w:top w:w="60" w:type="dxa"/>
              <w:left w:w="80" w:type="dxa"/>
              <w:bottom w:w="60" w:type="dxa"/>
              <w:right w:w="80" w:type="dxa"/>
            </w:tcMar>
            <w:vAlign w:val="center"/>
          </w:tcPr>
          <w:p w14:paraId="73333600">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1.35</w:t>
            </w:r>
          </w:p>
        </w:tc>
      </w:tr>
      <w:tr w14:paraId="71CDC6F3">
        <w:tblPrEx>
          <w:tblBorders>
            <w:top w:val="single" w:color="000000" w:sz="8" w:space="0"/>
            <w:left w:val="none" w:color="FFFFFF" w:sz="0" w:space="0"/>
            <w:bottom w:val="single" w:color="000000" w:sz="8" w:space="0"/>
            <w:right w:val="none" w:color="FFFFFF" w:sz="0" w:space="0"/>
            <w:insideH w:val="single" w:color="BFBFBF" w:sz="2" w:space="0"/>
            <w:insideV w:val="none" w:color="FFFFFF" w:sz="0" w:space="0"/>
          </w:tblBorders>
          <w:tblCellMar>
            <w:top w:w="0" w:type="dxa"/>
            <w:left w:w="10" w:type="dxa"/>
            <w:bottom w:w="0" w:type="dxa"/>
            <w:right w:w="10" w:type="dxa"/>
          </w:tblCellMar>
        </w:tblPrEx>
        <w:trPr>
          <w:jc w:val="center"/>
        </w:trPr>
        <w:tc>
          <w:tcPr>
            <w:tcW w:w="3600" w:type="dxa"/>
            <w:tcMar>
              <w:top w:w="60" w:type="dxa"/>
              <w:left w:w="80" w:type="dxa"/>
              <w:bottom w:w="60" w:type="dxa"/>
              <w:right w:w="80" w:type="dxa"/>
            </w:tcMar>
            <w:vAlign w:val="center"/>
          </w:tcPr>
          <w:p w14:paraId="10BA57F7">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Genitourinary system</w:t>
            </w:r>
          </w:p>
        </w:tc>
        <w:tc>
          <w:tcPr>
            <w:tcW w:w="1000" w:type="dxa"/>
            <w:tcMar>
              <w:top w:w="60" w:type="dxa"/>
              <w:left w:w="80" w:type="dxa"/>
              <w:bottom w:w="60" w:type="dxa"/>
              <w:right w:w="80" w:type="dxa"/>
            </w:tcMar>
            <w:vAlign w:val="center"/>
          </w:tcPr>
          <w:p w14:paraId="31C835F9">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28.2</w:t>
            </w:r>
          </w:p>
        </w:tc>
        <w:tc>
          <w:tcPr>
            <w:tcW w:w="2200" w:type="dxa"/>
            <w:tcMar>
              <w:top w:w="60" w:type="dxa"/>
              <w:left w:w="80" w:type="dxa"/>
              <w:bottom w:w="60" w:type="dxa"/>
              <w:right w:w="80" w:type="dxa"/>
            </w:tcMar>
            <w:vAlign w:val="center"/>
          </w:tcPr>
          <w:p w14:paraId="5DE23959">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15.55 (−39.97, 43.92)</w:t>
            </w:r>
          </w:p>
        </w:tc>
        <w:tc>
          <w:tcPr>
            <w:tcW w:w="1300" w:type="dxa"/>
            <w:tcMar>
              <w:top w:w="60" w:type="dxa"/>
              <w:left w:w="80" w:type="dxa"/>
              <w:bottom w:w="60" w:type="dxa"/>
              <w:right w:w="80" w:type="dxa"/>
            </w:tcMar>
            <w:vAlign w:val="center"/>
          </w:tcPr>
          <w:p w14:paraId="3ACB4F4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14.46</w:t>
            </w:r>
          </w:p>
        </w:tc>
        <w:tc>
          <w:tcPr>
            <w:tcW w:w="1300" w:type="dxa"/>
            <w:tcMar>
              <w:top w:w="60" w:type="dxa"/>
              <w:left w:w="80" w:type="dxa"/>
              <w:bottom w:w="60" w:type="dxa"/>
              <w:right w:w="80" w:type="dxa"/>
            </w:tcMar>
            <w:vAlign w:val="center"/>
          </w:tcPr>
          <w:p w14:paraId="60AFA2C1">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1.09</w:t>
            </w:r>
          </w:p>
        </w:tc>
        <w:tc>
          <w:tcPr>
            <w:tcW w:w="2200" w:type="dxa"/>
            <w:tcMar>
              <w:top w:w="60" w:type="dxa"/>
              <w:left w:w="80" w:type="dxa"/>
              <w:bottom w:w="60" w:type="dxa"/>
              <w:right w:w="80" w:type="dxa"/>
            </w:tcMar>
            <w:vAlign w:val="center"/>
          </w:tcPr>
          <w:p w14:paraId="0B294182">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1.67 (−2.94, 4.45)</w:t>
            </w:r>
          </w:p>
        </w:tc>
        <w:tc>
          <w:tcPr>
            <w:tcW w:w="1300" w:type="dxa"/>
            <w:tcMar>
              <w:top w:w="60" w:type="dxa"/>
              <w:left w:w="80" w:type="dxa"/>
              <w:bottom w:w="60" w:type="dxa"/>
              <w:right w:w="80" w:type="dxa"/>
            </w:tcMar>
            <w:vAlign w:val="center"/>
          </w:tcPr>
          <w:p w14:paraId="2294DC6B">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0.86</w:t>
            </w:r>
          </w:p>
        </w:tc>
        <w:tc>
          <w:tcPr>
            <w:tcW w:w="1300" w:type="dxa"/>
            <w:tcMar>
              <w:top w:w="60" w:type="dxa"/>
              <w:left w:w="80" w:type="dxa"/>
              <w:bottom w:w="60" w:type="dxa"/>
              <w:right w:w="80" w:type="dxa"/>
            </w:tcMar>
            <w:vAlign w:val="center"/>
          </w:tcPr>
          <w:p w14:paraId="08E37483">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b w:val="0"/>
                <w:bCs w:val="0"/>
                <w:sz w:val="18"/>
                <w:szCs w:val="18"/>
              </w:rPr>
              <w:t>0.81</w:t>
            </w:r>
          </w:p>
        </w:tc>
      </w:tr>
    </w:tbl>
    <w:p w14:paraId="494AF59D">
      <w:pPr>
        <w:keepNext w:val="0"/>
        <w:keepLines w:val="0"/>
        <w:pageBreakBefore w:val="0"/>
        <w:widowControl w:val="0"/>
        <w:kinsoku/>
        <w:wordWrap/>
        <w:overflowPunct/>
        <w:topLinePunct w:val="0"/>
        <w:autoSpaceDE/>
        <w:autoSpaceDN/>
        <w:bidi w:val="0"/>
        <w:adjustRightInd/>
        <w:snapToGrid/>
        <w:spacing w:before="0" w:line="360" w:lineRule="auto"/>
        <w:jc w:val="center"/>
        <w:textAlignment w:val="auto"/>
      </w:pPr>
      <w:r>
        <w:rPr>
          <w:rFonts w:ascii="Times New Roman" w:hAnsi="Times New Roman" w:eastAsia="Times New Roman" w:cs="Times New Roman"/>
          <w:sz w:val="18"/>
          <w:szCs w:val="18"/>
        </w:rPr>
        <w:t>Each cause was modelled separately and its attributable fractions were computed relative to its own MMT, so the values are not additive across causes. Moderate and extreme components are separated at the 2.5th and 97.5th percentiles of daily mean temperature. The first three rows are those reported in Table 4 of the main text; the remaining six are reported as exploratory. Those cause groups have small daily counts or a weak association with temperature, so their intervals include the null and, for the digestive, endocrine, nervous and genitourinary groups, are wide enough that the point estimates should not be interpreted quantitatively. For causes whose MMT lies in the lower part of the temperature range, the heat component covers a large share of the year and the corresponding fraction is correspondingly unstable.</w:t>
      </w:r>
    </w:p>
    <w:p w14:paraId="0FD85F43">
      <w:pPr>
        <w:keepNext w:val="0"/>
        <w:keepLines w:val="0"/>
        <w:pageBreakBefore w:val="0"/>
        <w:widowControl w:val="0"/>
        <w:kinsoku/>
        <w:wordWrap/>
        <w:overflowPunct/>
        <w:topLinePunct w:val="0"/>
        <w:autoSpaceDE/>
        <w:autoSpaceDN/>
        <w:bidi w:val="0"/>
        <w:adjustRightInd/>
        <w:snapToGrid/>
        <w:spacing w:line="360" w:lineRule="auto"/>
        <w:textAlignment w:val="auto"/>
      </w:pPr>
    </w:p>
    <w:sectPr>
      <w:footerReference r:id="rId4" w:type="default"/>
      <w:pgSz w:w="16838" w:h="11906" w:orient="landscape"/>
      <w:pgMar w:top="1134" w:right="1134" w:bottom="1134" w:left="1134" w:header="708" w:footer="708" w:gutter="0"/>
      <w:pgBorders>
        <w:top w:val="none" w:sz="0" w:space="0"/>
        <w:left w:val="none" w:sz="0" w:space="0"/>
        <w:bottom w:val="none" w:sz="0" w:space="0"/>
        <w:right w:val="none" w:sz="0" w:space="0"/>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75FDA">
    <w:pPr>
      <w:jc w:val="center"/>
    </w:pPr>
    <w:r>
      <w:rPr>
        <w:rFonts w:ascii="Times New Roman" w:hAnsi="Times New Roman" w:eastAsia="Times New Roman" w:cs="Times New Roman"/>
        <w:sz w:val="18"/>
        <w:szCs w:val="18"/>
      </w:rPr>
      <w:fldChar w:fldCharType="begin"/>
    </w:r>
    <w:r>
      <w:rPr>
        <w:rFonts w:ascii="Times New Roman" w:hAnsi="Times New Roman" w:eastAsia="Times New Roman" w:cs="Times New Roman"/>
        <w:sz w:val="18"/>
        <w:szCs w:val="18"/>
      </w:rPr>
      <w:instrText xml:space="preserve">PAGE</w:instrText>
    </w:r>
    <w:r>
      <w:rPr>
        <w:rFonts w:ascii="Times New Roman" w:hAnsi="Times New Roman" w:eastAsia="Times New Roman" w:cs="Times New Roman"/>
        <w:sz w:val="18"/>
        <w:szCs w:val="18"/>
      </w:rPr>
      <w:fldChar w:fldCharType="separate"/>
    </w:r>
    <w:r>
      <w:rPr>
        <w:rFonts w:ascii="Times New Roman" w:hAnsi="Times New Roman" w:eastAsia="Times New Roman" w:cs="Times New Roman"/>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633CD">
    <w:pPr>
      <w:jc w:val="center"/>
    </w:pPr>
    <w:r>
      <w:rPr>
        <w:rFonts w:ascii="Times New Roman" w:hAnsi="Times New Roman" w:eastAsia="Times New Roman" w:cs="Times New Roman"/>
        <w:sz w:val="18"/>
        <w:szCs w:val="18"/>
      </w:rPr>
      <w:fldChar w:fldCharType="begin"/>
    </w:r>
    <w:r>
      <w:rPr>
        <w:rFonts w:ascii="Times New Roman" w:hAnsi="Times New Roman" w:eastAsia="Times New Roman" w:cs="Times New Roman"/>
        <w:sz w:val="18"/>
        <w:szCs w:val="18"/>
      </w:rPr>
      <w:instrText xml:space="preserve">PAGE</w:instrText>
    </w:r>
    <w:r>
      <w:rPr>
        <w:rFonts w:ascii="Times New Roman" w:hAnsi="Times New Roman" w:eastAsia="Times New Roman" w:cs="Times New Roman"/>
        <w:sz w:val="18"/>
        <w:szCs w:val="18"/>
      </w:rPr>
      <w:fldChar w:fldCharType="separate"/>
    </w:r>
    <w:r>
      <w:rPr>
        <w:rFonts w:ascii="Times New Roman" w:hAnsi="Times New Roman" w:eastAsia="Times New Roman" w:cs="Times New Roman"/>
        <w:sz w:val="18"/>
        <w:szCs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426157"/>
    <w:rsid w:val="673226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imes New Roman" w:cs="Times New Roman"/>
      <w:sz w:val="22"/>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2026-09-08T14:56:28Z</dcterms:created>
  <dc:creator>31776</dc:creator>
  <cp:lastModifiedBy>萩</cp:lastModifiedBy>
  <dcterms:modified xsi:type="dcterms:W3CDTF">2026-09-08T14:58:22Z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eyJoZGlkIjoiMWMzNzViMWRkZTU2MDMwMDMzNmE3ZjNlYzBiMzkwM2MiLCJ1c2VySWQiOiI0NDE5ODAwMTAifQ==</vt:lpwstr>
  </property>
  <property fmtid="{D5CDD505-2E9C-101B-9397-08002B2CF9AE}" pid="4" name="ICV">
    <vt:lpwstr>13F7FDAE6E644797A3FFD610AB7C12FB_12</vt:lpwstr>
  </property>
</Properties>
</file>