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E33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26"/>
          <w:szCs w:val="26"/>
        </w:rPr>
        <w:t>Additional file 2</w:t>
      </w:r>
    </w:p>
    <w:p w14:paraId="6A158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STROBE Statement — checklist of items that should be included in reports of observational studies</w:t>
      </w:r>
    </w:p>
    <w:p w14:paraId="34020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Manuscript: </w:t>
      </w:r>
      <w:r>
        <w:rPr>
          <w:rFonts w:hint="default" w:ascii="Times New Roman" w:hAnsi="Times New Roman" w:cs="Times New Roman"/>
          <w:i/>
          <w:iCs/>
          <w:sz w:val="20"/>
          <w:szCs w:val="20"/>
        </w:rPr>
        <w:t>Cold Dominates the Temperature–Mortality Burden and Defines a Longer Window for Protection: A Seven-Year Time-Series Study of Cold Spells and Heatwaves in Changsha, China</w:t>
      </w:r>
    </w:p>
    <w:p w14:paraId="55186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b/>
          <w:bCs/>
          <w:sz w:val="20"/>
          <w:szCs w:val="20"/>
        </w:rPr>
        <w:t xml:space="preserve">Submission ID: </w:t>
      </w:r>
      <w:r>
        <w:rPr>
          <w:rFonts w:hint="default" w:ascii="Times New Roman" w:hAnsi="Times New Roman" w:cs="Times New Roman"/>
          <w:sz w:val="20"/>
          <w:szCs w:val="20"/>
        </w:rPr>
        <w:t>231c61c0-332b-4b42-bc50-a5f330ba1a5e</w:t>
      </w:r>
    </w:p>
    <w:p w14:paraId="10552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宋体" w:cs="Times New Roman"/>
          <w:b/>
          <w:bCs/>
          <w:sz w:val="20"/>
          <w:szCs w:val="20"/>
        </w:rPr>
        <w:t>Study design:</w:t>
      </w:r>
      <w:r>
        <w:rPr>
          <w:rFonts w:hint="default" w:ascii="Times New Roman" w:hAnsi="Times New Roman" w:cs="Times New Roman"/>
          <w:sz w:val="20"/>
          <w:szCs w:val="20"/>
        </w:rPr>
        <w:t xml:space="preserve"> population-based ecological time-series analysis of routinely collected aggregate data. The cross-sectional version of the STROBE checklist has been used. Line numbers refer to the line-numbered revised manuscript submitted with this checklist; numbering begins at the Introduction, so items located in the title or the abstract are identified by section rather than by line.</w:t>
      </w:r>
    </w:p>
    <w:tbl>
      <w:tblPr>
        <w:tblStyle w:val="2"/>
        <w:tblW w:w="84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850"/>
        <w:gridCol w:w="3390"/>
        <w:gridCol w:w="4162"/>
      </w:tblGrid>
      <w:tr w14:paraId="032F4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  <w:jc w:val="center"/>
        </w:trPr>
        <w:tc>
          <w:tcPr>
            <w:tcW w:w="850" w:type="dxa"/>
            <w:shd w:val="clear" w:color="auto" w:fill="B8CCE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F66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Item No.</w:t>
            </w:r>
          </w:p>
        </w:tc>
        <w:tc>
          <w:tcPr>
            <w:tcW w:w="3390" w:type="dxa"/>
            <w:shd w:val="clear" w:color="auto" w:fill="B8CCE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263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STROBE recommendation</w:t>
            </w:r>
          </w:p>
        </w:tc>
        <w:tc>
          <w:tcPr>
            <w:tcW w:w="4162" w:type="dxa"/>
            <w:shd w:val="clear" w:color="auto" w:fill="B8CCE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4AB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Reported in (section; line no.)</w:t>
            </w:r>
          </w:p>
        </w:tc>
      </w:tr>
      <w:tr w14:paraId="5CE3C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402" w:type="dxa"/>
            <w:gridSpan w:val="3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585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Title and abstract</w:t>
            </w:r>
          </w:p>
        </w:tc>
      </w:tr>
      <w:tr w14:paraId="19E11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EE2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1 (a)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EDA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Indicate the study’s design with a commonly used term in the title or the abstract.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BC3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Title page (unnumbered front matter): "A Seven-Year Time-Series Study"; Abstract, Methods paragraph (unnumbered front matter)</w:t>
            </w:r>
          </w:p>
        </w:tc>
      </w:tr>
      <w:tr w14:paraId="0D32A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4A1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1 (b)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A05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Provide in the abstract an informative and balanced summary of what was done and what was found.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D5C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Abstract (unnumbered front matter), structured as Background, Methods, Results and Conclusions</w:t>
            </w:r>
          </w:p>
        </w:tc>
      </w:tr>
      <w:tr w14:paraId="36CDC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402" w:type="dxa"/>
            <w:gridSpan w:val="3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93D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Introduction</w:t>
            </w:r>
          </w:p>
        </w:tc>
      </w:tr>
      <w:tr w14:paraId="18733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CB1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8EF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Explain the scientific background and rationale for the investigation being reported.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D7C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Introduction, Lines 2–29</w:t>
            </w:r>
          </w:p>
        </w:tc>
      </w:tr>
      <w:tr w14:paraId="28EC1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0D2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41A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State specific objectives, including any pre-specified hypotheses.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097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Introduction, Lines 30–43 (the two open questions); Lines 44–53 (aims and pre-specified subgroup comparisons)</w:t>
            </w:r>
          </w:p>
        </w:tc>
      </w:tr>
      <w:tr w14:paraId="53917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402" w:type="dxa"/>
            <w:gridSpan w:val="3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DB6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Methods</w:t>
            </w:r>
          </w:p>
        </w:tc>
      </w:tr>
      <w:tr w14:paraId="3B8A2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DEF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4AA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Present key elements of study design early in the paper.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2BD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Abstract, Methods paragraph (unnumbered front matter); Methods 1.2, Lines 66–67; Methods 1.4.1, Lines 118–136</w:t>
            </w:r>
          </w:p>
        </w:tc>
      </w:tr>
      <w:tr w14:paraId="20AAC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F58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22A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Describe the setting, locations, and relevant dates, including periods of exposure and data collection.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1C9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Methods 1.1, Lines 56–64 (Changsha; 28°12′N, 112°59′E); Methods 1.2, Lines 66–67 (1 January 2015 – 31 December 2021; 2,557 days), Lines 95–99</w:t>
            </w:r>
          </w:p>
        </w:tc>
      </w:tr>
      <w:tr w14:paraId="044CE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1EC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6 (a)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7EB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Give the eligibility criteria, and the sources and methods of selection of participants. In this ecological time-series the unit of analysis is the day; the population is all registered residents of Changsha, with no individual-level selection.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E7D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Methods 1.1, Lines 56–64; Methods 1.2, Lines 66–67, 78–92</w:t>
            </w:r>
          </w:p>
        </w:tc>
      </w:tr>
      <w:tr w14:paraId="7AF32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969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CCC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Clearly define all outcomes, exposures, predictors, potential confounders and effect modifiers.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ED6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Outcome: Methods 1.2, Lines 78–92 (non-accidental death, ICD-10 A00–R99, and eight cause groups)</w:t>
            </w:r>
          </w:p>
          <w:p w14:paraId="18C59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Exposure: Methods 1.2, Lines 69–71; Methods 1.3, Lines 101–115</w:t>
            </w:r>
          </w:p>
          <w:p w14:paraId="1EDF5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Confounders: Methods 1.4.1, Lines 127–131 (time spline, day of week, holidays)</w:t>
            </w:r>
          </w:p>
          <w:p w14:paraId="4129F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Effect modifiers: Methods 1.4.5, Lines 166–167 (sex, age)</w:t>
            </w:r>
          </w:p>
        </w:tc>
      </w:tr>
      <w:tr w14:paraId="6B9A4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6E3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09E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For each variable of interest, give sources of data and details of methods of assessment (measurement).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378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Methods 1.2, Lines 66–92: China Meteorological Data Service Centre (meteorology); ChinaHighAirPollutants (CHAP) gridded dataset (PM2.5, O3, NO2); Changsha CDC ICD-10-coded death surveillance; Hunan Provincial Bureau of Statistics (population)</w:t>
            </w:r>
          </w:p>
        </w:tc>
      </w:tr>
      <w:tr w14:paraId="3637F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160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DB0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Describe any efforts to address potential sources of bias.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A23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Long-term and seasonal trend control: Methods 1.4.1, Lines 127–131</w:t>
            </w:r>
          </w:p>
          <w:p w14:paraId="7669C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Verification of seasonal control: Methods 1.4.4, Lines 157–164; Results 2.2, Lines 206–216</w:t>
            </w:r>
          </w:p>
          <w:p w14:paraId="7230B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Collinearity of event indicators with the temperature cross-basis: Results 2.4, Lines 260–270</w:t>
            </w:r>
          </w:p>
          <w:p w14:paraId="19BC2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Residual confounding (influenza not adjusted for): Discussion, Lines 479–483</w:t>
            </w:r>
          </w:p>
        </w:tc>
      </w:tr>
      <w:tr w14:paraId="13291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EA3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9EF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Explain how the study size was arrived at.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DBB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Methods 1.2, Lines 66–67 (2,557 consecutive days), Lines 95–99 (period fixed by availability of quality-assured surveillance and by the number of independent events needed for stable lag estimation); Results 2.1, Lines 186–189</w:t>
            </w:r>
          </w:p>
        </w:tc>
      </w:tr>
      <w:tr w14:paraId="428F7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929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2C8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Explain how quantitative variables were handled in the analyses. If applicable, describe which groupings were chosen and why.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7C4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Methods 1.3, Lines 101–115 (2.5th/97.5th percentile thresholds; moderate vs extreme ranges relative to the MMT); Methods 1.4.1, Lines 119–127 (cross-basis; natural cubic splines; knots at the 10th/75th/90th percentiles on the exposure dimension and three log-spaced knots on the lag dimension; 4 df per dimension)</w:t>
            </w:r>
          </w:p>
        </w:tc>
      </w:tr>
      <w:tr w14:paraId="2B91C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954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12 (a)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EF0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Describe all statistical methods, including those used to control for confounding.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263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Methods 1.4.1, Lines 118–136 (quasi-Poisson DLNM; full model equation); Methods 1.4.2, Lines 138–146 (attributable burden); Methods 1.4.3, Lines 148–155 (added-effect model and equation)</w:t>
            </w:r>
          </w:p>
        </w:tc>
      </w:tr>
      <w:tr w14:paraId="3C475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9D4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12 (b)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1B2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Describe any methods used to examine subgroups and interactions.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143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Methods 1.4.5, Lines 166–170 (stratified DLNMs by sex and age; Altman and Bland test for between-group differences; Bonferroni-corrected threshold α=0.0125 for four pre-specified comparisons)</w:t>
            </w:r>
          </w:p>
        </w:tc>
      </w:tr>
      <w:tr w14:paraId="714FC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B98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12 (c)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A52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Explain how missing data were addressed.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BFA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Methods 1.2, Lines 93–94: the mortality, relative-humidity, air-pollutant and daily mean, maximum and minimum temperature series were complete over the study period, so no imputation or exclusion was required.</w:t>
            </w:r>
          </w:p>
        </w:tc>
      </w:tr>
      <w:tr w14:paraId="0CCE0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944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12 (d)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132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If applicable, describe analytical methods taking account of sampling strategy.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C0F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Not applicable. The analysis used the complete daily series for the whole resident population; there was no sampling (Methods 1.2, Lines 66–67).</w:t>
            </w:r>
          </w:p>
        </w:tc>
      </w:tr>
      <w:tr w14:paraId="0BD46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AA4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12 (e)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4CB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Describe any sensitivity analyses.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226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Methods 1.4.5, Lines 170–177 (time-spline df 6–8/year; event lag windows 3, 7 and 14 days; relative humidity; heat-wave definition; maximum temperature lag 14, 21 and 28 days; PM2.5, O3 and NO2 separately; four spline-knot placements; alternative reference temperatures); Results 2.7, Lines 328–345; Additional file 1, Tables S1–S4</w:t>
            </w:r>
          </w:p>
        </w:tc>
      </w:tr>
      <w:tr w14:paraId="2E986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402" w:type="dxa"/>
            <w:gridSpan w:val="3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E60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Results</w:t>
            </w:r>
          </w:p>
        </w:tc>
      </w:tr>
      <w:tr w14:paraId="57A89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25D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13 (a)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B0F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Report numbers of individuals at each stage of the study.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719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Results 2.1, Lines 181–198. All 2,557 days and all 344,379 registered non-accidental deaths in the period were included; in a complete population-based daily series no exclusion cascade arises.</w:t>
            </w:r>
          </w:p>
        </w:tc>
      </w:tr>
      <w:tr w14:paraId="4E99B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8CB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13 (b)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A34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Give reasons for non-participation at each stage.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BBD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Not applicable. There was no recruitment, consent or participation at the individual level; the analysis used routinely collected aggregate counts.</w:t>
            </w:r>
          </w:p>
        </w:tc>
      </w:tr>
      <w:tr w14:paraId="0437E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8A5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13 (c)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77F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Consider use of a flow diagram.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773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Not applicable, for the reason given at item 13 (b). No participants were excluded at any stage.</w:t>
            </w:r>
          </w:p>
        </w:tc>
      </w:tr>
      <w:tr w14:paraId="1B04E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8AB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14 (a)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B77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Give characteristics of study participants and information on exposures and potential confounders.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767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Methods 1.1, Lines 61–64 (population size, sex ratio, age structure); Results 2.1, Lines 181–198; Table 1 (Line 190, meteorological and air-pollutant distributions); Fig. 1 (Lines 199–204, deaths by cause, sex and age group)</w:t>
            </w:r>
          </w:p>
        </w:tc>
      </w:tr>
      <w:tr w14:paraId="52153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18D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14 (b)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7C1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Indicate number of participants with missing data for each variable of interest.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E0A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Methods 1.2, Lines 93–94: no missing values in any analysed series over the 2,557 study days.</w:t>
            </w:r>
          </w:p>
        </w:tc>
      </w:tr>
      <w:tr w14:paraId="72E8B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7E7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844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Report numbers of outcome events or summary measures.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3D4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Results 2.1, Lines 192–198 (344,379 non-accidental deaths; mean 134.7 per day; distribution by cause and sex); Fig. 1, Lines 199–204</w:t>
            </w:r>
          </w:p>
        </w:tc>
      </w:tr>
      <w:tr w14:paraId="1A6E1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B22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16 (a)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0D9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Give unadjusted and, if applicable, confounder-adjusted estimates and their precision; make clear which confounders were adjusted for and why.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3F9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Results 2.3, Lines 220–225 (cumulative RRs with 95% CI at extreme cold and extreme heat, relative to the MMT); Results 2.5, Lines 279–290 and Table 4 (Line 300; attributable fractions with 95% eCI). The adjustment set and its rationale are given at Methods 1.4.1, Lines 127–131.</w:t>
            </w:r>
          </w:p>
        </w:tc>
      </w:tr>
      <w:tr w14:paraId="77D31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704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16 (b)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F74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Report category boundaries when continuous variables were categorised.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302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Methods 1.3, Lines 101–105 (extreme cold 2.2 °C, P2.5; extreme heat 31.1 °C, P97.5); Results 2.5, Lines 279–282 (moderate cold 2.2–28.0 °C, covering 83.2% of study days)</w:t>
            </w:r>
          </w:p>
        </w:tc>
      </w:tr>
      <w:tr w14:paraId="4E1DF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775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16 (c)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85D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If relevant, consider translating estimates of relative risk into absolute risk for a meaningful time period.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D47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Results 2.5, Lines 288–290 (approximately 26,500 cold-related and 2,900 heat-related deaths over the seven-year period)</w:t>
            </w:r>
          </w:p>
        </w:tc>
      </w:tr>
      <w:tr w14:paraId="5CF0D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ECE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7B8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Report other analyses done — e.g. analyses of subgroups and interactions, and sensitivity analyses.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6BB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Added effects of cold spells and heatwaves: Results 2.4, Lines 249–276; Table 3 (Line 277); Additional file 1, Figs. S3–S6</w:t>
            </w:r>
          </w:p>
          <w:p w14:paraId="1CAD2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Subgroups: Results 2.6, Lines 302–321; Table 5 (Line 322); Figs. 3 and 4 (Lines 324 and 326)</w:t>
            </w:r>
          </w:p>
          <w:p w14:paraId="407EB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Sensitivity analyses: Results 2.7, Lines 328–345; Additional file 1, Tables S1–S4</w:t>
            </w:r>
          </w:p>
        </w:tc>
      </w:tr>
      <w:tr w14:paraId="58B24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402" w:type="dxa"/>
            <w:gridSpan w:val="3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9FA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Discussion</w:t>
            </w:r>
          </w:p>
        </w:tc>
      </w:tr>
      <w:tr w14:paraId="6D425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A55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D18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Summarise key results with reference to study objectives.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95D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Discussion, Lines 347–364; Conclusion, Lines 520–534</w:t>
            </w:r>
          </w:p>
        </w:tc>
      </w:tr>
      <w:tr w14:paraId="41B75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935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AAA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Discuss limitations of the study, taking into account sources of potential bias or imprecision; discuss both direction and magnitude of any potential bias.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52C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Discussion, Lines 469–487 (single city; ecological design and unmeasured individual-level factors; limited number of events underlying the null added effect; influenza not adjusted for; sensitivity of the attributable fraction to knot placement)</w:t>
            </w:r>
          </w:p>
        </w:tc>
      </w:tr>
      <w:tr w14:paraId="0D8E3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2A7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FAF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Give a cautious overall interpretation of results considering objectives, limitations, multiplicity of analyses, results from similar studies and other relevant evidence.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426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Discussion, Lines 352–364 and 393–403 (quantitative comparison with multi-country and 272-city estimates); Lines 365–378 (shape of the exposure–response curve and uncertainty of the MMT); Lines 404–415 (biological plausibility); Lines 450–462 (multiplicity of the four pre-specified comparisons); Lines 490–518 (policy interpretation)</w:t>
            </w:r>
          </w:p>
        </w:tc>
      </w:tr>
      <w:tr w14:paraId="3411F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67D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9AF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Discuss the generalisability (external validity) of the study results.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2A3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Discussion, Lines 393–403 (position of Changsha among subtropical cities); Lines 469–472 (single-city design; call for multi-site replication)</w:t>
            </w:r>
          </w:p>
        </w:tc>
      </w:tr>
      <w:tr w14:paraId="5C88A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402" w:type="dxa"/>
            <w:gridSpan w:val="3"/>
            <w:shd w:val="clear" w:color="auto" w:fill="DCE6F1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8D9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Other information</w:t>
            </w:r>
          </w:p>
        </w:tc>
      </w:tr>
      <w:tr w14:paraId="6C6D3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E19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339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696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Give the source of funding and the role of the funders for the present study and, if applicable, for the original study on which the present article is based.</w:t>
            </w:r>
          </w:p>
        </w:tc>
        <w:tc>
          <w:tcPr>
            <w:tcW w:w="4162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569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Declarations, Funding, Lines 673–677 (Natural Science Foundation of Hunan Province, grant no. 2024JJ9547; the funders had no role in design, data collection, analysis, interpretation or writing)</w:t>
            </w:r>
          </w:p>
        </w:tc>
      </w:tr>
    </w:tbl>
    <w:p w14:paraId="3AE150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</w:p>
    <w:p w14:paraId="6A5E26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Notes</w:t>
      </w:r>
    </w:p>
    <w:p w14:paraId="29BB1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0"/>
          <w:szCs w:val="20"/>
        </w:rPr>
        <w:t>(i) Items 6 (b), 12 (d), 13 (b) and 13 (c) do not apply to an ecological time-series design. There is no participant matching, no recruitment, no non-participation and no loss to follow-up: the complete daily series for the entire resident population of Changsha was analysed, and every one of the 2,557 study days contributed to the models.</w:t>
      </w:r>
    </w:p>
    <w:p w14:paraId="6FD6DB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0"/>
          <w:szCs w:val="20"/>
        </w:rPr>
        <w:t>(ii) Adherence to the STROBE guidelines is stated in the manuscript at Discussion, Lines 487–489.</w:t>
      </w:r>
    </w:p>
    <w:p w14:paraId="72083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0"/>
          <w:szCs w:val="20"/>
        </w:rPr>
        <w:t>(iii) Section headings are given alongside each line range so that items remain traceable if pagination shifts during production.</w:t>
      </w:r>
    </w:p>
    <w:p w14:paraId="0B07D8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20"/>
          <w:szCs w:val="20"/>
        </w:rPr>
        <w:t>(iv) An Explanation and Elaboration article discusses each checklist item and is available, together with the official checklist forms, at www.strobe-statement.org.</w:t>
      </w:r>
    </w:p>
    <w:p w14:paraId="1CACA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</w:p>
    <w:p w14:paraId="3BA8432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3B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2026-09-28T02:51:38Z</dcterms:created>
  <dc:creator>31776</dc:creator>
  <cp:lastModifiedBy>萩</cp:lastModifiedBy>
  <dcterms:modified xsi:type="dcterms:W3CDTF">2026-09-28T02:51:49Z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eyJoZGlkIjoiMWMzNzViMWRkZTU2MDMwMDMzNmE3ZjNlYzBiMzkwM2MiLCJ1c2VySWQiOiI0NDE5ODAwMTAifQ==</vt:lpwstr>
  </property>
  <property fmtid="{D5CDD505-2E9C-101B-9397-08002B2CF9AE}" pid="4" name="ICV">
    <vt:lpwstr>BA8391E4286C40F6AA08266609FCD350_12</vt:lpwstr>
  </property>
</Properties>
</file>