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dditional-file-3"/>
    <w:p>
      <w:pPr>
        <w:pStyle w:val="Heading1"/>
      </w:pPr>
      <w:r>
        <w:t xml:space="preserve">Additional file 3</w:t>
      </w:r>
    </w:p>
    <w:p>
      <w:pPr>
        <w:pStyle w:val="FirstParagraph"/>
      </w:pPr>
      <w:r>
        <w:rPr>
          <w:bCs/>
          <w:b/>
        </w:rPr>
        <w:t xml:space="preserve">Title:</w:t>
      </w:r>
      <w:r>
        <w:t xml:space="preserve"> </w:t>
      </w:r>
      <w:r>
        <w:t xml:space="preserve">Faculty-by-academic-year distribution of participants</w:t>
      </w:r>
    </w:p>
    <w:p>
      <w:pPr>
        <w:pStyle w:val="BodyText"/>
      </w:pPr>
      <w:r>
        <w:rPr>
          <w:bCs/>
          <w:b/>
        </w:rPr>
        <w:t xml:space="preserve">Table S1. Distribution of participants across faculties and academic years (n = 1432)</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Year of Study</w:t>
            </w:r>
          </w:p>
        </w:tc>
        <w:tc>
          <w:tcPr/>
          <w:p>
            <w:pPr>
              <w:pStyle w:val="Compact"/>
              <w:jc w:val="left"/>
            </w:pPr>
            <w:r>
              <w:t xml:space="preserve">Faculty of Medicine, n</w:t>
            </w:r>
          </w:p>
        </w:tc>
        <w:tc>
          <w:tcPr/>
          <w:p>
            <w:pPr>
              <w:pStyle w:val="Compact"/>
              <w:jc w:val="left"/>
            </w:pPr>
            <w:r>
              <w:t xml:space="preserve">Faculty of Dentistry, n</w:t>
            </w:r>
          </w:p>
        </w:tc>
        <w:tc>
          <w:tcPr/>
          <w:p>
            <w:pPr>
              <w:pStyle w:val="Compact"/>
              <w:jc w:val="left"/>
            </w:pPr>
            <w:r>
              <w:t xml:space="preserve">Faculty of Pharmacy, n</w:t>
            </w:r>
          </w:p>
        </w:tc>
        <w:tc>
          <w:tcPr/>
          <w:p>
            <w:pPr>
              <w:pStyle w:val="Compact"/>
              <w:jc w:val="left"/>
            </w:pPr>
            <w:r>
              <w:t xml:space="preserve">Total, n</w:t>
            </w:r>
          </w:p>
        </w:tc>
      </w:tr>
      <w:tr>
        <w:tc>
          <w:tcPr/>
          <w:p>
            <w:pPr>
              <w:pStyle w:val="Compact"/>
              <w:jc w:val="left"/>
            </w:pPr>
            <w:r>
              <w:t xml:space="preserve">1st year</w:t>
            </w:r>
          </w:p>
        </w:tc>
        <w:tc>
          <w:tcPr/>
          <w:p>
            <w:pPr>
              <w:pStyle w:val="Compact"/>
              <w:jc w:val="left"/>
            </w:pPr>
            <w:r>
              <w:t xml:space="preserve">201</w:t>
            </w:r>
          </w:p>
        </w:tc>
        <w:tc>
          <w:tcPr/>
          <w:p>
            <w:pPr>
              <w:pStyle w:val="Compact"/>
              <w:jc w:val="left"/>
            </w:pPr>
            <w:r>
              <w:t xml:space="preserve">114</w:t>
            </w:r>
          </w:p>
        </w:tc>
        <w:tc>
          <w:tcPr/>
          <w:p>
            <w:pPr>
              <w:pStyle w:val="Compact"/>
              <w:jc w:val="left"/>
            </w:pPr>
            <w:r>
              <w:t xml:space="preserve">33</w:t>
            </w:r>
          </w:p>
        </w:tc>
        <w:tc>
          <w:tcPr/>
          <w:p>
            <w:pPr>
              <w:pStyle w:val="Compact"/>
              <w:jc w:val="left"/>
            </w:pPr>
            <w:r>
              <w:t xml:space="preserve">348</w:t>
            </w:r>
          </w:p>
        </w:tc>
      </w:tr>
      <w:tr>
        <w:tc>
          <w:tcPr/>
          <w:p>
            <w:pPr>
              <w:pStyle w:val="Compact"/>
              <w:jc w:val="left"/>
            </w:pPr>
            <w:r>
              <w:t xml:space="preserve">2nd year</w:t>
            </w:r>
          </w:p>
        </w:tc>
        <w:tc>
          <w:tcPr/>
          <w:p>
            <w:pPr>
              <w:pStyle w:val="Compact"/>
              <w:jc w:val="left"/>
            </w:pPr>
            <w:r>
              <w:t xml:space="preserve">182</w:t>
            </w:r>
          </w:p>
        </w:tc>
        <w:tc>
          <w:tcPr/>
          <w:p>
            <w:pPr>
              <w:pStyle w:val="Compact"/>
              <w:jc w:val="left"/>
            </w:pPr>
            <w:r>
              <w:t xml:space="preserve">68</w:t>
            </w:r>
          </w:p>
        </w:tc>
        <w:tc>
          <w:tcPr/>
          <w:p>
            <w:pPr>
              <w:pStyle w:val="Compact"/>
              <w:jc w:val="left"/>
            </w:pPr>
            <w:r>
              <w:t xml:space="preserve">47</w:t>
            </w:r>
          </w:p>
        </w:tc>
        <w:tc>
          <w:tcPr/>
          <w:p>
            <w:pPr>
              <w:pStyle w:val="Compact"/>
              <w:jc w:val="left"/>
            </w:pPr>
            <w:r>
              <w:t xml:space="preserve">297</w:t>
            </w:r>
          </w:p>
        </w:tc>
      </w:tr>
      <w:tr>
        <w:tc>
          <w:tcPr/>
          <w:p>
            <w:pPr>
              <w:pStyle w:val="Compact"/>
              <w:jc w:val="left"/>
            </w:pPr>
            <w:r>
              <w:t xml:space="preserve">3rd year</w:t>
            </w:r>
          </w:p>
        </w:tc>
        <w:tc>
          <w:tcPr/>
          <w:p>
            <w:pPr>
              <w:pStyle w:val="Compact"/>
              <w:jc w:val="left"/>
            </w:pPr>
            <w:r>
              <w:t xml:space="preserve">125</w:t>
            </w:r>
          </w:p>
        </w:tc>
        <w:tc>
          <w:tcPr/>
          <w:p>
            <w:pPr>
              <w:pStyle w:val="Compact"/>
              <w:jc w:val="left"/>
            </w:pPr>
            <w:r>
              <w:t xml:space="preserve">39</w:t>
            </w:r>
          </w:p>
        </w:tc>
        <w:tc>
          <w:tcPr/>
          <w:p>
            <w:pPr>
              <w:pStyle w:val="Compact"/>
              <w:jc w:val="left"/>
            </w:pPr>
            <w:r>
              <w:t xml:space="preserve">52</w:t>
            </w:r>
          </w:p>
        </w:tc>
        <w:tc>
          <w:tcPr/>
          <w:p>
            <w:pPr>
              <w:pStyle w:val="Compact"/>
              <w:jc w:val="left"/>
            </w:pPr>
            <w:r>
              <w:t xml:space="preserve">216</w:t>
            </w:r>
          </w:p>
        </w:tc>
      </w:tr>
      <w:tr>
        <w:tc>
          <w:tcPr/>
          <w:p>
            <w:pPr>
              <w:pStyle w:val="Compact"/>
              <w:jc w:val="left"/>
            </w:pPr>
            <w:r>
              <w:t xml:space="preserve">4th year</w:t>
            </w:r>
          </w:p>
        </w:tc>
        <w:tc>
          <w:tcPr/>
          <w:p>
            <w:pPr>
              <w:pStyle w:val="Compact"/>
              <w:jc w:val="left"/>
            </w:pPr>
            <w:r>
              <w:t xml:space="preserve">133</w:t>
            </w:r>
          </w:p>
        </w:tc>
        <w:tc>
          <w:tcPr/>
          <w:p>
            <w:pPr>
              <w:pStyle w:val="Compact"/>
              <w:jc w:val="left"/>
            </w:pPr>
            <w:r>
              <w:t xml:space="preserve">83</w:t>
            </w:r>
          </w:p>
        </w:tc>
        <w:tc>
          <w:tcPr/>
          <w:p>
            <w:pPr>
              <w:pStyle w:val="Compact"/>
              <w:jc w:val="left"/>
            </w:pPr>
            <w:r>
              <w:t xml:space="preserve">64</w:t>
            </w:r>
          </w:p>
        </w:tc>
        <w:tc>
          <w:tcPr/>
          <w:p>
            <w:pPr>
              <w:pStyle w:val="Compact"/>
              <w:jc w:val="left"/>
            </w:pPr>
            <w:r>
              <w:t xml:space="preserve">280</w:t>
            </w:r>
          </w:p>
        </w:tc>
      </w:tr>
      <w:tr>
        <w:tc>
          <w:tcPr/>
          <w:p>
            <w:pPr>
              <w:pStyle w:val="Compact"/>
              <w:jc w:val="left"/>
            </w:pPr>
            <w:r>
              <w:t xml:space="preserve">5th year</w:t>
            </w:r>
          </w:p>
        </w:tc>
        <w:tc>
          <w:tcPr/>
          <w:p>
            <w:pPr>
              <w:pStyle w:val="Compact"/>
              <w:jc w:val="left"/>
            </w:pPr>
            <w:r>
              <w:t xml:space="preserve">97</w:t>
            </w:r>
          </w:p>
        </w:tc>
        <w:tc>
          <w:tcPr/>
          <w:p>
            <w:pPr>
              <w:pStyle w:val="Compact"/>
              <w:jc w:val="left"/>
            </w:pPr>
            <w:r>
              <w:t xml:space="preserve">0</w:t>
            </w:r>
          </w:p>
        </w:tc>
        <w:tc>
          <w:tcPr/>
          <w:p>
            <w:pPr>
              <w:pStyle w:val="Compact"/>
              <w:jc w:val="left"/>
            </w:pPr>
            <w:r>
              <w:t xml:space="preserve">48</w:t>
            </w:r>
          </w:p>
        </w:tc>
        <w:tc>
          <w:tcPr/>
          <w:p>
            <w:pPr>
              <w:pStyle w:val="Compact"/>
              <w:jc w:val="left"/>
            </w:pPr>
            <w:r>
              <w:t xml:space="preserve">145</w:t>
            </w:r>
          </w:p>
        </w:tc>
      </w:tr>
      <w:tr>
        <w:tc>
          <w:tcPr/>
          <w:p>
            <w:pPr>
              <w:pStyle w:val="Compact"/>
              <w:jc w:val="left"/>
            </w:pPr>
            <w:r>
              <w:t xml:space="preserve">6th year</w:t>
            </w:r>
          </w:p>
        </w:tc>
        <w:tc>
          <w:tcPr/>
          <w:p>
            <w:pPr>
              <w:pStyle w:val="Compact"/>
              <w:jc w:val="left"/>
            </w:pPr>
            <w:r>
              <w:t xml:space="preserve">146</w:t>
            </w:r>
          </w:p>
        </w:tc>
        <w:tc>
          <w:tcPr/>
          <w:p>
            <w:pPr>
              <w:pStyle w:val="Compact"/>
              <w:jc w:val="left"/>
            </w:pPr>
            <w:r>
              <w:t xml:space="preserve">0</w:t>
            </w:r>
          </w:p>
        </w:tc>
        <w:tc>
          <w:tcPr/>
          <w:p>
            <w:pPr>
              <w:pStyle w:val="Compact"/>
              <w:jc w:val="left"/>
            </w:pPr>
            <w:r>
              <w:t xml:space="preserve">0</w:t>
            </w:r>
          </w:p>
        </w:tc>
        <w:tc>
          <w:tcPr/>
          <w:p>
            <w:pPr>
              <w:pStyle w:val="Compact"/>
              <w:jc w:val="left"/>
            </w:pPr>
            <w:r>
              <w:t xml:space="preserve">146</w:t>
            </w:r>
          </w:p>
        </w:tc>
      </w:tr>
      <w:tr>
        <w:tc>
          <w:tcPr/>
          <w:p>
            <w:pPr>
              <w:pStyle w:val="Compact"/>
              <w:jc w:val="left"/>
            </w:pPr>
            <w:r>
              <w:t xml:space="preserve">Total</w:t>
            </w:r>
          </w:p>
        </w:tc>
        <w:tc>
          <w:tcPr/>
          <w:p>
            <w:pPr>
              <w:pStyle w:val="Compact"/>
              <w:jc w:val="left"/>
            </w:pPr>
            <w:r>
              <w:t xml:space="preserve">884</w:t>
            </w:r>
          </w:p>
        </w:tc>
        <w:tc>
          <w:tcPr/>
          <w:p>
            <w:pPr>
              <w:pStyle w:val="Compact"/>
              <w:jc w:val="left"/>
            </w:pPr>
            <w:r>
              <w:t xml:space="preserve">304</w:t>
            </w:r>
          </w:p>
        </w:tc>
        <w:tc>
          <w:tcPr/>
          <w:p>
            <w:pPr>
              <w:pStyle w:val="Compact"/>
              <w:jc w:val="left"/>
            </w:pPr>
            <w:r>
              <w:t xml:space="preserve">244</w:t>
            </w:r>
          </w:p>
        </w:tc>
        <w:tc>
          <w:tcPr/>
          <w:p>
            <w:pPr>
              <w:pStyle w:val="Compact"/>
              <w:jc w:val="left"/>
            </w:pPr>
            <w:r>
              <w:t xml:space="preserve">1432</w:t>
            </w:r>
          </w:p>
        </w:tc>
      </w:tr>
    </w:tbl>
    <w:p>
      <w:pPr>
        <w:pStyle w:val="BodyText"/>
      </w:pPr>
      <w:r>
        <w:t xml:space="preserve">Note. Faculty information was missing for two participants (one second-year and one fourth-year student), who are therefore not shown in this table; their inclusion yields the overall study total of 1434. The undergraduate programme lasts six years in Medicine and five years in Dentistry and Pharmacy; at the time of data collection, no fifth-year dentistry students participated, and sixth-year students were present only in the Faculty of Medicine.</w:t>
      </w:r>
    </w:p>
    <w:p>
      <w:pPr>
        <w:pStyle w:val="BodyText"/>
      </w:pPr>
      <w:r>
        <w:rPr>
          <w:bCs/>
          <w:b/>
        </w:rPr>
        <w:t xml:space="preserve">Table S2. Enrolled students and the proportion of the enrolled population represented in the final analytical sample, by faculty and by academic year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Group</w:t>
            </w:r>
          </w:p>
        </w:tc>
        <w:tc>
          <w:tcPr/>
          <w:p>
            <w:pPr>
              <w:pStyle w:val="Compact"/>
              <w:jc w:val="left"/>
            </w:pPr>
            <w:r>
              <w:t xml:space="preserve">Enrolled, n</w:t>
            </w:r>
          </w:p>
        </w:tc>
        <w:tc>
          <w:tcPr/>
          <w:p>
            <w:pPr>
              <w:pStyle w:val="Compact"/>
              <w:jc w:val="left"/>
            </w:pPr>
            <w:r>
              <w:t xml:space="preserve">In analytical sample, n</w:t>
            </w:r>
          </w:p>
        </w:tc>
        <w:tc>
          <w:tcPr/>
          <w:p>
            <w:pPr>
              <w:pStyle w:val="Compact"/>
              <w:jc w:val="left"/>
            </w:pPr>
            <w:r>
              <w:t xml:space="preserve">Proportion (%)</w:t>
            </w:r>
          </w:p>
        </w:tc>
      </w:tr>
      <w:tr>
        <w:tc>
          <w:tcPr/>
          <w:p>
            <w:pPr>
              <w:pStyle w:val="Compact"/>
              <w:jc w:val="left"/>
            </w:pPr>
            <w:r>
              <w:t xml:space="preserve">Faculty of Medicine</w:t>
            </w:r>
          </w:p>
        </w:tc>
        <w:tc>
          <w:tcPr/>
          <w:p>
            <w:pPr>
              <w:pStyle w:val="Compact"/>
              <w:jc w:val="left"/>
            </w:pPr>
            <w:r>
              <w:t xml:space="preserve">1177</w:t>
            </w:r>
          </w:p>
        </w:tc>
        <w:tc>
          <w:tcPr/>
          <w:p>
            <w:pPr>
              <w:pStyle w:val="Compact"/>
              <w:jc w:val="left"/>
            </w:pPr>
            <w:r>
              <w:t xml:space="preserve">884</w:t>
            </w:r>
          </w:p>
        </w:tc>
        <w:tc>
          <w:tcPr/>
          <w:p>
            <w:pPr>
              <w:pStyle w:val="Compact"/>
              <w:jc w:val="left"/>
            </w:pPr>
            <w:r>
              <w:t xml:space="preserve">75.1</w:t>
            </w:r>
          </w:p>
        </w:tc>
      </w:tr>
      <w:tr>
        <w:tc>
          <w:tcPr/>
          <w:p>
            <w:pPr>
              <w:pStyle w:val="Compact"/>
              <w:jc w:val="left"/>
            </w:pPr>
            <w:r>
              <w:t xml:space="preserve">Faculty of Dentistry</w:t>
            </w:r>
          </w:p>
        </w:tc>
        <w:tc>
          <w:tcPr/>
          <w:p>
            <w:pPr>
              <w:pStyle w:val="Compact"/>
              <w:jc w:val="left"/>
            </w:pPr>
            <w:r>
              <w:t xml:space="preserve">584</w:t>
            </w:r>
          </w:p>
        </w:tc>
        <w:tc>
          <w:tcPr/>
          <w:p>
            <w:pPr>
              <w:pStyle w:val="Compact"/>
              <w:jc w:val="left"/>
            </w:pPr>
            <w:r>
              <w:t xml:space="preserve">304</w:t>
            </w:r>
          </w:p>
        </w:tc>
        <w:tc>
          <w:tcPr/>
          <w:p>
            <w:pPr>
              <w:pStyle w:val="Compact"/>
              <w:jc w:val="left"/>
            </w:pPr>
            <w:r>
              <w:t xml:space="preserve">52.1</w:t>
            </w:r>
          </w:p>
        </w:tc>
      </w:tr>
      <w:tr>
        <w:tc>
          <w:tcPr/>
          <w:p>
            <w:pPr>
              <w:pStyle w:val="Compact"/>
              <w:jc w:val="left"/>
            </w:pPr>
            <w:r>
              <w:t xml:space="preserve">Faculty of Pharmacy</w:t>
            </w:r>
          </w:p>
        </w:tc>
        <w:tc>
          <w:tcPr/>
          <w:p>
            <w:pPr>
              <w:pStyle w:val="Compact"/>
              <w:jc w:val="left"/>
            </w:pPr>
            <w:r>
              <w:t xml:space="preserve">500</w:t>
            </w:r>
          </w:p>
        </w:tc>
        <w:tc>
          <w:tcPr/>
          <w:p>
            <w:pPr>
              <w:pStyle w:val="Compact"/>
              <w:jc w:val="left"/>
            </w:pPr>
            <w:r>
              <w:t xml:space="preserve">244</w:t>
            </w:r>
          </w:p>
        </w:tc>
        <w:tc>
          <w:tcPr/>
          <w:p>
            <w:pPr>
              <w:pStyle w:val="Compact"/>
              <w:jc w:val="left"/>
            </w:pPr>
            <w:r>
              <w:t xml:space="preserve">48.8</w:t>
            </w:r>
          </w:p>
        </w:tc>
      </w:tr>
      <w:tr>
        <w:tc>
          <w:tcPr/>
          <w:p>
            <w:pPr>
              <w:pStyle w:val="Compact"/>
              <w:jc w:val="left"/>
            </w:pPr>
            <w:r>
              <w:t xml:space="preserve">1st year</w:t>
            </w:r>
          </w:p>
        </w:tc>
        <w:tc>
          <w:tcPr/>
          <w:p>
            <w:pPr>
              <w:pStyle w:val="Compact"/>
              <w:jc w:val="left"/>
            </w:pPr>
            <w:r>
              <w:t xml:space="preserve">441</w:t>
            </w:r>
          </w:p>
        </w:tc>
        <w:tc>
          <w:tcPr/>
          <w:p>
            <w:pPr>
              <w:pStyle w:val="Compact"/>
              <w:jc w:val="left"/>
            </w:pPr>
            <w:r>
              <w:t xml:space="preserve">348</w:t>
            </w:r>
          </w:p>
        </w:tc>
        <w:tc>
          <w:tcPr/>
          <w:p>
            <w:pPr>
              <w:pStyle w:val="Compact"/>
              <w:jc w:val="left"/>
            </w:pPr>
            <w:r>
              <w:t xml:space="preserve">78.9</w:t>
            </w:r>
          </w:p>
        </w:tc>
      </w:tr>
      <w:tr>
        <w:tc>
          <w:tcPr/>
          <w:p>
            <w:pPr>
              <w:pStyle w:val="Compact"/>
              <w:jc w:val="left"/>
            </w:pPr>
            <w:r>
              <w:t xml:space="preserve">2nd year</w:t>
            </w:r>
          </w:p>
        </w:tc>
        <w:tc>
          <w:tcPr/>
          <w:p>
            <w:pPr>
              <w:pStyle w:val="Compact"/>
              <w:jc w:val="left"/>
            </w:pPr>
            <w:r>
              <w:t xml:space="preserve">430</w:t>
            </w:r>
          </w:p>
        </w:tc>
        <w:tc>
          <w:tcPr/>
          <w:p>
            <w:pPr>
              <w:pStyle w:val="Compact"/>
              <w:jc w:val="left"/>
            </w:pPr>
            <w:r>
              <w:t xml:space="preserve">298</w:t>
            </w:r>
          </w:p>
        </w:tc>
        <w:tc>
          <w:tcPr/>
          <w:p>
            <w:pPr>
              <w:pStyle w:val="Compact"/>
              <w:jc w:val="left"/>
            </w:pPr>
            <w:r>
              <w:t xml:space="preserve">69.3</w:t>
            </w:r>
          </w:p>
        </w:tc>
      </w:tr>
      <w:tr>
        <w:tc>
          <w:tcPr/>
          <w:p>
            <w:pPr>
              <w:pStyle w:val="Compact"/>
              <w:jc w:val="left"/>
            </w:pPr>
            <w:r>
              <w:t xml:space="preserve">3rd year</w:t>
            </w:r>
          </w:p>
        </w:tc>
        <w:tc>
          <w:tcPr/>
          <w:p>
            <w:pPr>
              <w:pStyle w:val="Compact"/>
              <w:jc w:val="left"/>
            </w:pPr>
            <w:r>
              <w:t xml:space="preserve">414</w:t>
            </w:r>
          </w:p>
        </w:tc>
        <w:tc>
          <w:tcPr/>
          <w:p>
            <w:pPr>
              <w:pStyle w:val="Compact"/>
              <w:jc w:val="left"/>
            </w:pPr>
            <w:r>
              <w:t xml:space="preserve">216</w:t>
            </w:r>
          </w:p>
        </w:tc>
        <w:tc>
          <w:tcPr/>
          <w:p>
            <w:pPr>
              <w:pStyle w:val="Compact"/>
              <w:jc w:val="left"/>
            </w:pPr>
            <w:r>
              <w:t xml:space="preserve">52.2</w:t>
            </w:r>
          </w:p>
        </w:tc>
      </w:tr>
      <w:tr>
        <w:tc>
          <w:tcPr/>
          <w:p>
            <w:pPr>
              <w:pStyle w:val="Compact"/>
              <w:jc w:val="left"/>
            </w:pPr>
            <w:r>
              <w:t xml:space="preserve">4th year</w:t>
            </w:r>
          </w:p>
        </w:tc>
        <w:tc>
          <w:tcPr/>
          <w:p>
            <w:pPr>
              <w:pStyle w:val="Compact"/>
              <w:jc w:val="left"/>
            </w:pPr>
            <w:r>
              <w:t xml:space="preserve">411</w:t>
            </w:r>
          </w:p>
        </w:tc>
        <w:tc>
          <w:tcPr/>
          <w:p>
            <w:pPr>
              <w:pStyle w:val="Compact"/>
              <w:jc w:val="left"/>
            </w:pPr>
            <w:r>
              <w:t xml:space="preserve">281</w:t>
            </w:r>
          </w:p>
        </w:tc>
        <w:tc>
          <w:tcPr/>
          <w:p>
            <w:pPr>
              <w:pStyle w:val="Compact"/>
              <w:jc w:val="left"/>
            </w:pPr>
            <w:r>
              <w:t xml:space="preserve">68.4</w:t>
            </w:r>
          </w:p>
        </w:tc>
      </w:tr>
      <w:tr>
        <w:tc>
          <w:tcPr/>
          <w:p>
            <w:pPr>
              <w:pStyle w:val="Compact"/>
              <w:jc w:val="left"/>
            </w:pPr>
            <w:r>
              <w:t xml:space="preserve">5th year</w:t>
            </w:r>
          </w:p>
        </w:tc>
        <w:tc>
          <w:tcPr/>
          <w:p>
            <w:pPr>
              <w:pStyle w:val="Compact"/>
              <w:jc w:val="left"/>
            </w:pPr>
            <w:r>
              <w:t xml:space="preserve">381</w:t>
            </w:r>
          </w:p>
        </w:tc>
        <w:tc>
          <w:tcPr/>
          <w:p>
            <w:pPr>
              <w:pStyle w:val="Compact"/>
              <w:jc w:val="left"/>
            </w:pPr>
            <w:r>
              <w:t xml:space="preserve">145</w:t>
            </w:r>
          </w:p>
        </w:tc>
        <w:tc>
          <w:tcPr/>
          <w:p>
            <w:pPr>
              <w:pStyle w:val="Compact"/>
              <w:jc w:val="left"/>
            </w:pPr>
            <w:r>
              <w:t xml:space="preserve">38.1</w:t>
            </w:r>
          </w:p>
        </w:tc>
      </w:tr>
      <w:tr>
        <w:tc>
          <w:tcPr/>
          <w:p>
            <w:pPr>
              <w:pStyle w:val="Compact"/>
              <w:jc w:val="left"/>
            </w:pPr>
            <w:r>
              <w:t xml:space="preserve">6th year</w:t>
            </w:r>
          </w:p>
        </w:tc>
        <w:tc>
          <w:tcPr/>
          <w:p>
            <w:pPr>
              <w:pStyle w:val="Compact"/>
              <w:jc w:val="left"/>
            </w:pPr>
            <w:r>
              <w:t xml:space="preserve">184</w:t>
            </w:r>
          </w:p>
        </w:tc>
        <w:tc>
          <w:tcPr/>
          <w:p>
            <w:pPr>
              <w:pStyle w:val="Compact"/>
              <w:jc w:val="left"/>
            </w:pPr>
            <w:r>
              <w:t xml:space="preserve">146</w:t>
            </w:r>
          </w:p>
        </w:tc>
        <w:tc>
          <w:tcPr/>
          <w:p>
            <w:pPr>
              <w:pStyle w:val="Compact"/>
              <w:jc w:val="left"/>
            </w:pPr>
            <w:r>
              <w:t xml:space="preserve">79.3</w:t>
            </w:r>
          </w:p>
        </w:tc>
      </w:tr>
      <w:tr>
        <w:tc>
          <w:tcPr/>
          <w:p>
            <w:pPr>
              <w:pStyle w:val="Compact"/>
              <w:jc w:val="left"/>
            </w:pPr>
            <w:r>
              <w:t xml:space="preserve">Total</w:t>
            </w:r>
          </w:p>
        </w:tc>
        <w:tc>
          <w:tcPr/>
          <w:p>
            <w:pPr>
              <w:pStyle w:val="Compact"/>
              <w:jc w:val="left"/>
            </w:pPr>
            <w:r>
              <w:t xml:space="preserve">2261</w:t>
            </w:r>
          </w:p>
        </w:tc>
        <w:tc>
          <w:tcPr/>
          <w:p>
            <w:pPr>
              <w:pStyle w:val="Compact"/>
              <w:jc w:val="left"/>
            </w:pPr>
            <w:r>
              <w:t xml:space="preserve">1434</w:t>
            </w:r>
          </w:p>
        </w:tc>
        <w:tc>
          <w:tcPr/>
          <w:p>
            <w:pPr>
              <w:pStyle w:val="Compact"/>
              <w:jc w:val="left"/>
            </w:pPr>
            <w:r>
              <w:t xml:space="preserve">63.4</w:t>
            </w:r>
          </w:p>
        </w:tc>
      </w:tr>
    </w:tbl>
    <w:p>
      <w:pPr>
        <w:pStyle w:val="BodyText"/>
      </w:pPr>
      <w:r>
        <w:t xml:space="preserve">Note. Because recruitment was conducted during scheduled classroom sessions and not every enrolled student can be confirmed to have been individually reached, these figures represent the proportion of the enrolled population included in the final analytical sample rather than conventional response rates. Faculty-level rows exclude two participants with missing faculty information; academic-year rows include all 1434 participants.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000000"/>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000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2026-09-24T06:18:47Z</dcterms:created>
  <dcterms:modified xsi:type="dcterms:W3CDTF">2026-09-24T06:18:47Z</dcterms:modified>
</cp:coreProperties>
</file>

<file path=docProps/custom.xml><?xml version="1.0" encoding="utf-8"?>
<Properties xmlns="http://schemas.openxmlformats.org/officeDocument/2006/custom-properties" xmlns:vt="http://schemas.openxmlformats.org/officeDocument/2006/docPropsVTypes"/>
</file>