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DEE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</w:rPr>
        <w:t>Supplementary Information</w:t>
      </w:r>
    </w:p>
    <w:p w14:paraId="068ED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Body Mass Index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Change Patterns</w:t>
      </w: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and Risk of Hospitalization Among Populations at High Cardiovascular Risk: Findings from the China PEACE Million Persons Project</w:t>
      </w:r>
    </w:p>
    <w:p w14:paraId="7AE49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12097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drawing>
          <wp:inline distT="0" distB="0" distL="114300" distR="114300">
            <wp:extent cx="7734935" cy="4184650"/>
            <wp:effectExtent l="0" t="0" r="12065" b="6350"/>
            <wp:docPr id="3" name="图片 3" descr="Supplementary Fig. S1 Silhouette coefficient for determining the optimal number of clusters (k) in K-means analy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. S1 Silhouette coefficient for determining the optimal number of clusters (k) in K-means analysi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34935" cy="418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86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Supplementary Figure S1 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Silhouette coefficient for determining the optimal number of clusters (k) in K-means analysis, and stability assessment of the four-cluster solution using bootstrap resampling.</w:t>
      </w:r>
    </w:p>
    <w:p w14:paraId="5549D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The silhouette coefficient peaked at k = 4 (average silhouette width = 0.39). Bootstrap resampling (n = 100) yielded an adjusted Rand index (ARI) of 0.96 (95% CI: 0.89–0.99), indicating high stability of the four-cluster solution.</w:t>
      </w:r>
    </w:p>
    <w:p w14:paraId="3A00A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52B74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drawing>
          <wp:inline distT="0" distB="0" distL="114300" distR="114300">
            <wp:extent cx="8857615" cy="3122930"/>
            <wp:effectExtent l="0" t="0" r="6985" b="1270"/>
            <wp:docPr id="1" name="图片 1" descr="Supplementary Figure S2. Waist circumference trajectory analy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S2. Waist circumference trajectory analysi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57615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1C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Supplementary Figure S2 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Waist circumference change pattern analysis.</w:t>
      </w:r>
    </w:p>
    <w:p w14:paraId="53EA6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Two distinct waist circumference change patterns identified by K-means clustering. The high baseline waist-declining group (45.8%, baseline waist 94.1 cm, median annual change −1.48 cm/year) and the low baseline waist-increasing group (54.2%, baseline waist 80.1 cm, median annual change +1.23 cm/year) showed divergent patterns.</w:t>
      </w:r>
    </w:p>
    <w:p w14:paraId="3A4659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Supplementary Table S1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 Missing data summary of analytical variables</w:t>
      </w:r>
    </w:p>
    <w:p w14:paraId="05912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</w:p>
    <w:tbl>
      <w:tblPr>
        <w:tblStyle w:val="2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93"/>
        <w:gridCol w:w="1694"/>
        <w:gridCol w:w="1636"/>
        <w:gridCol w:w="1723"/>
      </w:tblGrid>
      <w:tr w14:paraId="7726F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2043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F6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Variable</w:t>
            </w:r>
          </w:p>
        </w:tc>
        <w:tc>
          <w:tcPr>
            <w:tcW w:w="991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16D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Type</w:t>
            </w:r>
          </w:p>
        </w:tc>
        <w:tc>
          <w:tcPr>
            <w:tcW w:w="95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108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Missing, n</w:t>
            </w:r>
          </w:p>
        </w:tc>
        <w:tc>
          <w:tcPr>
            <w:tcW w:w="100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3D8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Missing, %</w:t>
            </w:r>
          </w:p>
        </w:tc>
      </w:tr>
      <w:tr w14:paraId="79EEA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43" w:type="pct"/>
            <w:tcBorders>
              <w:top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C53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LDL-C, mmol/L</w:t>
            </w:r>
          </w:p>
        </w:tc>
        <w:tc>
          <w:tcPr>
            <w:tcW w:w="991" w:type="pct"/>
            <w:tcBorders>
              <w:top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D3E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Continuous</w:t>
            </w:r>
          </w:p>
        </w:tc>
        <w:tc>
          <w:tcPr>
            <w:tcW w:w="957" w:type="pct"/>
            <w:tcBorders>
              <w:top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597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1,751</w:t>
            </w:r>
          </w:p>
        </w:tc>
        <w:tc>
          <w:tcPr>
            <w:tcW w:w="1007" w:type="pct"/>
            <w:tcBorders>
              <w:top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DC2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8.61</w:t>
            </w:r>
          </w:p>
        </w:tc>
      </w:tr>
      <w:tr w14:paraId="7CA05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43" w:type="pc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528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HDL-C, mmol/L</w:t>
            </w:r>
          </w:p>
        </w:tc>
        <w:tc>
          <w:tcPr>
            <w:tcW w:w="991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9FA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Continuous</w:t>
            </w:r>
          </w:p>
        </w:tc>
        <w:tc>
          <w:tcPr>
            <w:tcW w:w="95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35F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111</w:t>
            </w:r>
          </w:p>
        </w:tc>
        <w:tc>
          <w:tcPr>
            <w:tcW w:w="1007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CEA12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0.55</w:t>
            </w:r>
          </w:p>
        </w:tc>
      </w:tr>
      <w:tr w14:paraId="4D659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43" w:type="pc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EB8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Total cholesterol, mmol/L</w:t>
            </w:r>
          </w:p>
        </w:tc>
        <w:tc>
          <w:tcPr>
            <w:tcW w:w="991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2DF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Continuous</w:t>
            </w:r>
          </w:p>
        </w:tc>
        <w:tc>
          <w:tcPr>
            <w:tcW w:w="95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A4F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1007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E69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0.26</w:t>
            </w:r>
          </w:p>
        </w:tc>
      </w:tr>
      <w:tr w14:paraId="5BE7C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43" w:type="pc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73B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Triglyceride, mmol/L</w:t>
            </w:r>
          </w:p>
        </w:tc>
        <w:tc>
          <w:tcPr>
            <w:tcW w:w="991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D47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Continuous</w:t>
            </w:r>
          </w:p>
        </w:tc>
        <w:tc>
          <w:tcPr>
            <w:tcW w:w="95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7CF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007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83C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0.22</w:t>
            </w:r>
          </w:p>
        </w:tc>
      </w:tr>
      <w:tr w14:paraId="1B70C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43" w:type="pc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FE9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Waist circumference, cm</w:t>
            </w:r>
          </w:p>
        </w:tc>
        <w:tc>
          <w:tcPr>
            <w:tcW w:w="991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D6D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Continuous</w:t>
            </w:r>
          </w:p>
        </w:tc>
        <w:tc>
          <w:tcPr>
            <w:tcW w:w="95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DB9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07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9AEE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0.02</w:t>
            </w:r>
          </w:p>
        </w:tc>
      </w:tr>
      <w:tr w14:paraId="32EDC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43" w:type="pc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DCB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Fasting glucose, mmol/L</w:t>
            </w:r>
          </w:p>
        </w:tc>
        <w:tc>
          <w:tcPr>
            <w:tcW w:w="991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B40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Continuous</w:t>
            </w:r>
          </w:p>
        </w:tc>
        <w:tc>
          <w:tcPr>
            <w:tcW w:w="95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3C5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07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8834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0.02</w:t>
            </w:r>
          </w:p>
        </w:tc>
      </w:tr>
      <w:tr w14:paraId="63B18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43" w:type="pc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E0C9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Systolic blood pressure, mmHg</w:t>
            </w:r>
          </w:p>
        </w:tc>
        <w:tc>
          <w:tcPr>
            <w:tcW w:w="991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7FB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Continuous</w:t>
            </w:r>
          </w:p>
        </w:tc>
        <w:tc>
          <w:tcPr>
            <w:tcW w:w="95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C56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07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579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&lt;0.01</w:t>
            </w:r>
          </w:p>
        </w:tc>
      </w:tr>
      <w:tr w14:paraId="1248E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43" w:type="pc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E747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Diastolic blood pressure, mmHg</w:t>
            </w:r>
          </w:p>
        </w:tc>
        <w:tc>
          <w:tcPr>
            <w:tcW w:w="991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8A7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Continuous</w:t>
            </w:r>
          </w:p>
        </w:tc>
        <w:tc>
          <w:tcPr>
            <w:tcW w:w="95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16E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07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51E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&lt;0.01</w:t>
            </w:r>
          </w:p>
        </w:tc>
      </w:tr>
      <w:tr w14:paraId="7FD7D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43" w:type="pc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C12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BMI_baseline</w:t>
            </w:r>
          </w:p>
        </w:tc>
        <w:tc>
          <w:tcPr>
            <w:tcW w:w="991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BAC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Continuous</w:t>
            </w:r>
          </w:p>
        </w:tc>
        <w:tc>
          <w:tcPr>
            <w:tcW w:w="95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586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07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165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5910C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43" w:type="pct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623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Age</w:t>
            </w:r>
          </w:p>
        </w:tc>
        <w:tc>
          <w:tcPr>
            <w:tcW w:w="991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668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Continuous</w:t>
            </w:r>
          </w:p>
        </w:tc>
        <w:tc>
          <w:tcPr>
            <w:tcW w:w="957" w:type="pct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673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07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50B1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</w:p>
        </w:tc>
      </w:tr>
      <w:tr w14:paraId="16736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43" w:type="pct"/>
            <w:tcBorders>
              <w:bottom w:val="single" w:color="auto" w:sz="4" w:space="0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8BF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All categorical variables*</w:t>
            </w:r>
          </w:p>
        </w:tc>
        <w:tc>
          <w:tcPr>
            <w:tcW w:w="991" w:type="pct"/>
            <w:tcBorders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224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Categorical</w:t>
            </w:r>
          </w:p>
        </w:tc>
        <w:tc>
          <w:tcPr>
            <w:tcW w:w="957" w:type="pct"/>
            <w:tcBorders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C53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007" w:type="pct"/>
            <w:tcBorders>
              <w:bottom w:val="single" w:color="auto" w:sz="4" w:space="0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28D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2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0AE52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*All categorical variables listed in Table 1 (age group, sex, marital status, education level, occupation, urban/rural residence, income, health insurance, smoking, alcohol consumption, and histories of hypertension, diabetes, coronary heart disease, stroke and dyslipidemia) had no missing values.</w:t>
      </w:r>
    </w:p>
    <w:p w14:paraId="1B5A6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Supplementary Table S2 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Sensitivity analysis: Association between BMI change patterns and hospitalization risk after excluding participants with baseline cancer</w:t>
      </w:r>
    </w:p>
    <w:p w14:paraId="5FDEE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tbl>
      <w:tblPr>
        <w:tblStyle w:val="3"/>
        <w:tblpPr w:leftFromText="180" w:rightFromText="180" w:vertAnchor="text" w:horzAnchor="margin" w:tblpXSpec="center" w:tblpY="50"/>
        <w:tblOverlap w:val="never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4"/>
        <w:gridCol w:w="854"/>
        <w:gridCol w:w="1536"/>
        <w:gridCol w:w="1490"/>
        <w:gridCol w:w="1490"/>
        <w:gridCol w:w="1508"/>
      </w:tblGrid>
      <w:tr w14:paraId="1D546F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965" w:type="pct"/>
            <w:vMerge w:val="restart"/>
            <w:tcBorders>
              <w:top w:val="single" w:color="auto" w:sz="4" w:space="0"/>
            </w:tcBorders>
            <w:vAlign w:val="top"/>
          </w:tcPr>
          <w:p w14:paraId="1DC213BE">
            <w:pPr>
              <w:jc w:val="left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  <w:t>BMI change pattern</w:t>
            </w:r>
          </w:p>
        </w:tc>
        <w:tc>
          <w:tcPr>
            <w:tcW w:w="501" w:type="pct"/>
            <w:vMerge w:val="restart"/>
            <w:tcBorders>
              <w:top w:val="single" w:color="auto" w:sz="4" w:space="0"/>
            </w:tcBorders>
            <w:vAlign w:val="top"/>
          </w:tcPr>
          <w:p w14:paraId="0290496B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  <w:t>Event (%)</w:t>
            </w:r>
          </w:p>
          <w:p w14:paraId="0CA57427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01" w:type="pct"/>
            <w:vMerge w:val="restart"/>
            <w:tcBorders>
              <w:top w:val="single" w:color="auto" w:sz="4" w:space="0"/>
            </w:tcBorders>
            <w:vAlign w:val="top"/>
          </w:tcPr>
          <w:p w14:paraId="7D1B99D8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 xml:space="preserve">Crude 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  <w:t>HR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 xml:space="preserve">  (95%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CI)</w:t>
            </w:r>
          </w:p>
        </w:tc>
        <w:tc>
          <w:tcPr>
            <w:tcW w:w="2632" w:type="pct"/>
            <w:gridSpan w:val="3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4E5B05C">
            <w:pPr>
              <w:jc w:val="center"/>
              <w:rPr>
                <w:rFonts w:ascii="Times New Roman" w:hAnsi="Times New Roman" w:eastAsia="宋体" w:cs="Times New Roman"/>
                <w:b/>
                <w:i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color w:val="auto"/>
                <w:kern w:val="0"/>
                <w:sz w:val="24"/>
                <w:szCs w:val="24"/>
              </w:rPr>
              <w:t xml:space="preserve">Adjusted 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  <w:t>HR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 xml:space="preserve"> (95%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CI)</w:t>
            </w:r>
          </w:p>
          <w:p w14:paraId="6B343753">
            <w:pPr>
              <w:jc w:val="center"/>
              <w:rPr>
                <w:rFonts w:ascii="Times New Roman" w:hAnsi="Times New Roman" w:eastAsia="宋体" w:cs="Times New Roman"/>
                <w:b/>
                <w:i/>
                <w:color w:val="auto"/>
                <w:kern w:val="0"/>
                <w:sz w:val="24"/>
                <w:szCs w:val="24"/>
              </w:rPr>
            </w:pPr>
          </w:p>
        </w:tc>
      </w:tr>
      <w:tr w14:paraId="0F5501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965" w:type="pct"/>
            <w:vMerge w:val="continue"/>
            <w:tcBorders>
              <w:bottom w:val="single" w:color="auto" w:sz="4" w:space="0"/>
            </w:tcBorders>
            <w:vAlign w:val="top"/>
          </w:tcPr>
          <w:p w14:paraId="52F80CD6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01" w:type="pct"/>
            <w:vMerge w:val="continue"/>
            <w:tcBorders>
              <w:bottom w:val="single" w:color="auto" w:sz="4" w:space="0"/>
            </w:tcBorders>
            <w:vAlign w:val="top"/>
          </w:tcPr>
          <w:p w14:paraId="134590F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01" w:type="pct"/>
            <w:vMerge w:val="continue"/>
            <w:tcBorders>
              <w:bottom w:val="single" w:color="auto" w:sz="4" w:space="0"/>
            </w:tcBorders>
            <w:vAlign w:val="top"/>
          </w:tcPr>
          <w:p w14:paraId="799CD10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AFE2351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Model 1</w:t>
            </w:r>
          </w:p>
        </w:tc>
        <w:tc>
          <w:tcPr>
            <w:tcW w:w="874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9400DDF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Model 2</w:t>
            </w:r>
          </w:p>
        </w:tc>
        <w:tc>
          <w:tcPr>
            <w:tcW w:w="884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8FB70BC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Model 3</w:t>
            </w:r>
          </w:p>
          <w:p w14:paraId="767C069E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</w:pPr>
          </w:p>
        </w:tc>
      </w:tr>
      <w:tr w14:paraId="4F60EB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5000" w:type="pct"/>
            <w:gridSpan w:val="6"/>
            <w:tcBorders>
              <w:top w:val="nil"/>
              <w:bottom w:val="nil"/>
            </w:tcBorders>
            <w:vAlign w:val="top"/>
          </w:tcPr>
          <w:p w14:paraId="7D639788">
            <w:pPr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All-cause hospitalization</w:t>
            </w:r>
          </w:p>
        </w:tc>
      </w:tr>
      <w:tr w14:paraId="332D6C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5" w:type="pct"/>
            <w:tcBorders>
              <w:top w:val="nil"/>
              <w:bottom w:val="nil"/>
            </w:tcBorders>
            <w:vAlign w:val="top"/>
          </w:tcPr>
          <w:p w14:paraId="24403D9F">
            <w:pPr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Normal weight-stable</w:t>
            </w:r>
          </w:p>
        </w:tc>
        <w:tc>
          <w:tcPr>
            <w:tcW w:w="50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0DB18D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097</w:t>
            </w:r>
          </w:p>
          <w:p w14:paraId="282F647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(10.6)</w:t>
            </w:r>
          </w:p>
        </w:tc>
        <w:tc>
          <w:tcPr>
            <w:tcW w:w="901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2BE6B10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  <w:tc>
          <w:tcPr>
            <w:tcW w:w="874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E6B6BF6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  <w:tc>
          <w:tcPr>
            <w:tcW w:w="874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54EE7690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  <w:tc>
          <w:tcPr>
            <w:tcW w:w="884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49E537C7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</w:tr>
      <w:tr w14:paraId="4ABA8A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965" w:type="pct"/>
            <w:tcBorders>
              <w:top w:val="nil"/>
              <w:bottom w:val="nil"/>
            </w:tcBorders>
            <w:vAlign w:val="center"/>
          </w:tcPr>
          <w:p w14:paraId="2B662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Rapid gainers</w:t>
            </w:r>
          </w:p>
        </w:tc>
        <w:tc>
          <w:tcPr>
            <w:tcW w:w="501" w:type="pct"/>
            <w:tcBorders>
              <w:top w:val="nil"/>
              <w:bottom w:val="nil"/>
            </w:tcBorders>
            <w:vAlign w:val="center"/>
          </w:tcPr>
          <w:p w14:paraId="3F2E2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56 ( 6.2)</w:t>
            </w:r>
          </w:p>
        </w:tc>
        <w:tc>
          <w:tcPr>
            <w:tcW w:w="901" w:type="pct"/>
            <w:tcBorders>
              <w:top w:val="nil"/>
              <w:bottom w:val="nil"/>
            </w:tcBorders>
            <w:vAlign w:val="center"/>
          </w:tcPr>
          <w:p w14:paraId="1CA77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1.3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74D44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0.99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1.7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)</w:t>
            </w:r>
          </w:p>
          <w:p w14:paraId="3F5CB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nil"/>
              <w:bottom w:val="nil"/>
            </w:tcBorders>
            <w:vAlign w:val="center"/>
          </w:tcPr>
          <w:p w14:paraId="617E1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4F645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2A7EA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nil"/>
              <w:bottom w:val="nil"/>
            </w:tcBorders>
            <w:vAlign w:val="top"/>
          </w:tcPr>
          <w:p w14:paraId="5F97F4AD">
            <w:pPr>
              <w:bidi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1.4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(1.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09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–1.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87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  <w:p w14:paraId="3957D907">
            <w:pPr>
              <w:bidi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4" w:type="pct"/>
            <w:tcBorders>
              <w:top w:val="nil"/>
              <w:bottom w:val="nil"/>
            </w:tcBorders>
            <w:vAlign w:val="top"/>
          </w:tcPr>
          <w:p w14:paraId="1D04011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1.4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(1.0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–1.8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</w:tc>
      </w:tr>
      <w:tr w14:paraId="12F052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965" w:type="pct"/>
            <w:tcBorders>
              <w:top w:val="nil"/>
              <w:bottom w:val="nil"/>
            </w:tcBorders>
            <w:vAlign w:val="top"/>
          </w:tcPr>
          <w:p w14:paraId="33A50552">
            <w:pPr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Obese-slow losers</w:t>
            </w:r>
          </w:p>
        </w:tc>
        <w:tc>
          <w:tcPr>
            <w:tcW w:w="501" w:type="pct"/>
            <w:tcBorders>
              <w:top w:val="nil"/>
              <w:bottom w:val="nil"/>
            </w:tcBorders>
            <w:vAlign w:val="top"/>
          </w:tcPr>
          <w:p w14:paraId="0A4136C5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30 (12.9)</w:t>
            </w:r>
          </w:p>
          <w:p w14:paraId="3D68857D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01" w:type="pct"/>
            <w:tcBorders>
              <w:top w:val="nil"/>
              <w:bottom w:val="nil"/>
            </w:tcBorders>
            <w:vAlign w:val="top"/>
          </w:tcPr>
          <w:p w14:paraId="7BC9FBD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1.17 </w:t>
            </w:r>
          </w:p>
          <w:p w14:paraId="7FF0BECD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1.2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874" w:type="pct"/>
            <w:tcBorders>
              <w:top w:val="nil"/>
              <w:bottom w:val="nil"/>
            </w:tcBorders>
            <w:vAlign w:val="top"/>
          </w:tcPr>
          <w:p w14:paraId="58088FD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1.23 </w:t>
            </w:r>
          </w:p>
          <w:p w14:paraId="7D730E4A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(1.13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433227CB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nil"/>
              <w:bottom w:val="nil"/>
            </w:tcBorders>
            <w:vAlign w:val="top"/>
          </w:tcPr>
          <w:p w14:paraId="7A846F5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1.23 </w:t>
            </w:r>
          </w:p>
          <w:p w14:paraId="16AEC35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(1.13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884" w:type="pct"/>
            <w:tcBorders>
              <w:top w:val="nil"/>
              <w:bottom w:val="nil"/>
            </w:tcBorders>
            <w:vAlign w:val="top"/>
          </w:tcPr>
          <w:p w14:paraId="15672DF1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(1.0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–1.2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</w:tc>
      </w:tr>
      <w:tr w14:paraId="468224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965" w:type="pct"/>
            <w:tcBorders>
              <w:top w:val="nil"/>
              <w:bottom w:val="nil"/>
            </w:tcBorders>
            <w:vAlign w:val="top"/>
          </w:tcPr>
          <w:p w14:paraId="4D9A6B20">
            <w:pPr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Obese-rapid losers</w:t>
            </w:r>
          </w:p>
        </w:tc>
        <w:tc>
          <w:tcPr>
            <w:tcW w:w="501" w:type="pct"/>
            <w:tcBorders>
              <w:top w:val="nil"/>
              <w:bottom w:val="nil"/>
            </w:tcBorders>
            <w:vAlign w:val="top"/>
          </w:tcPr>
          <w:p w14:paraId="2A135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71 ( 7.1)</w:t>
            </w:r>
          </w:p>
          <w:p w14:paraId="5C50068D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01" w:type="pct"/>
            <w:tcBorders>
              <w:top w:val="nil"/>
              <w:bottom w:val="nil"/>
            </w:tcBorders>
            <w:vAlign w:val="top"/>
          </w:tcPr>
          <w:p w14:paraId="1AD9824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28B97880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(0.88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874" w:type="pct"/>
            <w:tcBorders>
              <w:top w:val="nil"/>
              <w:bottom w:val="nil"/>
            </w:tcBorders>
            <w:vAlign w:val="top"/>
          </w:tcPr>
          <w:p w14:paraId="2CE5E8E2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57A5F96E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(0.9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)</w:t>
            </w:r>
          </w:p>
          <w:p w14:paraId="533A51D4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nil"/>
              <w:bottom w:val="nil"/>
            </w:tcBorders>
            <w:vAlign w:val="top"/>
          </w:tcPr>
          <w:p w14:paraId="2146623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1.4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(1.1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–1.8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3E8705F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84" w:type="pct"/>
            <w:tcBorders>
              <w:top w:val="nil"/>
              <w:bottom w:val="nil"/>
            </w:tcBorders>
            <w:vAlign w:val="top"/>
          </w:tcPr>
          <w:p w14:paraId="6CDC44A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–1.8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3EC9FB5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1FE5C1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5000" w:type="pct"/>
            <w:gridSpan w:val="6"/>
            <w:tcBorders>
              <w:top w:val="nil"/>
              <w:bottom w:val="nil"/>
            </w:tcBorders>
            <w:vAlign w:val="top"/>
          </w:tcPr>
          <w:p w14:paraId="13FBDAB7">
            <w:pPr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Cardiovascular hospitalization</w:t>
            </w:r>
          </w:p>
        </w:tc>
      </w:tr>
      <w:tr w14:paraId="6779BA2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965" w:type="pct"/>
            <w:tcBorders>
              <w:top w:val="nil"/>
              <w:bottom w:val="nil"/>
            </w:tcBorders>
            <w:vAlign w:val="top"/>
          </w:tcPr>
          <w:p w14:paraId="393CA0B2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Normal weight-stable</w:t>
            </w:r>
          </w:p>
        </w:tc>
        <w:tc>
          <w:tcPr>
            <w:tcW w:w="501" w:type="pct"/>
            <w:tcBorders>
              <w:top w:val="nil"/>
              <w:bottom w:val="nil"/>
            </w:tcBorders>
            <w:vAlign w:val="top"/>
          </w:tcPr>
          <w:p w14:paraId="2462BDA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294</w:t>
            </w:r>
          </w:p>
          <w:p w14:paraId="1866804C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(2.9)</w:t>
            </w:r>
          </w:p>
        </w:tc>
        <w:tc>
          <w:tcPr>
            <w:tcW w:w="901" w:type="pct"/>
            <w:tcBorders>
              <w:top w:val="nil"/>
              <w:bottom w:val="nil"/>
            </w:tcBorders>
            <w:vAlign w:val="top"/>
          </w:tcPr>
          <w:p w14:paraId="39EBFAA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  <w:tc>
          <w:tcPr>
            <w:tcW w:w="874" w:type="pct"/>
            <w:tcBorders>
              <w:top w:val="nil"/>
              <w:bottom w:val="nil"/>
            </w:tcBorders>
            <w:vAlign w:val="top"/>
          </w:tcPr>
          <w:p w14:paraId="63212E1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  <w:tc>
          <w:tcPr>
            <w:tcW w:w="874" w:type="pct"/>
            <w:tcBorders>
              <w:top w:val="nil"/>
              <w:bottom w:val="nil"/>
            </w:tcBorders>
            <w:vAlign w:val="top"/>
          </w:tcPr>
          <w:p w14:paraId="5D81328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  <w:tc>
          <w:tcPr>
            <w:tcW w:w="884" w:type="pct"/>
            <w:tcBorders>
              <w:top w:val="nil"/>
              <w:bottom w:val="nil"/>
            </w:tcBorders>
            <w:vAlign w:val="top"/>
          </w:tcPr>
          <w:p w14:paraId="3FD79C9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</w:tr>
      <w:tr w14:paraId="739B97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965" w:type="pct"/>
            <w:tcBorders>
              <w:top w:val="nil"/>
              <w:bottom w:val="nil"/>
            </w:tcBorders>
            <w:vAlign w:val="center"/>
          </w:tcPr>
          <w:p w14:paraId="6A275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Rapid gainers</w:t>
            </w:r>
          </w:p>
        </w:tc>
        <w:tc>
          <w:tcPr>
            <w:tcW w:w="501" w:type="pct"/>
            <w:tcBorders>
              <w:top w:val="nil"/>
              <w:bottom w:val="nil"/>
            </w:tcBorders>
            <w:vAlign w:val="top"/>
          </w:tcPr>
          <w:p w14:paraId="3A9A98C5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19</w:t>
            </w:r>
          </w:p>
          <w:p w14:paraId="53D1C29E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(2.1)</w:t>
            </w:r>
          </w:p>
        </w:tc>
        <w:tc>
          <w:tcPr>
            <w:tcW w:w="901" w:type="pct"/>
            <w:tcBorders>
              <w:top w:val="nil"/>
              <w:bottom w:val="nil"/>
            </w:tcBorders>
            <w:vAlign w:val="top"/>
          </w:tcPr>
          <w:p w14:paraId="459CF9D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1.6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13410C8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61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79DFD6A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nil"/>
              <w:bottom w:val="nil"/>
            </w:tcBorders>
            <w:vAlign w:val="top"/>
          </w:tcPr>
          <w:p w14:paraId="277832F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80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009E03F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2.8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644302A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nil"/>
              <w:bottom w:val="nil"/>
            </w:tcBorders>
            <w:vAlign w:val="top"/>
          </w:tcPr>
          <w:p w14:paraId="7A50B5C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91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1EDC53B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.05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) </w:t>
            </w:r>
          </w:p>
          <w:p w14:paraId="382BF77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84" w:type="pct"/>
            <w:tcBorders>
              <w:top w:val="nil"/>
              <w:bottom w:val="nil"/>
            </w:tcBorders>
            <w:vAlign w:val="top"/>
          </w:tcPr>
          <w:p w14:paraId="0FF486A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07FE573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04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0EDD04C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3A1D06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965" w:type="pct"/>
            <w:tcBorders>
              <w:top w:val="nil"/>
              <w:bottom w:val="nil"/>
            </w:tcBorders>
            <w:vAlign w:val="top"/>
          </w:tcPr>
          <w:p w14:paraId="05F56409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Obese-slow losers</w:t>
            </w:r>
          </w:p>
        </w:tc>
        <w:tc>
          <w:tcPr>
            <w:tcW w:w="501" w:type="pct"/>
            <w:tcBorders>
              <w:top w:val="nil"/>
              <w:bottom w:val="nil"/>
            </w:tcBorders>
            <w:vAlign w:val="top"/>
          </w:tcPr>
          <w:p w14:paraId="50692FC6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4</w:t>
            </w:r>
          </w:p>
          <w:p w14:paraId="0448413E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(3.5)</w:t>
            </w:r>
          </w:p>
        </w:tc>
        <w:tc>
          <w:tcPr>
            <w:tcW w:w="901" w:type="pct"/>
            <w:tcBorders>
              <w:top w:val="nil"/>
              <w:bottom w:val="nil"/>
            </w:tcBorders>
            <w:vAlign w:val="top"/>
          </w:tcPr>
          <w:p w14:paraId="3E6C51A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2C3EE70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1.4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)  </w:t>
            </w:r>
          </w:p>
          <w:p w14:paraId="04ED241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nil"/>
              <w:bottom w:val="nil"/>
            </w:tcBorders>
            <w:vAlign w:val="top"/>
          </w:tcPr>
          <w:p w14:paraId="1A542A3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1.33 </w:t>
            </w:r>
          </w:p>
          <w:p w14:paraId="1517E18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1.5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5BD0342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nil"/>
              <w:bottom w:val="nil"/>
            </w:tcBorders>
            <w:vAlign w:val="top"/>
          </w:tcPr>
          <w:p w14:paraId="31D4152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7644046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(1.14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1.5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537368F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84" w:type="pct"/>
            <w:tcBorders>
              <w:top w:val="nil"/>
              <w:bottom w:val="nil"/>
            </w:tcBorders>
            <w:vAlign w:val="top"/>
          </w:tcPr>
          <w:p w14:paraId="152FC60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1.2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3F2D115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1.5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457C15B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7B909E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965" w:type="pct"/>
            <w:tcBorders>
              <w:top w:val="nil"/>
              <w:bottom w:val="single" w:color="auto" w:sz="4" w:space="0"/>
            </w:tcBorders>
            <w:vAlign w:val="top"/>
          </w:tcPr>
          <w:p w14:paraId="0F5ED33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Obese-rapid losers</w:t>
            </w:r>
          </w:p>
        </w:tc>
        <w:tc>
          <w:tcPr>
            <w:tcW w:w="501" w:type="pct"/>
            <w:tcBorders>
              <w:top w:val="nil"/>
              <w:bottom w:val="single" w:color="auto" w:sz="4" w:space="0"/>
            </w:tcBorders>
            <w:vAlign w:val="top"/>
          </w:tcPr>
          <w:p w14:paraId="02F4163C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18</w:t>
            </w:r>
          </w:p>
          <w:p w14:paraId="48111255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(1.8)</w:t>
            </w:r>
          </w:p>
        </w:tc>
        <w:tc>
          <w:tcPr>
            <w:tcW w:w="901" w:type="pct"/>
            <w:tcBorders>
              <w:top w:val="nil"/>
              <w:bottom w:val="single" w:color="auto" w:sz="4" w:space="0"/>
            </w:tcBorders>
            <w:vAlign w:val="top"/>
          </w:tcPr>
          <w:p w14:paraId="435CE8A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0149116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(0.67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)</w:t>
            </w:r>
          </w:p>
          <w:p w14:paraId="0A9208B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nil"/>
              <w:bottom w:val="single" w:color="auto" w:sz="4" w:space="0"/>
            </w:tcBorders>
            <w:vAlign w:val="top"/>
          </w:tcPr>
          <w:p w14:paraId="3D3C10B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10D126A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(0.77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.01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)</w:t>
            </w:r>
          </w:p>
          <w:p w14:paraId="28251ED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74" w:type="pct"/>
            <w:tcBorders>
              <w:top w:val="nil"/>
              <w:bottom w:val="single" w:color="auto" w:sz="4" w:space="0"/>
            </w:tcBorders>
            <w:vAlign w:val="top"/>
          </w:tcPr>
          <w:p w14:paraId="0456EA7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086E245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(0.9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2.5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) </w:t>
            </w:r>
          </w:p>
          <w:p w14:paraId="2483380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84" w:type="pct"/>
            <w:tcBorders>
              <w:top w:val="nil"/>
              <w:bottom w:val="single" w:color="auto" w:sz="4" w:space="0"/>
            </w:tcBorders>
            <w:vAlign w:val="top"/>
          </w:tcPr>
          <w:p w14:paraId="0F9E778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235752ED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(0.9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2.5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)</w:t>
            </w:r>
          </w:p>
          <w:p w14:paraId="4A9E337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</w:tbl>
    <w:p w14:paraId="21FE52A4">
      <w:pPr>
        <w:keepNext w:val="0"/>
        <w:keepLines w:val="0"/>
        <w:pageBreakBefore w:val="0"/>
        <w:widowControl w:val="0"/>
        <w:tabs>
          <w:tab w:val="left" w:pos="24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Cox proportional hazards regression models were used. Model 1 adjusted for age and sex; Model 2 further adjusted for sociodemographic factors (marital status, occupation, urban/rural residence, education, income, insurance); Model 3 additionally adjusted for lifestyle factors (smoking, alcohol), medical history (hypertension, diabetes, dyslipidemia,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>coronary heart disease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, stroke), and metabolic parameters (triglycerides, total cholesterol, LDL-C, HDL-C, fasting glucose).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Bold font indicates</w:t>
      </w:r>
      <w:r>
        <w:rPr>
          <w:rFonts w:hint="eastAsia" w:ascii="Times New Roman" w:hAnsi="Times New Roman" w:cs="Times New Roman"/>
          <w:i/>
          <w:iCs/>
          <w:kern w:val="2"/>
          <w:sz w:val="24"/>
          <w:szCs w:val="24"/>
          <w:lang w:val="en-US" w:eastAsia="zh-CN" w:bidi="ar-SA"/>
        </w:rPr>
        <w:t xml:space="preserve"> P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&lt; 0.05. 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Abbreviations: CI, confidence interval; HR, hazard ratio; Ref, reference.</w:t>
      </w:r>
    </w:p>
    <w:p w14:paraId="48FD1C90">
      <w:pPr>
        <w:tabs>
          <w:tab w:val="left" w:pos="1137"/>
        </w:tabs>
        <w:bidi w:val="0"/>
        <w:jc w:val="left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C06B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Supplementary Table S3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 Competing risk analysis: Association between BMI change patterns and hospitalization risk with death as a competing event (Fine-Gray model)</w:t>
      </w:r>
    </w:p>
    <w:p w14:paraId="0D4B6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tbl>
      <w:tblPr>
        <w:tblStyle w:val="3"/>
        <w:tblpPr w:leftFromText="180" w:rightFromText="180" w:vertAnchor="text" w:horzAnchor="margin" w:tblpXSpec="center" w:tblpY="50"/>
        <w:tblOverlap w:val="never"/>
        <w:tblW w:w="5000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5"/>
        <w:gridCol w:w="2017"/>
        <w:gridCol w:w="1457"/>
        <w:gridCol w:w="1635"/>
        <w:gridCol w:w="1638"/>
      </w:tblGrid>
      <w:tr w14:paraId="4769C2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042" w:type="pct"/>
            <w:vMerge w:val="restart"/>
            <w:tcBorders>
              <w:top w:val="single" w:color="auto" w:sz="4" w:space="0"/>
            </w:tcBorders>
            <w:vAlign w:val="top"/>
          </w:tcPr>
          <w:p w14:paraId="19F19CD3">
            <w:pPr>
              <w:jc w:val="left"/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  <w:t>BMI change pattern</w:t>
            </w:r>
          </w:p>
        </w:tc>
        <w:tc>
          <w:tcPr>
            <w:tcW w:w="1184" w:type="pct"/>
            <w:vMerge w:val="restart"/>
            <w:tcBorders>
              <w:top w:val="single" w:color="auto" w:sz="4" w:space="0"/>
            </w:tcBorders>
            <w:vAlign w:val="top"/>
          </w:tcPr>
          <w:p w14:paraId="53E25B50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 xml:space="preserve">Crude 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  <w:t>sHR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 xml:space="preserve">  (95%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CI)</w:t>
            </w:r>
          </w:p>
        </w:tc>
        <w:tc>
          <w:tcPr>
            <w:tcW w:w="2773" w:type="pct"/>
            <w:gridSpan w:val="3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2546D6F">
            <w:pPr>
              <w:jc w:val="center"/>
              <w:rPr>
                <w:rFonts w:ascii="Times New Roman" w:hAnsi="Times New Roman" w:eastAsia="宋体" w:cs="Times New Roman"/>
                <w:b/>
                <w:i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iCs/>
                <w:color w:val="auto"/>
                <w:kern w:val="0"/>
                <w:sz w:val="24"/>
                <w:szCs w:val="24"/>
              </w:rPr>
              <w:t xml:space="preserve">Adjusted </w:t>
            </w:r>
            <w:r>
              <w:rPr>
                <w:rFonts w:hint="eastAsia" w:ascii="Times New Roman" w:hAnsi="Times New Roman" w:eastAsia="宋体" w:cs="Times New Roman"/>
                <w:b/>
                <w:iCs/>
                <w:color w:val="auto"/>
                <w:kern w:val="0"/>
                <w:sz w:val="24"/>
                <w:szCs w:val="24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  <w:t>HR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 xml:space="preserve"> (95%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CI)</w:t>
            </w:r>
          </w:p>
          <w:p w14:paraId="5E438B75">
            <w:pPr>
              <w:jc w:val="center"/>
              <w:rPr>
                <w:rFonts w:ascii="Times New Roman" w:hAnsi="Times New Roman" w:eastAsia="宋体" w:cs="Times New Roman"/>
                <w:b/>
                <w:i/>
                <w:color w:val="auto"/>
                <w:kern w:val="0"/>
                <w:sz w:val="24"/>
                <w:szCs w:val="24"/>
              </w:rPr>
            </w:pPr>
          </w:p>
        </w:tc>
      </w:tr>
      <w:tr w14:paraId="48ABC2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1042" w:type="pct"/>
            <w:vMerge w:val="continue"/>
            <w:tcBorders>
              <w:bottom w:val="single" w:color="auto" w:sz="4" w:space="0"/>
            </w:tcBorders>
            <w:vAlign w:val="top"/>
          </w:tcPr>
          <w:p w14:paraId="12EB7924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84" w:type="pct"/>
            <w:vMerge w:val="continue"/>
            <w:tcBorders>
              <w:bottom w:val="single" w:color="auto" w:sz="4" w:space="0"/>
            </w:tcBorders>
            <w:vAlign w:val="top"/>
          </w:tcPr>
          <w:p w14:paraId="3BB7EE9C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2336B7B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Model 1</w:t>
            </w:r>
          </w:p>
        </w:tc>
        <w:tc>
          <w:tcPr>
            <w:tcW w:w="959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1BB3A63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Model 2</w:t>
            </w:r>
          </w:p>
        </w:tc>
        <w:tc>
          <w:tcPr>
            <w:tcW w:w="959" w:type="pct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F48FF10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Model 3</w:t>
            </w:r>
          </w:p>
          <w:p w14:paraId="0AE85AD7">
            <w:pPr>
              <w:jc w:val="center"/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</w:pPr>
          </w:p>
        </w:tc>
      </w:tr>
      <w:tr w14:paraId="1682EA3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5000" w:type="pct"/>
            <w:gridSpan w:val="5"/>
            <w:tcBorders>
              <w:top w:val="nil"/>
              <w:bottom w:val="nil"/>
            </w:tcBorders>
            <w:vAlign w:val="top"/>
          </w:tcPr>
          <w:p w14:paraId="34DA7A8F">
            <w:pPr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All-cause hospitalization</w:t>
            </w:r>
          </w:p>
        </w:tc>
      </w:tr>
      <w:tr w14:paraId="3E8DC6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042" w:type="pct"/>
            <w:tcBorders>
              <w:top w:val="nil"/>
              <w:bottom w:val="nil"/>
            </w:tcBorders>
            <w:vAlign w:val="top"/>
          </w:tcPr>
          <w:p w14:paraId="66D73639">
            <w:pPr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Normal weight-stable</w:t>
            </w:r>
          </w:p>
        </w:tc>
        <w:tc>
          <w:tcPr>
            <w:tcW w:w="1184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49AB9AF6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  <w:tc>
          <w:tcPr>
            <w:tcW w:w="854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2F5ECF51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  <w:tc>
          <w:tcPr>
            <w:tcW w:w="959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377BA541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  <w:tc>
          <w:tcPr>
            <w:tcW w:w="959" w:type="pct"/>
            <w:tcBorders>
              <w:top w:val="nil"/>
              <w:bottom w:val="nil"/>
            </w:tcBorders>
            <w:shd w:val="clear" w:color="auto" w:fill="auto"/>
            <w:vAlign w:val="top"/>
          </w:tcPr>
          <w:p w14:paraId="3713BF5F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</w:tr>
      <w:tr w14:paraId="09280B3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042" w:type="pct"/>
            <w:tcBorders>
              <w:top w:val="nil"/>
              <w:bottom w:val="nil"/>
            </w:tcBorders>
            <w:vAlign w:val="center"/>
          </w:tcPr>
          <w:p w14:paraId="4D0AF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Rapid gainers</w:t>
            </w:r>
          </w:p>
        </w:tc>
        <w:tc>
          <w:tcPr>
            <w:tcW w:w="1184" w:type="pct"/>
            <w:tcBorders>
              <w:top w:val="nil"/>
              <w:bottom w:val="nil"/>
            </w:tcBorders>
            <w:vAlign w:val="center"/>
          </w:tcPr>
          <w:p w14:paraId="427C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7BD39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1.01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33909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nil"/>
              <w:bottom w:val="nil"/>
            </w:tcBorders>
            <w:vAlign w:val="center"/>
          </w:tcPr>
          <w:p w14:paraId="4A71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7406A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06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81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579B0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59" w:type="pct"/>
            <w:tcBorders>
              <w:top w:val="nil"/>
              <w:bottom w:val="nil"/>
            </w:tcBorders>
            <w:vAlign w:val="top"/>
          </w:tcPr>
          <w:p w14:paraId="5D20AA73">
            <w:pPr>
              <w:bidi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43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 xml:space="preserve"> (1.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–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1.87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  <w:t>)</w:t>
            </w:r>
          </w:p>
          <w:p w14:paraId="3801E2C3">
            <w:pPr>
              <w:bidi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59" w:type="pct"/>
            <w:tcBorders>
              <w:top w:val="nil"/>
              <w:bottom w:val="nil"/>
            </w:tcBorders>
            <w:vAlign w:val="top"/>
          </w:tcPr>
          <w:p w14:paraId="302A4EB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1.09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–1.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86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</w:tc>
      </w:tr>
      <w:tr w14:paraId="01866A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042" w:type="pct"/>
            <w:tcBorders>
              <w:top w:val="nil"/>
              <w:bottom w:val="nil"/>
            </w:tcBorders>
            <w:vAlign w:val="top"/>
          </w:tcPr>
          <w:p w14:paraId="2C92A8AD">
            <w:pPr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Obese-slow losers</w:t>
            </w:r>
          </w:p>
        </w:tc>
        <w:tc>
          <w:tcPr>
            <w:tcW w:w="1184" w:type="pct"/>
            <w:tcBorders>
              <w:top w:val="nil"/>
              <w:bottom w:val="nil"/>
            </w:tcBorders>
            <w:vAlign w:val="top"/>
          </w:tcPr>
          <w:p w14:paraId="33ACF34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1.1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3963395F"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1.2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top"/>
          </w:tcPr>
          <w:p w14:paraId="6443353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41BB4703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5C5EE85D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59" w:type="pct"/>
            <w:tcBorders>
              <w:top w:val="nil"/>
              <w:bottom w:val="nil"/>
            </w:tcBorders>
            <w:vAlign w:val="top"/>
          </w:tcPr>
          <w:p w14:paraId="050CD39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5FD76D9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959" w:type="pct"/>
            <w:tcBorders>
              <w:top w:val="nil"/>
              <w:bottom w:val="nil"/>
            </w:tcBorders>
            <w:vAlign w:val="top"/>
          </w:tcPr>
          <w:p w14:paraId="52F1BD9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(1.0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–1.2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</w:tc>
      </w:tr>
      <w:tr w14:paraId="7C45AC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042" w:type="pct"/>
            <w:tcBorders>
              <w:top w:val="nil"/>
              <w:bottom w:val="nil"/>
            </w:tcBorders>
            <w:vAlign w:val="top"/>
          </w:tcPr>
          <w:p w14:paraId="4C5E2B6D">
            <w:pPr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Obese-rapid losers</w:t>
            </w:r>
          </w:p>
        </w:tc>
        <w:tc>
          <w:tcPr>
            <w:tcW w:w="1184" w:type="pct"/>
            <w:tcBorders>
              <w:top w:val="nil"/>
              <w:bottom w:val="nil"/>
            </w:tcBorders>
            <w:vAlign w:val="top"/>
          </w:tcPr>
          <w:p w14:paraId="2D37D38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1DB43248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(0.8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)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top"/>
          </w:tcPr>
          <w:p w14:paraId="1FA832FA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191AB5E2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(0.9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)</w:t>
            </w:r>
          </w:p>
          <w:p w14:paraId="5FEF938F">
            <w:pPr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59" w:type="pct"/>
            <w:tcBorders>
              <w:top w:val="nil"/>
              <w:bottom w:val="nil"/>
            </w:tcBorders>
            <w:vAlign w:val="top"/>
          </w:tcPr>
          <w:p w14:paraId="58E94A5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09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–1.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6FABAEF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59" w:type="pct"/>
            <w:tcBorders>
              <w:top w:val="nil"/>
              <w:bottom w:val="nil"/>
            </w:tcBorders>
            <w:vAlign w:val="top"/>
          </w:tcPr>
          <w:p w14:paraId="778BC55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1.07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–1.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107D76F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3B1001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5000" w:type="pct"/>
            <w:gridSpan w:val="5"/>
            <w:tcBorders>
              <w:top w:val="nil"/>
              <w:bottom w:val="nil"/>
            </w:tcBorders>
            <w:vAlign w:val="top"/>
          </w:tcPr>
          <w:p w14:paraId="1DA0D00E">
            <w:pPr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Cardiovascular hospitalization</w:t>
            </w:r>
          </w:p>
        </w:tc>
      </w:tr>
      <w:tr w14:paraId="4A6974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042" w:type="pct"/>
            <w:tcBorders>
              <w:top w:val="nil"/>
              <w:bottom w:val="nil"/>
            </w:tcBorders>
            <w:vAlign w:val="top"/>
          </w:tcPr>
          <w:p w14:paraId="3FC1C88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Normal weight-stable</w:t>
            </w:r>
          </w:p>
        </w:tc>
        <w:tc>
          <w:tcPr>
            <w:tcW w:w="1184" w:type="pct"/>
            <w:tcBorders>
              <w:top w:val="nil"/>
              <w:bottom w:val="nil"/>
            </w:tcBorders>
            <w:vAlign w:val="top"/>
          </w:tcPr>
          <w:p w14:paraId="6703E16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  <w:tc>
          <w:tcPr>
            <w:tcW w:w="854" w:type="pct"/>
            <w:tcBorders>
              <w:top w:val="nil"/>
              <w:bottom w:val="nil"/>
            </w:tcBorders>
            <w:vAlign w:val="top"/>
          </w:tcPr>
          <w:p w14:paraId="2F27664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  <w:tc>
          <w:tcPr>
            <w:tcW w:w="959" w:type="pct"/>
            <w:tcBorders>
              <w:top w:val="nil"/>
              <w:bottom w:val="nil"/>
            </w:tcBorders>
            <w:vAlign w:val="top"/>
          </w:tcPr>
          <w:p w14:paraId="63DCE09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  <w:tc>
          <w:tcPr>
            <w:tcW w:w="959" w:type="pct"/>
            <w:tcBorders>
              <w:top w:val="nil"/>
              <w:bottom w:val="nil"/>
            </w:tcBorders>
            <w:vAlign w:val="top"/>
          </w:tcPr>
          <w:p w14:paraId="5F447CC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Ref</w:t>
            </w:r>
          </w:p>
        </w:tc>
      </w:tr>
      <w:tr w14:paraId="0AB575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042" w:type="pct"/>
            <w:tcBorders>
              <w:top w:val="nil"/>
              <w:bottom w:val="nil"/>
            </w:tcBorders>
            <w:vAlign w:val="center"/>
          </w:tcPr>
          <w:p w14:paraId="658E6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Rapid gainers</w:t>
            </w:r>
          </w:p>
        </w:tc>
        <w:tc>
          <w:tcPr>
            <w:tcW w:w="1184" w:type="pct"/>
            <w:tcBorders>
              <w:top w:val="nil"/>
              <w:bottom w:val="nil"/>
            </w:tcBorders>
            <w:vAlign w:val="top"/>
          </w:tcPr>
          <w:p w14:paraId="551A82B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49AF99F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2.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56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66EE2C9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nil"/>
              <w:bottom w:val="nil"/>
            </w:tcBorders>
            <w:vAlign w:val="top"/>
          </w:tcPr>
          <w:p w14:paraId="7EE1E89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77016EC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09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79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5914F63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59" w:type="pct"/>
            <w:tcBorders>
              <w:top w:val="nil"/>
              <w:bottom w:val="nil"/>
            </w:tcBorders>
            <w:vAlign w:val="top"/>
          </w:tcPr>
          <w:p w14:paraId="3492D0EE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84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6A66C9B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2.95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) </w:t>
            </w:r>
          </w:p>
          <w:p w14:paraId="1F80367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59" w:type="pct"/>
            <w:tcBorders>
              <w:top w:val="nil"/>
              <w:bottom w:val="nil"/>
            </w:tcBorders>
            <w:vAlign w:val="top"/>
          </w:tcPr>
          <w:p w14:paraId="79BC612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83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66986B8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93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6BA9609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714E77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042" w:type="pct"/>
            <w:tcBorders>
              <w:top w:val="nil"/>
              <w:bottom w:val="nil"/>
            </w:tcBorders>
            <w:vAlign w:val="top"/>
          </w:tcPr>
          <w:p w14:paraId="3705FD6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Obese-slow losers</w:t>
            </w:r>
          </w:p>
        </w:tc>
        <w:tc>
          <w:tcPr>
            <w:tcW w:w="1184" w:type="pct"/>
            <w:tcBorders>
              <w:top w:val="nil"/>
              <w:bottom w:val="nil"/>
            </w:tcBorders>
            <w:vAlign w:val="top"/>
          </w:tcPr>
          <w:p w14:paraId="6848A2E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2466AE9A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1.01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)  </w:t>
            </w:r>
          </w:p>
          <w:p w14:paraId="4ECDA14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nil"/>
              <w:bottom w:val="nil"/>
            </w:tcBorders>
            <w:vAlign w:val="top"/>
          </w:tcPr>
          <w:p w14:paraId="1BDFF6D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3 </w:t>
            </w:r>
          </w:p>
          <w:p w14:paraId="130BDB73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56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763435E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59" w:type="pct"/>
            <w:tcBorders>
              <w:top w:val="nil"/>
              <w:bottom w:val="nil"/>
            </w:tcBorders>
            <w:vAlign w:val="top"/>
          </w:tcPr>
          <w:p w14:paraId="405F0E09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34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300ED66D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58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64FA6D7B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59" w:type="pct"/>
            <w:tcBorders>
              <w:top w:val="nil"/>
              <w:bottom w:val="nil"/>
            </w:tcBorders>
            <w:vAlign w:val="top"/>
          </w:tcPr>
          <w:p w14:paraId="15A24DF2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242CA96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1.07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51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  <w:t>)</w:t>
            </w:r>
          </w:p>
          <w:p w14:paraId="4124C43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2C4F35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042" w:type="pct"/>
            <w:tcBorders>
              <w:top w:val="nil"/>
              <w:bottom w:val="single" w:color="auto" w:sz="4" w:space="0"/>
            </w:tcBorders>
            <w:vAlign w:val="top"/>
          </w:tcPr>
          <w:p w14:paraId="1ED58BF5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Obese-rapid losers</w:t>
            </w:r>
          </w:p>
        </w:tc>
        <w:tc>
          <w:tcPr>
            <w:tcW w:w="1184" w:type="pct"/>
            <w:tcBorders>
              <w:top w:val="nil"/>
              <w:bottom w:val="single" w:color="auto" w:sz="4" w:space="0"/>
            </w:tcBorders>
            <w:vAlign w:val="top"/>
          </w:tcPr>
          <w:p w14:paraId="0094123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05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6D95140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(0.6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70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)</w:t>
            </w:r>
          </w:p>
          <w:p w14:paraId="3BD2B408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854" w:type="pct"/>
            <w:tcBorders>
              <w:top w:val="nil"/>
              <w:bottom w:val="single" w:color="auto" w:sz="4" w:space="0"/>
            </w:tcBorders>
            <w:vAlign w:val="top"/>
          </w:tcPr>
          <w:p w14:paraId="4CD32FD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63E488A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(0.7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1.95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)</w:t>
            </w:r>
          </w:p>
          <w:p w14:paraId="3414CAB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59" w:type="pct"/>
            <w:tcBorders>
              <w:top w:val="nil"/>
              <w:bottom w:val="single" w:color="auto" w:sz="4" w:space="0"/>
            </w:tcBorders>
            <w:vAlign w:val="top"/>
          </w:tcPr>
          <w:p w14:paraId="424AFD37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53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238FACEB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94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>2.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48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kern w:val="0"/>
                <w:sz w:val="24"/>
                <w:szCs w:val="24"/>
              </w:rPr>
              <w:t xml:space="preserve">) </w:t>
            </w:r>
          </w:p>
          <w:p w14:paraId="597FD430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959" w:type="pct"/>
            <w:tcBorders>
              <w:top w:val="nil"/>
              <w:bottom w:val="single" w:color="auto" w:sz="4" w:space="0"/>
            </w:tcBorders>
            <w:vAlign w:val="top"/>
          </w:tcPr>
          <w:p w14:paraId="2CC1F5C9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51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 xml:space="preserve"> </w:t>
            </w:r>
          </w:p>
          <w:p w14:paraId="5DCEA6D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93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eastAsia="zh-CN"/>
              </w:rPr>
              <w:t>–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2.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  <w:t>)</w:t>
            </w:r>
          </w:p>
          <w:p w14:paraId="745B94A7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szCs w:val="24"/>
              </w:rPr>
            </w:pPr>
          </w:p>
        </w:tc>
      </w:tr>
    </w:tbl>
    <w:p w14:paraId="20F2C5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32"/>
          <w:lang w:val="en-US" w:eastAsia="zh-CN"/>
        </w:rPr>
        <w:t>Fine-Gray proportional subdistribution hazards models were used.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Model adjustment sets are identical to those described in Table S2. Bold font indicates </w:t>
      </w:r>
      <w:r>
        <w:rPr>
          <w:rFonts w:hint="default" w:ascii="Times New Roman" w:hAnsi="Times New Roman" w:cs="Times New Roman" w:eastAsiaTheme="minorEastAsia"/>
          <w:i/>
          <w:iCs/>
          <w:kern w:val="2"/>
          <w:sz w:val="24"/>
          <w:szCs w:val="24"/>
          <w:lang w:val="en-US" w:eastAsia="zh-CN" w:bidi="ar-SA"/>
        </w:rPr>
        <w:t>P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 &lt; 0.05. </w:t>
      </w:r>
      <w:r>
        <w:rPr>
          <w:rFonts w:hint="default" w:ascii="Times New Roman" w:hAnsi="Times New Roman" w:cs="Times New Roman"/>
          <w:b w:val="0"/>
          <w:bCs w:val="0"/>
          <w:sz w:val="24"/>
          <w:szCs w:val="32"/>
          <w:lang w:val="en-US" w:eastAsia="zh-CN"/>
        </w:rPr>
        <w:t>Abbreviations: CI, confidence interval; Ref, reference; sHR, subdistribution hazard ratio.</w:t>
      </w:r>
    </w:p>
    <w:p w14:paraId="1A0929CB">
      <w:pPr>
        <w:bidi w:val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</w:p>
    <w:p w14:paraId="5C0011F5">
      <w:pPr>
        <w:bidi w:val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</w:p>
    <w:p w14:paraId="6CD5A20A">
      <w:pPr>
        <w:bidi w:val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EE0BF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Supplementary Table S4 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 xml:space="preserve">Sensitivity analysis: Association between BMI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change patterns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 xml:space="preserve"> and CVD hospitalization risk excluding TIA-related hospitalizations</w:t>
      </w:r>
    </w:p>
    <w:p w14:paraId="464A5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9"/>
        <w:gridCol w:w="979"/>
        <w:gridCol w:w="1746"/>
        <w:gridCol w:w="1336"/>
        <w:gridCol w:w="1336"/>
        <w:gridCol w:w="1336"/>
      </w:tblGrid>
      <w:tr w14:paraId="208E10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</w:tcBorders>
            <w:vAlign w:val="center"/>
          </w:tcPr>
          <w:p w14:paraId="22D4F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BMI 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  <w:t>change pattern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</w:tcBorders>
            <w:vAlign w:val="center"/>
          </w:tcPr>
          <w:p w14:paraId="2AC89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Event (%)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</w:tcBorders>
            <w:vAlign w:val="center"/>
          </w:tcPr>
          <w:p w14:paraId="69B44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 xml:space="preserve">Crude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 xml:space="preserve">  (95%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CI)</w:t>
            </w:r>
          </w:p>
        </w:tc>
        <w:tc>
          <w:tcPr>
            <w:tcW w:w="0" w:type="auto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98E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 xml:space="preserve">Adjusted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HR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 xml:space="preserve"> (95%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CI)</w:t>
            </w:r>
          </w:p>
        </w:tc>
      </w:tr>
      <w:tr w14:paraId="7FBBB97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Merge w:val="continue"/>
            <w:tcBorders>
              <w:bottom w:val="single" w:color="auto" w:sz="4" w:space="0"/>
            </w:tcBorders>
            <w:vAlign w:val="center"/>
          </w:tcPr>
          <w:p w14:paraId="73317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  <w:vAlign w:val="center"/>
          </w:tcPr>
          <w:p w14:paraId="3DDA8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</w:p>
        </w:tc>
        <w:tc>
          <w:tcPr>
            <w:tcW w:w="0" w:type="auto"/>
            <w:vMerge w:val="continue"/>
            <w:tcBorders>
              <w:bottom w:val="single" w:color="auto" w:sz="4" w:space="0"/>
            </w:tcBorders>
            <w:vAlign w:val="center"/>
          </w:tcPr>
          <w:p w14:paraId="7ED6C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CB0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Model 1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45D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Model 2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3F27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Model 3</w:t>
            </w:r>
          </w:p>
        </w:tc>
      </w:tr>
      <w:tr w14:paraId="4FC5AB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gridSpan w:val="6"/>
            <w:tcBorders>
              <w:top w:val="nil"/>
              <w:bottom w:val="nil"/>
            </w:tcBorders>
            <w:vAlign w:val="center"/>
          </w:tcPr>
          <w:p w14:paraId="70A3F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Cardiovascular hospitalization</w:t>
            </w:r>
          </w:p>
        </w:tc>
      </w:tr>
      <w:tr w14:paraId="653F8F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421B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Normal weight-stable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CEF8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220</w:t>
            </w:r>
          </w:p>
          <w:p w14:paraId="6C9F6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(2.1)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DA3D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Ref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578A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Ref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8FF8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Ref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738B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Ref</w:t>
            </w:r>
          </w:p>
        </w:tc>
      </w:tr>
      <w:tr w14:paraId="0B8F58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D4C2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Rapid gainers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6E1F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  <w:p w14:paraId="356C8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(1.6)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8A3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1.74</w:t>
            </w:r>
          </w:p>
          <w:p w14:paraId="004E5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(1.03–2.95)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11FD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1.9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0</w:t>
            </w:r>
          </w:p>
          <w:p w14:paraId="24394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(1.13–3.22)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41CE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2.01</w:t>
            </w:r>
          </w:p>
          <w:p w14:paraId="18887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(1.19–3.4)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EFA8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1.99</w:t>
            </w:r>
          </w:p>
          <w:p w14:paraId="6E9E73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(1.18–3.38)</w:t>
            </w:r>
          </w:p>
        </w:tc>
      </w:tr>
      <w:tr w14:paraId="040DBC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760F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Obese-slow losers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77F8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15</w:t>
            </w:r>
          </w:p>
          <w:p w14:paraId="035F7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(2.7)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890C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1.21</w:t>
            </w:r>
          </w:p>
          <w:p w14:paraId="4E9C4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(1.01–1.46)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DA0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1.36</w:t>
            </w:r>
          </w:p>
          <w:p w14:paraId="09FAC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(1.12–1.64)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1A58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1.37</w:t>
            </w:r>
          </w:p>
          <w:p w14:paraId="0C561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(1.13–1.65)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BAAD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1.26</w:t>
            </w:r>
          </w:p>
          <w:p w14:paraId="21DD4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(1.04–1.54)</w:t>
            </w:r>
          </w:p>
        </w:tc>
      </w:tr>
      <w:tr w14:paraId="505D20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nil"/>
              <w:bottom w:val="single" w:color="auto" w:sz="4" w:space="0"/>
            </w:tcBorders>
            <w:vAlign w:val="center"/>
          </w:tcPr>
          <w:p w14:paraId="0DE1C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Obese-rapid losers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vAlign w:val="center"/>
          </w:tcPr>
          <w:p w14:paraId="0C27A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</w:p>
          <w:p w14:paraId="2ED660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(1.5)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vAlign w:val="center"/>
          </w:tcPr>
          <w:p w14:paraId="50861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1.21 (0.71,2.04)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vAlign w:val="center"/>
          </w:tcPr>
          <w:p w14:paraId="42BEB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1.41</w:t>
            </w:r>
          </w:p>
          <w:p w14:paraId="4900A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(0.83–2.38)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vAlign w:val="center"/>
          </w:tcPr>
          <w:p w14:paraId="4DDEE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1.76</w:t>
            </w:r>
          </w:p>
          <w:p w14:paraId="616B4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(1.04–2.99)</w:t>
            </w:r>
          </w:p>
        </w:tc>
        <w:tc>
          <w:tcPr>
            <w:tcW w:w="0" w:type="auto"/>
            <w:tcBorders>
              <w:top w:val="nil"/>
              <w:bottom w:val="single" w:color="auto" w:sz="4" w:space="0"/>
            </w:tcBorders>
            <w:vAlign w:val="center"/>
          </w:tcPr>
          <w:p w14:paraId="4FC18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1.74</w:t>
            </w:r>
          </w:p>
          <w:p w14:paraId="0B1B8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(1.02–2.96)</w:t>
            </w:r>
          </w:p>
        </w:tc>
      </w:tr>
    </w:tbl>
    <w:p w14:paraId="0C18B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Cox proportional hazards regression models were used.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Model adjustment sets are identical to those described in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Table S2. Bold font indicates </w:t>
      </w:r>
      <w:r>
        <w:rPr>
          <w:rFonts w:hint="default" w:ascii="Times New Roman" w:hAnsi="Times New Roman" w:cs="Times New Roman" w:eastAsiaTheme="minorEastAsia"/>
          <w:i/>
          <w:iCs/>
          <w:kern w:val="2"/>
          <w:sz w:val="24"/>
          <w:szCs w:val="24"/>
          <w:lang w:val="en-US" w:eastAsia="zh-CN" w:bidi="ar-SA"/>
        </w:rPr>
        <w:t>P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 &lt; 0.05.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Abbreviations are provided in Table 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>S2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 footnote.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</w:t>
      </w:r>
    </w:p>
    <w:p w14:paraId="1D67F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Supplementary Table S5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> Cross-tabulation of BMI and waist circumference change patterns</w:t>
      </w:r>
    </w:p>
    <w:p w14:paraId="6927A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82"/>
        <w:gridCol w:w="1106"/>
        <w:gridCol w:w="2453"/>
        <w:gridCol w:w="2522"/>
      </w:tblGrid>
      <w:tr w14:paraId="124F7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407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31EF0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BMI 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  <w:t>change pattern</w:t>
            </w:r>
          </w:p>
        </w:tc>
        <w:tc>
          <w:tcPr>
            <w:tcW w:w="653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A2CD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Total, n</w:t>
            </w:r>
          </w:p>
        </w:tc>
        <w:tc>
          <w:tcPr>
            <w:tcW w:w="1449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2097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High waist-declining </w:t>
            </w:r>
          </w:p>
        </w:tc>
        <w:tc>
          <w:tcPr>
            <w:tcW w:w="1489" w:type="pct"/>
            <w:tcBorders>
              <w:top w:val="single" w:color="auto" w:sz="4" w:space="0"/>
              <w:bottom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3B6C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Low waist-increasing </w:t>
            </w:r>
          </w:p>
        </w:tc>
      </w:tr>
      <w:tr w14:paraId="65735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07" w:type="pct"/>
            <w:tcBorders>
              <w:top w:val="single" w:color="auto" w:sz="4" w:space="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2F2D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Normal weight-stable</w:t>
            </w:r>
          </w:p>
        </w:tc>
        <w:tc>
          <w:tcPr>
            <w:tcW w:w="653" w:type="pct"/>
            <w:tcBorders>
              <w:top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E351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10310</w:t>
            </w:r>
          </w:p>
        </w:tc>
        <w:tc>
          <w:tcPr>
            <w:tcW w:w="1449" w:type="pct"/>
            <w:tcBorders>
              <w:top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8732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2504 (24.3%)</w:t>
            </w:r>
          </w:p>
        </w:tc>
        <w:tc>
          <w:tcPr>
            <w:tcW w:w="1489" w:type="pct"/>
            <w:tcBorders>
              <w:top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859F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7806 (75.7%)</w:t>
            </w:r>
          </w:p>
        </w:tc>
      </w:tr>
      <w:tr w14:paraId="4B9D5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07" w:type="pct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537D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Rapid gainers</w:t>
            </w:r>
          </w:p>
        </w:tc>
        <w:tc>
          <w:tcPr>
            <w:tcW w:w="653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8A7D5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904</w:t>
            </w:r>
          </w:p>
        </w:tc>
        <w:tc>
          <w:tcPr>
            <w:tcW w:w="1449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298E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237 (26.2%)</w:t>
            </w:r>
          </w:p>
        </w:tc>
        <w:tc>
          <w:tcPr>
            <w:tcW w:w="1489" w:type="pct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3E8C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667 (73.8%)</w:t>
            </w:r>
          </w:p>
        </w:tc>
      </w:tr>
      <w:tr w14:paraId="4F20C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07" w:type="pct"/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6A37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Obese-slow losers</w:t>
            </w:r>
          </w:p>
        </w:tc>
        <w:tc>
          <w:tcPr>
            <w:tcW w:w="653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F150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8003</w:t>
            </w:r>
          </w:p>
        </w:tc>
        <w:tc>
          <w:tcPr>
            <w:tcW w:w="1449" w:type="pct"/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3EF0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5752 (71.9%)</w:t>
            </w:r>
          </w:p>
        </w:tc>
        <w:tc>
          <w:tcPr>
            <w:tcW w:w="1489" w:type="pct"/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5552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2251 (28.1%)</w:t>
            </w:r>
          </w:p>
        </w:tc>
      </w:tr>
      <w:tr w14:paraId="2F814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07" w:type="pct"/>
            <w:tcBorders>
              <w:bottom w:val="single" w:color="auto" w:sz="4" w:space="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B729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Obese-rapid losers</w:t>
            </w:r>
          </w:p>
        </w:tc>
        <w:tc>
          <w:tcPr>
            <w:tcW w:w="653" w:type="pct"/>
            <w:tcBorders>
              <w:bottom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D1A2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957</w:t>
            </w:r>
          </w:p>
        </w:tc>
        <w:tc>
          <w:tcPr>
            <w:tcW w:w="1449" w:type="pct"/>
            <w:tcBorders>
              <w:bottom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3484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743 (77.6%)</w:t>
            </w:r>
          </w:p>
        </w:tc>
        <w:tc>
          <w:tcPr>
            <w:tcW w:w="1489" w:type="pct"/>
            <w:tcBorders>
              <w:bottom w:val="single" w:color="auto" w:sz="4" w:space="0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F20A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214 (22.4%)</w:t>
            </w:r>
          </w:p>
        </w:tc>
      </w:tr>
    </w:tbl>
    <w:p w14:paraId="70B46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4B65A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593B8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07522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0BDC1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79405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30026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681E1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4977F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036BD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76D43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2CA724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35576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3D9DF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5FECE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66463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62CDC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49E40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3A5478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26883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38F46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51002D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61BE3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19826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3FD16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2220C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  <w:bookmarkStart w:id="0" w:name="_GoBack"/>
      <w:bookmarkEnd w:id="0"/>
    </w:p>
    <w:p w14:paraId="74029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3894D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5F2235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60961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6A375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2F6AD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2030C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 w14:paraId="70B9F3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Supplementary Table S6 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>Association of waist change patterns with hospitalization risk</w:t>
      </w:r>
    </w:p>
    <w:tbl>
      <w:tblPr>
        <w:tblStyle w:val="2"/>
        <w:tblW w:w="830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99"/>
        <w:gridCol w:w="3183"/>
        <w:gridCol w:w="3022"/>
      </w:tblGrid>
      <w:tr w14:paraId="2EEFC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4BF05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 xml:space="preserve">Waist </w:t>
            </w:r>
            <w:r>
              <w:rPr>
                <w:rFonts w:hint="default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  <w:lang w:val="en-US" w:eastAsia="zh-CN"/>
              </w:rPr>
              <w:t>change pattern</w:t>
            </w:r>
          </w:p>
        </w:tc>
        <w:tc>
          <w:tcPr>
            <w:tcW w:w="0" w:type="auto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6106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All-cause hospitalization</w:t>
            </w:r>
          </w:p>
          <w:p w14:paraId="10C64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02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8E44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Cardiovascular hospitalization</w:t>
            </w:r>
          </w:p>
        </w:tc>
      </w:tr>
      <w:tr w14:paraId="2D361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87A18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High waist-declining</w:t>
            </w:r>
          </w:p>
        </w:tc>
        <w:tc>
          <w:tcPr>
            <w:tcW w:w="0" w:type="auto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51A2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1.21（1.11-1.32）</w:t>
            </w:r>
          </w:p>
        </w:tc>
        <w:tc>
          <w:tcPr>
            <w:tcW w:w="3022" w:type="dxa"/>
            <w:tcBorders>
              <w:top w:val="single" w:color="auto" w:sz="4" w:space="0"/>
              <w:bottom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2B4E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  <w:t>1.24（1.05-1.46）</w:t>
            </w:r>
          </w:p>
        </w:tc>
      </w:tr>
      <w:tr w14:paraId="383B7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2099" w:type="dxa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78DA5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Low waist-increasing</w:t>
            </w:r>
          </w:p>
        </w:tc>
        <w:tc>
          <w:tcPr>
            <w:tcW w:w="3183" w:type="dxa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D9FA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Ref</w:t>
            </w:r>
          </w:p>
        </w:tc>
        <w:tc>
          <w:tcPr>
            <w:tcW w:w="3022" w:type="dxa"/>
            <w:tcBorders>
              <w:top w:val="nil"/>
              <w:bottom w:val="single" w:color="auto" w:sz="4" w:space="0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D603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Ref</w:t>
            </w:r>
          </w:p>
        </w:tc>
      </w:tr>
    </w:tbl>
    <w:p w14:paraId="5AF8E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Data are presented as adjusted HR (95% CI). Models adjusted for age, sex, sociodemographic factors, lifestyle factors, medical history, and metabolic parameters. Bold indicates </w:t>
      </w:r>
      <w:r>
        <w:rPr>
          <w:rFonts w:hint="eastAsia" w:ascii="Times New Roman" w:hAnsi="Times New Roman" w:cs="Times New Roman"/>
          <w:i/>
          <w:iCs/>
          <w:kern w:val="2"/>
          <w:sz w:val="24"/>
          <w:szCs w:val="24"/>
          <w:lang w:val="en-US" w:eastAsia="zh-CN" w:bidi="ar-SA"/>
        </w:rPr>
        <w:t>P</w:t>
      </w:r>
      <w:r>
        <w:rPr>
          <w:rFonts w:hint="eastAsia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&lt; 0.05.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A62EA1"/>
    <w:rsid w:val="00D16FEA"/>
    <w:rsid w:val="01C81F50"/>
    <w:rsid w:val="02935984"/>
    <w:rsid w:val="0310414D"/>
    <w:rsid w:val="053973EC"/>
    <w:rsid w:val="07155C37"/>
    <w:rsid w:val="07524795"/>
    <w:rsid w:val="0754675F"/>
    <w:rsid w:val="07C42416"/>
    <w:rsid w:val="08660B7E"/>
    <w:rsid w:val="08AC7DC6"/>
    <w:rsid w:val="095C18FB"/>
    <w:rsid w:val="09C120A6"/>
    <w:rsid w:val="09C15C02"/>
    <w:rsid w:val="09C93935"/>
    <w:rsid w:val="0AF85654"/>
    <w:rsid w:val="0BE359AE"/>
    <w:rsid w:val="0DBF06AB"/>
    <w:rsid w:val="10152804"/>
    <w:rsid w:val="102313C5"/>
    <w:rsid w:val="106519DD"/>
    <w:rsid w:val="108958CC"/>
    <w:rsid w:val="144D3964"/>
    <w:rsid w:val="144E07DC"/>
    <w:rsid w:val="146D0298"/>
    <w:rsid w:val="14C30A80"/>
    <w:rsid w:val="1607606C"/>
    <w:rsid w:val="161A30CF"/>
    <w:rsid w:val="161C2B3E"/>
    <w:rsid w:val="175F4F7B"/>
    <w:rsid w:val="1768590F"/>
    <w:rsid w:val="17CE0E41"/>
    <w:rsid w:val="180259C5"/>
    <w:rsid w:val="18673E19"/>
    <w:rsid w:val="18E702C9"/>
    <w:rsid w:val="1908331D"/>
    <w:rsid w:val="1A1B5DEF"/>
    <w:rsid w:val="1A4009BA"/>
    <w:rsid w:val="1AC0417D"/>
    <w:rsid w:val="1AE17EB2"/>
    <w:rsid w:val="1BDB3120"/>
    <w:rsid w:val="1F8F5F24"/>
    <w:rsid w:val="20BE4333"/>
    <w:rsid w:val="21CF3DA1"/>
    <w:rsid w:val="21FA7AAB"/>
    <w:rsid w:val="220B7F0B"/>
    <w:rsid w:val="22766C54"/>
    <w:rsid w:val="22965A26"/>
    <w:rsid w:val="23133E1D"/>
    <w:rsid w:val="23866B5E"/>
    <w:rsid w:val="249E0BC2"/>
    <w:rsid w:val="25F31FAA"/>
    <w:rsid w:val="268A6428"/>
    <w:rsid w:val="26D8550F"/>
    <w:rsid w:val="280928F0"/>
    <w:rsid w:val="28696A28"/>
    <w:rsid w:val="292B1457"/>
    <w:rsid w:val="29E90B31"/>
    <w:rsid w:val="2A581813"/>
    <w:rsid w:val="2A685EFA"/>
    <w:rsid w:val="2A790107"/>
    <w:rsid w:val="2E7110F5"/>
    <w:rsid w:val="2E76495E"/>
    <w:rsid w:val="31175F84"/>
    <w:rsid w:val="32D57170"/>
    <w:rsid w:val="33F66D73"/>
    <w:rsid w:val="366A124C"/>
    <w:rsid w:val="380C13BD"/>
    <w:rsid w:val="3A092B2A"/>
    <w:rsid w:val="3AD03F86"/>
    <w:rsid w:val="3B6E0E96"/>
    <w:rsid w:val="3B8C756F"/>
    <w:rsid w:val="3DE438FC"/>
    <w:rsid w:val="3E3C3F84"/>
    <w:rsid w:val="3E6D3687"/>
    <w:rsid w:val="3F5F68E2"/>
    <w:rsid w:val="417230CC"/>
    <w:rsid w:val="437234EE"/>
    <w:rsid w:val="43857C0E"/>
    <w:rsid w:val="44C64DDB"/>
    <w:rsid w:val="44D44168"/>
    <w:rsid w:val="45594965"/>
    <w:rsid w:val="45D3296A"/>
    <w:rsid w:val="465D3034"/>
    <w:rsid w:val="46A62EA1"/>
    <w:rsid w:val="46B1257F"/>
    <w:rsid w:val="46F81F5C"/>
    <w:rsid w:val="47094169"/>
    <w:rsid w:val="48C04CFB"/>
    <w:rsid w:val="4A3537EB"/>
    <w:rsid w:val="4B8F33B8"/>
    <w:rsid w:val="4BEA6D10"/>
    <w:rsid w:val="4C0049AD"/>
    <w:rsid w:val="4C5C2F8D"/>
    <w:rsid w:val="4CA84625"/>
    <w:rsid w:val="4D116D53"/>
    <w:rsid w:val="4D7C7968"/>
    <w:rsid w:val="4E90698C"/>
    <w:rsid w:val="4FA64C4B"/>
    <w:rsid w:val="515B3813"/>
    <w:rsid w:val="51696702"/>
    <w:rsid w:val="52E33AC0"/>
    <w:rsid w:val="5354676C"/>
    <w:rsid w:val="55611A2A"/>
    <w:rsid w:val="573A1DDB"/>
    <w:rsid w:val="574D0AB7"/>
    <w:rsid w:val="57773D24"/>
    <w:rsid w:val="57A37640"/>
    <w:rsid w:val="592A41E1"/>
    <w:rsid w:val="5A4F7C8D"/>
    <w:rsid w:val="5AAB3DFE"/>
    <w:rsid w:val="5B351579"/>
    <w:rsid w:val="5BAF6C35"/>
    <w:rsid w:val="5C1444AA"/>
    <w:rsid w:val="5D7550E1"/>
    <w:rsid w:val="5DB26EB1"/>
    <w:rsid w:val="5FE175D9"/>
    <w:rsid w:val="62A51D97"/>
    <w:rsid w:val="62B45479"/>
    <w:rsid w:val="62D52983"/>
    <w:rsid w:val="62F95473"/>
    <w:rsid w:val="65BD759E"/>
    <w:rsid w:val="661C580F"/>
    <w:rsid w:val="66320B8F"/>
    <w:rsid w:val="665D4C7D"/>
    <w:rsid w:val="669929BC"/>
    <w:rsid w:val="6B685AB8"/>
    <w:rsid w:val="6F895056"/>
    <w:rsid w:val="70DE203F"/>
    <w:rsid w:val="71325EE7"/>
    <w:rsid w:val="726E2F4F"/>
    <w:rsid w:val="7469779F"/>
    <w:rsid w:val="75EA4FE2"/>
    <w:rsid w:val="7754389F"/>
    <w:rsid w:val="77866432"/>
    <w:rsid w:val="78520CE2"/>
    <w:rsid w:val="78E8332F"/>
    <w:rsid w:val="7BA936B9"/>
    <w:rsid w:val="7CAD3E47"/>
    <w:rsid w:val="7D7D498E"/>
    <w:rsid w:val="7ECB34D7"/>
    <w:rsid w:val="7EE747B5"/>
    <w:rsid w:val="7F59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495</Words>
  <Characters>2948</Characters>
  <Lines>0</Lines>
  <Paragraphs>0</Paragraphs>
  <TotalTime>2</TotalTime>
  <ScaleCrop>false</ScaleCrop>
  <LinksUpToDate>false</LinksUpToDate>
  <CharactersWithSpaces>3291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2026-08-12T09:34:00Z</dcterms:created>
  <dc:creator>Qi Wang</dc:creator>
  <cp:lastModifiedBy>Qi Wang</cp:lastModifiedBy>
  <dcterms:modified xsi:type="dcterms:W3CDTF">2026-09-26T17:31:42Z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DB1FB503267B4F7F96CE5674DD830D9E_11</vt:lpwstr>
  </property>
  <property fmtid="{D5CDD505-2E9C-101B-9397-08002B2CF9AE}" pid="4" name="KSOTemplateDocerSaveRecord">
    <vt:lpwstr>eyJoZGlkIjoiY2ZlN2UxZTIyMWFmYzQwZjgzNzczMDFlMGFlZGU0ZjciLCJ1c2VySWQiOiIzMDgyMjAxNzEifQ==</vt:lpwstr>
  </property>
</Properties>
</file>