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rsidTr="00E341E9">
        <w:tc>
          <w:tcPr>
            <w:tcW w:w="1951" w:type="dxa"/>
          </w:tcPr>
          <w:p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rsidR="00191A23" w:rsidRPr="0022554A" w:rsidRDefault="00191A23" w:rsidP="00976EE1">
            <w:pPr>
              <w:pStyle w:val="TableHeader"/>
              <w:tabs>
                <w:tab w:val="left" w:pos="5400"/>
              </w:tabs>
              <w:jc w:val="center"/>
              <w:rPr>
                <w:bCs/>
                <w:sz w:val="20"/>
              </w:rPr>
            </w:pPr>
            <w:r>
              <w:rPr>
                <w:bCs/>
                <w:sz w:val="18"/>
              </w:rPr>
              <w:t xml:space="preserve">Page </w:t>
            </w:r>
            <w:r>
              <w:rPr>
                <w:bCs/>
                <w:sz w:val="18"/>
              </w:rPr>
              <w:br/>
              <w:t>No.</w:t>
            </w:r>
          </w:p>
        </w:tc>
        <w:tc>
          <w:tcPr>
            <w:tcW w:w="2835" w:type="dxa"/>
          </w:tcPr>
          <w:p w:rsidR="00191A23" w:rsidRPr="0022554A" w:rsidRDefault="00517788" w:rsidP="00517788">
            <w:pPr>
              <w:pStyle w:val="TableHeader"/>
              <w:tabs>
                <w:tab w:val="left" w:pos="5400"/>
              </w:tabs>
              <w:jc w:val="center"/>
              <w:rPr>
                <w:bCs/>
                <w:sz w:val="20"/>
              </w:rPr>
            </w:pPr>
            <w:r>
              <w:rPr>
                <w:bCs/>
                <w:sz w:val="18"/>
              </w:rPr>
              <w:t>Relevant t</w:t>
            </w:r>
            <w:r w:rsidR="00191A23">
              <w:rPr>
                <w:bCs/>
                <w:sz w:val="18"/>
              </w:rPr>
              <w:t>ext from manuscript</w:t>
            </w:r>
          </w:p>
        </w:tc>
      </w:tr>
      <w:tr w:rsidR="00191A23" w:rsidRPr="0022554A" w:rsidTr="00E341E9">
        <w:tc>
          <w:tcPr>
            <w:tcW w:w="1951" w:type="dxa"/>
            <w:vMerge w:val="restart"/>
          </w:tcPr>
          <w:p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191A23" w:rsidRPr="0022554A" w:rsidRDefault="00191A23" w:rsidP="0022554A">
            <w:pPr>
              <w:tabs>
                <w:tab w:val="left" w:pos="5400"/>
              </w:tabs>
              <w:jc w:val="center"/>
              <w:rPr>
                <w:sz w:val="20"/>
              </w:rPr>
            </w:pPr>
            <w:r w:rsidRPr="0022554A">
              <w:rPr>
                <w:sz w:val="20"/>
              </w:rPr>
              <w:t>1</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r>
              <w:rPr>
                <w:sz w:val="18"/>
              </w:rPr>
              <w:t>p. 1</w:t>
            </w:r>
          </w:p>
        </w:tc>
        <w:tc>
          <w:tcPr>
            <w:tcW w:w="2835" w:type="dxa"/>
          </w:tcPr>
          <w:p>
            <w:r>
              <w:rPr>
                <w:sz w:val="18"/>
              </w:rPr>
              <w:t>Title: “Changes in Physical Activity and Transitions Between Functional States Among Adults Aged 50 Years or Older: A Longitudinal Study of Five Aging Cohorts.” The abstract identifies the longitudinal analysis of five cohorts.</w:t>
            </w:r>
          </w:p>
        </w:tc>
      </w:tr>
      <w:tr w:rsidR="00191A23" w:rsidRPr="0022554A" w:rsidTr="00E341E9">
        <w:tc>
          <w:tcPr>
            <w:tcW w:w="1951" w:type="dxa"/>
            <w:vMerge/>
          </w:tcPr>
          <w:p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r>
              <w:rPr>
                <w:sz w:val="18"/>
              </w:rPr>
              <w:t>pp. 1–2</w:t>
            </w:r>
          </w:p>
        </w:tc>
        <w:tc>
          <w:tcPr>
            <w:tcW w:w="2835" w:type="dxa"/>
          </w:tcPr>
          <w:p>
            <w:r>
              <w:rPr>
                <w:sz w:val="18"/>
              </w:rPr>
              <w:t>Structured abstract with Background, Methods, Results, and Conclusions; reports the design, population, exposure categories, functional states, main estimates with 95% CIs, heterogeneity, and missing-data sensitivity analysis.</w:t>
            </w: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18"/>
              </w:rPr>
              <w:t>Introduction</w:t>
            </w:r>
          </w:p>
        </w:tc>
        <w:bookmarkEnd w:id="13"/>
        <w:bookmarkEnd w:id="14"/>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rsidR="00191A23" w:rsidRPr="0022554A" w:rsidRDefault="00191A23" w:rsidP="0022554A">
            <w:pPr>
              <w:tabs>
                <w:tab w:val="left" w:pos="5400"/>
              </w:tabs>
              <w:jc w:val="center"/>
              <w:rPr>
                <w:sz w:val="20"/>
              </w:rPr>
            </w:pPr>
            <w:r w:rsidRPr="0022554A">
              <w:rPr>
                <w:sz w:val="20"/>
              </w:rPr>
              <w:t>2</w:t>
            </w:r>
          </w:p>
        </w:tc>
        <w:tc>
          <w:tcPr>
            <w:tcW w:w="8031" w:type="dxa"/>
          </w:tcPr>
          <w:p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r>
              <w:rPr>
                <w:sz w:val="18"/>
              </w:rPr>
              <w:t>pp. 2–4</w:t>
            </w:r>
          </w:p>
        </w:tc>
        <w:tc>
          <w:tcPr>
            <w:tcW w:w="2835" w:type="dxa"/>
          </w:tcPr>
          <w:p>
            <w:r>
              <w:rPr>
                <w:sz w:val="18"/>
              </w:rPr>
              <w:t>Background explains the importance of functional ability in healthy aging, the dynamic nature of disability and recovery, the relevance of physical activity, and the evidence gaps concerning activity change and multistate functional transitions.</w:t>
            </w:r>
          </w:p>
        </w:tc>
      </w:tr>
      <w:tr w:rsidR="00191A23" w:rsidRPr="0022554A" w:rsidTr="00E341E9">
        <w:tc>
          <w:tcPr>
            <w:tcW w:w="1951" w:type="dxa"/>
          </w:tcPr>
          <w:p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rsidR="00191A23" w:rsidRPr="0022554A" w:rsidRDefault="00191A23" w:rsidP="0022554A">
            <w:pPr>
              <w:tabs>
                <w:tab w:val="left" w:pos="5400"/>
              </w:tabs>
              <w:jc w:val="center"/>
              <w:rPr>
                <w:sz w:val="20"/>
              </w:rPr>
            </w:pPr>
            <w:r w:rsidRPr="0022554A">
              <w:rPr>
                <w:sz w:val="20"/>
              </w:rPr>
              <w:t>3</w:t>
            </w:r>
          </w:p>
        </w:tc>
        <w:tc>
          <w:tcPr>
            <w:tcW w:w="8031" w:type="dxa"/>
          </w:tcPr>
          <w:p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r>
              <w:rPr>
                <w:sz w:val="18"/>
              </w:rPr>
              <w:t>p. 4</w:t>
            </w:r>
          </w:p>
        </w:tc>
        <w:tc>
          <w:tcPr>
            <w:tcW w:w="2835" w:type="dxa"/>
          </w:tcPr>
          <w:p>
            <w:r>
              <w:rPr>
                <w:sz w:val="18"/>
              </w:rPr>
              <w:t>Objective: to examine whether changes in physical activity were associated with six directed transitions among Independent, IADL disability only, and BADL disability states, with attention to activity initiation and cessation.</w:t>
            </w: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18"/>
              </w:rPr>
              <w:t>Methods</w:t>
            </w:r>
          </w:p>
        </w:tc>
        <w:bookmarkEnd w:id="21"/>
        <w:bookmarkEnd w:id="22"/>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rsidR="00191A23" w:rsidRPr="0022554A" w:rsidRDefault="00191A23" w:rsidP="0022554A">
            <w:pPr>
              <w:tabs>
                <w:tab w:val="left" w:pos="5400"/>
              </w:tabs>
              <w:jc w:val="center"/>
              <w:rPr>
                <w:sz w:val="20"/>
              </w:rPr>
            </w:pPr>
            <w:r w:rsidRPr="0022554A">
              <w:rPr>
                <w:sz w:val="20"/>
              </w:rPr>
              <w:t>4</w:t>
            </w:r>
          </w:p>
        </w:tc>
        <w:tc>
          <w:tcPr>
            <w:tcW w:w="8031" w:type="dxa"/>
          </w:tcPr>
          <w:p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r>
              <w:rPr>
                <w:sz w:val="18"/>
              </w:rPr>
              <w:t>pp. 4–5</w:t>
            </w:r>
          </w:p>
        </w:tc>
        <w:tc>
          <w:tcPr>
            <w:tcW w:w="2835" w:type="dxa"/>
          </w:tcPr>
          <w:p>
            <w:r>
              <w:rPr>
                <w:sz w:val="18"/>
              </w:rPr>
              <w:t>Methods—Study design and data sources; Study population and analytic sample. Longitudinal data from HRS, ELSA, SHARE, CHARLS, and MHAS were organized into PA-change intervals followed by functional-state observation.</w:t>
            </w:r>
          </w:p>
        </w:tc>
      </w:tr>
      <w:tr w:rsidR="00191A23" w:rsidRPr="0022554A" w:rsidTr="00E341E9">
        <w:tc>
          <w:tcPr>
            <w:tcW w:w="1951" w:type="dxa"/>
          </w:tcPr>
          <w:p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rsidR="00191A23" w:rsidRPr="0022554A" w:rsidRDefault="00191A23" w:rsidP="0022554A">
            <w:pPr>
              <w:tabs>
                <w:tab w:val="left" w:pos="5400"/>
              </w:tabs>
              <w:jc w:val="center"/>
              <w:rPr>
                <w:sz w:val="20"/>
              </w:rPr>
            </w:pPr>
            <w:r w:rsidRPr="0022554A">
              <w:rPr>
                <w:sz w:val="20"/>
              </w:rPr>
              <w:t>5</w:t>
            </w:r>
          </w:p>
        </w:tc>
        <w:tc>
          <w:tcPr>
            <w:tcW w:w="8031" w:type="dxa"/>
          </w:tcPr>
          <w:p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r>
              <w:rPr>
                <w:sz w:val="18"/>
              </w:rPr>
              <w:t>pp. 4–5; Additional file 1, Table S1</w:t>
            </w:r>
          </w:p>
        </w:tc>
        <w:tc>
          <w:tcPr>
            <w:tcW w:w="2835" w:type="dxa"/>
          </w:tcPr>
          <w:p>
            <w:r>
              <w:rPr>
                <w:sz w:val="18"/>
              </w:rPr>
              <w:t>Methods describe cohort sources, wave coverage, data collection setting, and the T1–T2 exposure interval. HRS waves 7–16, ELSA waves 1–9, SHARE waves 1, 2, and 4–8, CHARLS waves 1–4, and MHAS waves 1–5 were used.</w:t>
            </w:r>
          </w:p>
        </w:tc>
      </w:tr>
      <w:bookmarkEnd w:id="25"/>
      <w:bookmarkEnd w:id="26"/>
      <w:tr w:rsidR="00191A23" w:rsidRPr="0022554A" w:rsidTr="00E341E9">
        <w:tc>
          <w:tcPr>
            <w:tcW w:w="1951" w:type="dxa"/>
            <w:vMerge w:val="restart"/>
          </w:tcPr>
          <w:p w:rsidR="00191A23" w:rsidRPr="0022554A" w:rsidRDefault="00191A23" w:rsidP="0022554A">
            <w:pPr>
              <w:tabs>
                <w:tab w:val="left" w:pos="5400"/>
              </w:tabs>
              <w:rPr>
                <w:bCs/>
                <w:sz w:val="20"/>
              </w:rPr>
            </w:pPr>
            <w:r w:rsidRPr="0022554A">
              <w:rPr>
                <w:bCs/>
                <w:sz w:val="20"/>
              </w:rPr>
              <w:t>Participants</w:t>
            </w:r>
          </w:p>
        </w:tc>
        <w:tc>
          <w:tcPr>
            <w:tcW w:w="616" w:type="dxa"/>
            <w:vMerge w:val="restart"/>
          </w:tcPr>
          <w:p w:rsidR="00191A23" w:rsidRPr="0022554A" w:rsidRDefault="00191A23" w:rsidP="0022554A">
            <w:pPr>
              <w:tabs>
                <w:tab w:val="left" w:pos="5400"/>
              </w:tabs>
              <w:jc w:val="center"/>
              <w:rPr>
                <w:sz w:val="20"/>
              </w:rPr>
            </w:pPr>
            <w:r w:rsidRPr="0022554A">
              <w:rPr>
                <w:sz w:val="20"/>
              </w:rPr>
              <w:t>6</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r>
              <w:rPr>
                <w:sz w:val="18"/>
              </w:rPr>
              <w:t>pp. 4–6; Fig. 1; Additional file 1, Table S4</w:t>
            </w:r>
          </w:p>
        </w:tc>
        <w:tc>
          <w:tcPr>
            <w:tcW w:w="2835" w:type="dxa"/>
          </w:tcPr>
          <w:p>
            <w:r>
              <w:rPr>
                <w:sz w:val="18"/>
              </w:rPr>
              <w:t>Eligibility required age ≥50 years at T2, valid PA assessments at T1 and T2, and at least two valid functional observations beginning at T2. Exclusions and the construction of the analytic sample are described in Methods and shown in the participant-flow panel.</w:t>
            </w:r>
          </w:p>
        </w:tc>
      </w:tr>
      <w:tr w:rsidR="00191A23" w:rsidRPr="0022554A" w:rsidTr="00E341E9">
        <w:tc>
          <w:tcPr>
            <w:tcW w:w="1951" w:type="dxa"/>
            <w:vMerge/>
          </w:tcPr>
          <w:p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r>
              <w:rPr>
                <w:sz w:val="18"/>
              </w:rPr>
              <w:t>N/A</w:t>
            </w:r>
          </w:p>
        </w:tc>
        <w:tc>
          <w:tcPr>
            <w:tcW w:w="2835" w:type="dxa"/>
          </w:tcPr>
          <w:p>
            <w:r>
              <w:rPr>
                <w:sz w:val="18"/>
              </w:rPr>
              <w:t>Not applicable: this was not a matched cohort study; no matching criteria or exposed/unexposed matching were used.</w:t>
            </w:r>
          </w:p>
        </w:tc>
      </w:tr>
      <w:tr w:rsidR="00191A23" w:rsidRPr="0022554A" w:rsidTr="00E341E9">
        <w:tc>
          <w:tcPr>
            <w:tcW w:w="1951" w:type="dxa"/>
          </w:tcPr>
          <w:p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rsidR="00191A23" w:rsidRPr="0022554A" w:rsidRDefault="00191A23" w:rsidP="0022554A">
            <w:pPr>
              <w:tabs>
                <w:tab w:val="left" w:pos="5400"/>
              </w:tabs>
              <w:jc w:val="center"/>
              <w:rPr>
                <w:sz w:val="20"/>
              </w:rPr>
            </w:pPr>
            <w:r w:rsidRPr="0022554A">
              <w:rPr>
                <w:sz w:val="20"/>
              </w:rPr>
              <w:t>7</w:t>
            </w:r>
          </w:p>
        </w:tc>
        <w:tc>
          <w:tcPr>
            <w:tcW w:w="8031" w:type="dxa"/>
          </w:tcPr>
          <w:p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r>
              <w:rPr>
                <w:sz w:val="18"/>
              </w:rPr>
              <w:t>pp. 6–9; Additional file 1, Tables S2–S3</w:t>
            </w:r>
          </w:p>
        </w:tc>
        <w:tc>
          <w:tcPr>
            <w:tcW w:w="2835" w:type="dxa"/>
          </w:tcPr>
          <w:p>
            <w:r>
              <w:rPr>
                <w:sz w:val="18"/>
              </w:rPr>
              <w:t>Methods define PA exposure and the four PA-change categories; the three functional states and six directed transitions; T2 covariates; and the extended covariates used in Model 3.</w:t>
            </w:r>
          </w:p>
        </w:tc>
      </w:tr>
      <w:tr w:rsidR="00191A23" w:rsidRPr="0022554A" w:rsidTr="00E341E9">
        <w:trPr>
          <w:trHeight w:val="294"/>
        </w:trPr>
        <w:tc>
          <w:tcPr>
            <w:tcW w:w="1951" w:type="dxa"/>
          </w:tcPr>
          <w:p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r>
              <w:rPr>
                <w:sz w:val="18"/>
              </w:rPr>
              <w:t>pp. 4–9; Additional file 1, Tables S1–S3</w:t>
            </w:r>
          </w:p>
        </w:tc>
        <w:tc>
          <w:tcPr>
            <w:tcW w:w="2835" w:type="dxa"/>
          </w:tcPr>
          <w:p>
            <w:r>
              <w:rPr>
                <w:sz w:val="18"/>
              </w:rPr>
              <w:t>Data sources and assessment methods are specified for PA, functional status, and covariates. Cohort-specific PA definitions are described, including the HRS/ELSA/SHARE index, CHARLS MET-min/week operationalization, MHAS vigorous activity criterion, and cross-cohort outcome construction.</w:t>
            </w:r>
          </w:p>
        </w:tc>
      </w:tr>
      <w:tr w:rsidR="00191A23" w:rsidRPr="0022554A" w:rsidTr="00E341E9">
        <w:tc>
          <w:tcPr>
            <w:tcW w:w="1951" w:type="dxa"/>
          </w:tcPr>
          <w:p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rsidR="00191A23" w:rsidRPr="0022554A" w:rsidRDefault="00191A23" w:rsidP="0022554A">
            <w:pPr>
              <w:tabs>
                <w:tab w:val="left" w:pos="5400"/>
              </w:tabs>
              <w:jc w:val="center"/>
              <w:rPr>
                <w:sz w:val="20"/>
              </w:rPr>
            </w:pPr>
            <w:r w:rsidRPr="0022554A">
              <w:rPr>
                <w:sz w:val="20"/>
              </w:rPr>
              <w:t>9</w:t>
            </w:r>
          </w:p>
        </w:tc>
        <w:tc>
          <w:tcPr>
            <w:tcW w:w="8031" w:type="dxa"/>
          </w:tcPr>
          <w:p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r>
              <w:rPr>
                <w:sz w:val="18"/>
              </w:rPr>
              <w:t>pp. 5–11; Additional file 1, Tables S6–S13</w:t>
            </w:r>
          </w:p>
        </w:tc>
        <w:tc>
          <w:tcPr>
            <w:tcW w:w="2835" w:type="dxa"/>
          </w:tcPr>
          <w:p>
            <w:r>
              <w:rPr>
                <w:sz w:val="18"/>
              </w:rPr>
              <w:t>Potential bias was addressed through temporal ordering, participant-level longitudinal identifiers, conditional initiation/cessation contrasts, complete-case and MICE analyses, lagged and structural sensitivity analyses, comparable-PA restricted analysis, MHAS interval analysis, and leave-one-cohort-out analyses.</w:t>
            </w:r>
          </w:p>
        </w:tc>
      </w:tr>
      <w:tr w:rsidR="00191A23" w:rsidRPr="0022554A" w:rsidTr="00E341E9">
        <w:tc>
          <w:tcPr>
            <w:tcW w:w="1951" w:type="dxa"/>
          </w:tcPr>
          <w:p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rsidR="00191A23" w:rsidRPr="0022554A" w:rsidRDefault="00191A23" w:rsidP="0022554A">
            <w:pPr>
              <w:tabs>
                <w:tab w:val="left" w:pos="5400"/>
              </w:tabs>
              <w:jc w:val="center"/>
              <w:rPr>
                <w:sz w:val="20"/>
              </w:rPr>
            </w:pPr>
            <w:r w:rsidRPr="0022554A">
              <w:rPr>
                <w:sz w:val="20"/>
              </w:rPr>
              <w:t>10</w:t>
            </w:r>
          </w:p>
        </w:tc>
        <w:tc>
          <w:tcPr>
            <w:tcW w:w="8031" w:type="dxa"/>
          </w:tcPr>
          <w:p w:rsidR="00191A23" w:rsidRPr="0022554A" w:rsidRDefault="00191A23" w:rsidP="0022554A">
            <w:pPr>
              <w:tabs>
                <w:tab w:val="left" w:pos="5400"/>
              </w:tabs>
              <w:rPr>
                <w:sz w:val="20"/>
              </w:rPr>
            </w:pPr>
            <w:r w:rsidRPr="0022554A">
              <w:rPr>
                <w:sz w:val="20"/>
              </w:rPr>
              <w:t>Explain how the study size was arrived at</w:t>
            </w:r>
          </w:p>
        </w:tc>
        <w:tc>
          <w:tcPr>
            <w:tcW w:w="1559" w:type="dxa"/>
          </w:tcPr>
          <w:p>
            <w:r>
              <w:rPr>
                <w:sz w:val="18"/>
              </w:rPr>
              <w:t>pp. 4–6; p. 12; Fig. 1</w:t>
            </w:r>
          </w:p>
        </w:tc>
        <w:tc>
          <w:tcPr>
            <w:tcW w:w="2835" w:type="dxa"/>
          </w:tcPr>
          <w:p>
            <w:r>
              <w:rPr>
                <w:sz w:val="18"/>
              </w:rPr>
              <w:t>All eligible participants and eligible person-intervals available in the five cohorts and specified waves were used. No a priori sample-size or power calculation was performed.</w:t>
            </w:r>
          </w:p>
        </w:tc>
      </w:tr>
    </w:tbl>
    <w:p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rsidTr="00517788">
        <w:tc>
          <w:tcPr>
            <w:tcW w:w="1521" w:type="dxa"/>
          </w:tcPr>
          <w:p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rsidR="00191A23" w:rsidRPr="0022554A" w:rsidRDefault="00191A23" w:rsidP="00191A23">
            <w:pPr>
              <w:tabs>
                <w:tab w:val="left" w:pos="5400"/>
              </w:tabs>
              <w:jc w:val="center"/>
              <w:rPr>
                <w:sz w:val="20"/>
              </w:rPr>
            </w:pPr>
            <w:r w:rsidRPr="0022554A">
              <w:rPr>
                <w:sz w:val="20"/>
              </w:rPr>
              <w:t>11</w:t>
            </w:r>
          </w:p>
        </w:tc>
        <w:tc>
          <w:tcPr>
            <w:tcW w:w="8328" w:type="dxa"/>
          </w:tcPr>
          <w:p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r>
              <w:rPr>
                <w:sz w:val="18"/>
              </w:rPr>
              <w:t>pp. 6–9</w:t>
            </w:r>
          </w:p>
        </w:tc>
        <w:tc>
          <w:tcPr>
            <w:tcW w:w="3118" w:type="dxa"/>
          </w:tcPr>
          <w:p>
            <w:r>
              <w:rPr>
                <w:sz w:val="18"/>
              </w:rPr>
              <w:t>Age was analyzed continuously per 10 years centered at 65; education was grouped as low/middle/high; partnership and employment were binary; and wealth was classified into cohort-wave quintiles. PA and functional status were categorical.</w:t>
            </w:r>
          </w:p>
        </w:tc>
      </w:tr>
      <w:tr w:rsidR="00191A23" w:rsidRPr="0022554A" w:rsidTr="00517788">
        <w:tc>
          <w:tcPr>
            <w:tcW w:w="1521" w:type="dxa"/>
            <w:vMerge w:val="restart"/>
          </w:tcPr>
          <w:p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rsidR="00191A23" w:rsidRPr="0022554A" w:rsidRDefault="00191A23" w:rsidP="00191A23">
            <w:pPr>
              <w:tabs>
                <w:tab w:val="left" w:pos="5400"/>
              </w:tabs>
              <w:jc w:val="center"/>
              <w:rPr>
                <w:sz w:val="20"/>
              </w:rPr>
            </w:pPr>
            <w:r w:rsidRPr="0022554A">
              <w:rPr>
                <w:sz w:val="20"/>
              </w:rPr>
              <w:t>12</w:t>
            </w:r>
          </w:p>
        </w:tc>
        <w:tc>
          <w:tcPr>
            <w:tcW w:w="8328" w:type="dxa"/>
          </w:tcPr>
          <w:p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r>
              <w:rPr>
                <w:sz w:val="18"/>
              </w:rPr>
              <w:t>pp. 9–11</w:t>
            </w:r>
          </w:p>
        </w:tc>
        <w:tc>
          <w:tcPr>
            <w:tcW w:w="3118" w:type="dxa"/>
          </w:tcPr>
          <w:p>
            <w:r>
              <w:rPr>
                <w:sz w:val="18"/>
              </w:rPr>
              <w:t>Continuous-time three-state Markov models were fitted separately by cohort using msm, with participant-level identifiers and survey interview year as the time scale. Transition-specific associations were pooled using REML random-effects meta-analysis with Hartung–Knapp inference.</w:t>
            </w:r>
          </w:p>
        </w:tc>
      </w:tr>
      <w:tr w:rsidR="00191A23" w:rsidRPr="0022554A" w:rsidTr="00517788">
        <w:tc>
          <w:tcPr>
            <w:tcW w:w="1521" w:type="dxa"/>
            <w:vMerge/>
          </w:tcPr>
          <w:p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r>
              <w:rPr>
                <w:sz w:val="18"/>
              </w:rPr>
              <w:t>pp. 9–10</w:t>
            </w:r>
          </w:p>
        </w:tc>
        <w:tc>
          <w:tcPr>
            <w:tcW w:w="3118" w:type="dxa"/>
          </w:tcPr>
          <w:p>
            <w:r>
              <w:rPr>
                <w:sz w:val="18"/>
              </w:rPr>
              <w:t>No formal subgroup or interaction analyses were conducted. Secondary conditional contrasts compared activity initiation among participants inactive at T1 and activity cessation among participants active at T1; transition-specific age effects were examined as a structural sensitivity analysis.</w:t>
            </w:r>
          </w:p>
        </w:tc>
      </w:tr>
      <w:tr w:rsidR="00191A23" w:rsidRPr="0022554A" w:rsidTr="00517788">
        <w:tc>
          <w:tcPr>
            <w:tcW w:w="1521" w:type="dxa"/>
            <w:vMerge/>
          </w:tcPr>
          <w:p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r>
              <w:rPr>
                <w:sz w:val="18"/>
              </w:rPr>
              <w:t>pp. 9–10; Additional file 1, Table S13 and Figure S2</w:t>
            </w:r>
          </w:p>
        </w:tc>
        <w:tc>
          <w:tcPr>
            <w:tcW w:w="3118" w:type="dxa"/>
          </w:tcPr>
          <w:p>
            <w:r>
              <w:rPr>
                <w:sz w:val="18"/>
              </w:rPr>
              <w:t>Complete-case analysis was primary. MICE was conducted separately within each cohort with m=30 and maxit=20; PA, PA change, and functional-state variables were not imputed. Rubin pooling was performed within cohort before meta-analysis, and imputation diagnostics were assessed.</w:t>
            </w:r>
          </w:p>
        </w:tc>
      </w:tr>
      <w:tr w:rsidR="00191A23" w:rsidRPr="0022554A" w:rsidTr="00517788">
        <w:tc>
          <w:tcPr>
            <w:tcW w:w="1521" w:type="dxa"/>
            <w:vMerge/>
          </w:tcPr>
          <w:p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r>
              <w:rPr>
                <w:sz w:val="18"/>
              </w:rPr>
              <w:t>pp. 5, 9–10</w:t>
            </w:r>
          </w:p>
        </w:tc>
        <w:tc>
          <w:tcPr>
            <w:tcW w:w="3118" w:type="dxa"/>
          </w:tcPr>
          <w:p>
            <w:r>
              <w:rPr>
                <w:sz w:val="18"/>
              </w:rPr>
              <w:t>Repeated eligible person-intervals were retained within participant-level longitudinal panels and linked using the participant identifier. Follow-up ended at the last valid functional assessment; no survey weights or complex-design adjustments were used. Loss to follow-up was not modeled as a separate outcome process.</w:t>
            </w:r>
          </w:p>
        </w:tc>
      </w:tr>
      <w:tr w:rsidR="00191A23" w:rsidRPr="0022554A" w:rsidTr="00517788">
        <w:tc>
          <w:tcPr>
            <w:tcW w:w="1521" w:type="dxa"/>
            <w:vMerge/>
          </w:tcPr>
          <w:p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r>
              <w:rPr>
                <w:sz w:val="18"/>
              </w:rPr>
              <w:t>pp. 10–11; Additional file 1, Tables S6–S12 and Figures S1–S3</w:t>
            </w:r>
          </w:p>
        </w:tc>
        <w:tc>
          <w:tcPr>
            <w:tcW w:w="3118" w:type="dxa"/>
          </w:tcPr>
          <w:p>
            <w:r>
              <w:rPr>
                <w:sz w:val="18"/>
              </w:rPr>
              <w:t>Sensitivity analyses included lagged follow-up, adjacent-state transitions, transition-specific age effects, leave-one-cohort-out meta-analysis, HRS/ELSA/SHARE restricted analysis, MHAS intervals ≤5 years, Model 3, and complete-case versus MICE comparisons.</w:t>
            </w:r>
          </w:p>
        </w:tc>
      </w:tr>
      <w:bookmarkEnd w:id="52"/>
      <w:bookmarkEnd w:id="53"/>
      <w:tr w:rsidR="00191A23" w:rsidRPr="0022554A" w:rsidTr="00191A23">
        <w:tc>
          <w:tcPr>
            <w:tcW w:w="14992" w:type="dxa"/>
            <w:gridSpan w:val="5"/>
          </w:tcPr>
          <w:p w:rsidR="00191A23" w:rsidRPr="0022554A" w:rsidRDefault="00191A23" w:rsidP="00191A23">
            <w:pPr>
              <w:pStyle w:val="TableSubHead"/>
              <w:tabs>
                <w:tab w:val="left" w:pos="5400"/>
              </w:tabs>
              <w:rPr>
                <w:sz w:val="20"/>
              </w:rPr>
            </w:pPr>
            <w:r w:rsidRPr="0022554A">
              <w:rPr>
                <w:sz w:val="18"/>
              </w:rPr>
              <w:t>Results</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r>
              <w:rPr>
                <w:sz w:val="18"/>
              </w:rPr>
              <w:t>p. 12; Fig. 1A; Additional file 1, Table S4</w:t>
            </w:r>
          </w:p>
        </w:tc>
        <w:tc>
          <w:tcPr>
            <w:tcW w:w="3118" w:type="dxa"/>
          </w:tcPr>
          <w:p>
            <w:r>
              <w:rPr>
                <w:sz w:val="18"/>
              </w:rPr>
              <w:t>The manuscript reports 266,204 age-eligible participants, 115,140 paired participants, 320,189 paired PA–function records, and 112,855 primary complete-case participants contributing 311,140 eligible person-intervals, with cohort-specific counts.</w:t>
            </w:r>
          </w:p>
        </w:tc>
      </w:tr>
      <w:tr w:rsidR="00191A23" w:rsidRPr="0022554A" w:rsidTr="00517788">
        <w:tc>
          <w:tcPr>
            <w:tcW w:w="0" w:type="auto"/>
            <w:vMerge/>
          </w:tcPr>
          <w:p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r>
              <w:rPr>
                <w:sz w:val="18"/>
              </w:rPr>
              <w:t>pp. 5–6, 12; Fig. 1A; Additional file 1, Table S4</w:t>
            </w:r>
          </w:p>
        </w:tc>
        <w:tc>
          <w:tcPr>
            <w:tcW w:w="3118" w:type="dxa"/>
          </w:tcPr>
          <w:p>
            <w:r>
              <w:rPr>
                <w:sz w:val="18"/>
              </w:rPr>
              <w:t>Eligibility and exclusion criteria are given in Methods; the participant-flow summary reports the analysis stages and counts. Reasons are defined by invalid/missing PA, insufficient functional observations, age eligibility, and unavailable covariates.</w:t>
            </w:r>
          </w:p>
        </w:tc>
      </w:tr>
      <w:tr w:rsidR="00191A23" w:rsidRPr="0022554A" w:rsidTr="00517788">
        <w:tc>
          <w:tcPr>
            <w:tcW w:w="0" w:type="auto"/>
            <w:vMerge/>
          </w:tcPr>
          <w:p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r>
              <w:rPr>
                <w:sz w:val="18"/>
              </w:rPr>
              <w:t>p. 27; Additional file 1, Table S4</w:t>
            </w:r>
          </w:p>
        </w:tc>
        <w:tc>
          <w:tcPr>
            <w:tcW w:w="3118" w:type="dxa"/>
          </w:tcPr>
          <w:p>
            <w:r>
              <w:rPr>
                <w:sz w:val="18"/>
              </w:rPr>
              <w:t>Figure 1A presents the analysis-stage sample sizes across the five cohorts; Additional file 1 Table S4 provides the corresponding participant-flow counts.</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r>
              <w:rPr>
                <w:sz w:val="18"/>
              </w:rPr>
              <w:t>p. 12; Table 1</w:t>
            </w:r>
          </w:p>
        </w:tc>
        <w:tc>
          <w:tcPr>
            <w:tcW w:w="3118" w:type="dxa"/>
          </w:tcPr>
          <w:p>
            <w:r>
              <w:rPr>
                <w:sz w:val="18"/>
              </w:rPr>
              <w:t>Table 1 reports cohort-specific sample size, age, sex, education, wealth, partnership, employment, PA-change categories, functional states at the start of functional-state follow-up, follow-up duration, and complete-case retention.</w:t>
            </w:r>
          </w:p>
        </w:tc>
      </w:tr>
      <w:tr w:rsidR="00191A23" w:rsidRPr="0022554A" w:rsidTr="00517788">
        <w:tc>
          <w:tcPr>
            <w:tcW w:w="0" w:type="auto"/>
            <w:vMerge/>
          </w:tcPr>
          <w:p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r>
              <w:rPr>
                <w:sz w:val="18"/>
              </w:rPr>
              <w:t>pp. 9–10; Additional file 1, Table S13 and Figure S2</w:t>
            </w:r>
          </w:p>
        </w:tc>
        <w:tc>
          <w:tcPr>
            <w:tcW w:w="3118" w:type="dxa"/>
          </w:tcPr>
          <w:p>
            <w:r>
              <w:rPr>
                <w:sz w:val="18"/>
              </w:rPr>
              <w:t>The manuscript describes the covariates included in the complete-case and MICE analyses and reports MICE validity and observed-versus-imputed diagnostics. Variable-specific missing counts are not tabulated separately for every variable in the main Table 1.</w:t>
            </w:r>
          </w:p>
        </w:tc>
      </w:tr>
      <w:tr w:rsidR="00191A23" w:rsidRPr="0022554A" w:rsidTr="00517788">
        <w:tc>
          <w:tcPr>
            <w:tcW w:w="0" w:type="auto"/>
            <w:vMerge/>
          </w:tcPr>
          <w:p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r>
              <w:rPr>
                <w:sz w:val="18"/>
              </w:rPr>
              <w:t>p. 12; Table 1</w:t>
            </w:r>
          </w:p>
        </w:tc>
        <w:tc>
          <w:tcPr>
            <w:tcW w:w="3118" w:type="dxa"/>
          </w:tcPr>
          <w:p>
            <w:r>
              <w:rPr>
                <w:sz w:val="18"/>
              </w:rPr>
              <w:t>Median follow-up duration is reported by cohort in Table 1; the Results state that follow-up was approximately 2 years in CHARLS, ELSA, HRS, and SHARE and approximately 9 years in MHAS.</w:t>
            </w:r>
          </w:p>
        </w:tc>
      </w:tr>
      <w:tr w:rsidR="00191A23" w:rsidRPr="0022554A" w:rsidTr="00517788">
        <w:trPr>
          <w:trHeight w:val="295"/>
        </w:trPr>
        <w:tc>
          <w:tcPr>
            <w:tcW w:w="0" w:type="auto"/>
            <w:vMerge w:val="restart"/>
          </w:tcPr>
          <w:p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r>
              <w:rPr>
                <w:sz w:val="18"/>
              </w:rPr>
              <w:t>pp. 12–16; Tables 2–3; Figures 2–3; Additional file 1, Tables S5 and S8</w:t>
            </w:r>
          </w:p>
        </w:tc>
        <w:tc>
          <w:tcPr>
            <w:tcW w:w="3118" w:type="dxa"/>
          </w:tcPr>
          <w:p>
            <w:r>
              <w:rPr>
                <w:sz w:val="18"/>
              </w:rPr>
              <w:t>The Results report six transition-specific hazard ratios and 95% CIs, including pooled estimates, conditional initiation/cessation contrasts, cohort-specific estimates, heterogeneity statistics, and prediction intervals. Raw transition-event counts are not separately tabulated.</w:t>
            </w: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r>
              <w:rPr>
                <w:sz w:val="18"/>
              </w:rPr>
              <w:t>N/A</w:t>
            </w:r>
          </w:p>
        </w:tc>
        <w:tc>
          <w:tcPr>
            <w:tcW w:w="3118" w:type="dxa"/>
          </w:tcPr>
          <w:p>
            <w:r>
              <w:rPr>
                <w:sz w:val="18"/>
              </w:rPr>
              <w:t>Not applicable: this was not a case-control study.</w:t>
            </w: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r>
              <w:rPr>
                <w:sz w:val="18"/>
              </w:rPr>
              <w:t>N/A</w:t>
            </w:r>
          </w:p>
        </w:tc>
        <w:tc>
          <w:tcPr>
            <w:tcW w:w="3118" w:type="dxa"/>
          </w:tcPr>
          <w:p>
            <w:r>
              <w:rPr>
                <w:sz w:val="18"/>
              </w:rPr>
              <w:t>Not applicable: this was not a cross-sectional study.</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rsidR="00191A23" w:rsidRPr="0022554A" w:rsidRDefault="00191A23" w:rsidP="00191A23">
            <w:pPr>
              <w:tabs>
                <w:tab w:val="left" w:pos="5400"/>
              </w:tabs>
              <w:jc w:val="center"/>
              <w:rPr>
                <w:sz w:val="20"/>
              </w:rPr>
            </w:pPr>
            <w:r w:rsidRPr="0022554A">
              <w:rPr>
                <w:sz w:val="20"/>
              </w:rPr>
              <w:t>16</w:t>
            </w:r>
          </w:p>
        </w:tc>
        <w:tc>
          <w:tcPr>
            <w:tcW w:w="8328" w:type="dxa"/>
          </w:tcPr>
          <w:p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r>
              <w:rPr>
                <w:sz w:val="18"/>
              </w:rPr>
              <w:t>pp. 9, 12–16; Tables 2–3; Figures 2–3</w:t>
            </w:r>
          </w:p>
        </w:tc>
        <w:tc>
          <w:tcPr>
            <w:tcW w:w="3118" w:type="dxa"/>
          </w:tcPr>
          <w:p>
            <w:r>
              <w:rPr>
                <w:sz w:val="18"/>
              </w:rPr>
              <w:t>Adjusted transition-specific HRs with 95% CIs are reported for the four-category PA-change exposure and for the conditional initiation/cessation contrasts. The primary adjustment included age, sex, education, wealth, partnership, and employment; Model 3 is reported as an extended analysis.</w:t>
            </w:r>
          </w:p>
        </w:tc>
      </w:tr>
      <w:tr w:rsidR="00191A23" w:rsidRPr="0022554A" w:rsidTr="00517788">
        <w:tc>
          <w:tcPr>
            <w:tcW w:w="0" w:type="auto"/>
            <w:vMerge/>
          </w:tcPr>
          <w:p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r>
              <w:rPr>
                <w:sz w:val="18"/>
              </w:rPr>
              <w:t>pp. 6–8; Additional file 1, Tables S1–S3</w:t>
            </w:r>
          </w:p>
        </w:tc>
        <w:tc>
          <w:tcPr>
            <w:tcW w:w="3118" w:type="dxa"/>
          </w:tcPr>
          <w:p>
            <w:r>
              <w:rPr>
                <w:sz w:val="18"/>
              </w:rPr>
              <w:t>Category boundaries are reported for PA activity definitions, the four PA-change categories, functional states, education, partnership, employment, wealth quintiles, and the age-centered 10-year scaling.</w:t>
            </w:r>
          </w:p>
        </w:tc>
      </w:tr>
      <w:tr w:rsidR="00191A23" w:rsidRPr="0022554A" w:rsidTr="00517788">
        <w:tc>
          <w:tcPr>
            <w:tcW w:w="0" w:type="auto"/>
            <w:vMerge/>
          </w:tcPr>
          <w:p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r>
              <w:rPr>
                <w:sz w:val="18"/>
              </w:rPr>
              <w:t>pp. 9, 12–16</w:t>
            </w:r>
          </w:p>
        </w:tc>
        <w:tc>
          <w:tcPr>
            <w:tcW w:w="3118" w:type="dxa"/>
          </w:tcPr>
          <w:p>
            <w:r>
              <w:rPr>
                <w:sz w:val="18"/>
              </w:rPr>
              <w:t>The estimand was a transition intensity/hazard ratio in a continuous-time multistate model. Absolute risks were not derived because the primary analysis estimated transition intensities rather than cumulative absolute risks.</w:t>
            </w:r>
          </w:p>
        </w:tc>
      </w:tr>
    </w:tbl>
    <w:p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rsidTr="00517788">
        <w:tc>
          <w:tcPr>
            <w:tcW w:w="0" w:type="auto"/>
          </w:tcPr>
          <w:p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rsidR="00191A23" w:rsidRPr="0022554A" w:rsidRDefault="00191A23" w:rsidP="00191A23">
            <w:pPr>
              <w:tabs>
                <w:tab w:val="left" w:pos="5400"/>
              </w:tabs>
              <w:jc w:val="center"/>
              <w:rPr>
                <w:sz w:val="20"/>
              </w:rPr>
            </w:pPr>
            <w:r w:rsidRPr="0022554A">
              <w:rPr>
                <w:sz w:val="20"/>
              </w:rPr>
              <w:t>17</w:t>
            </w:r>
          </w:p>
        </w:tc>
        <w:tc>
          <w:tcPr>
            <w:tcW w:w="8687" w:type="dxa"/>
          </w:tcPr>
          <w:p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r>
              <w:rPr>
                <w:sz w:val="18"/>
              </w:rPr>
              <w:t>pp. 14–16; Additional file 1, Tables S5–S13 and Figures S1–S3</w:t>
            </w:r>
          </w:p>
        </w:tc>
        <w:tc>
          <w:tcPr>
            <w:tcW w:w="3129" w:type="dxa"/>
          </w:tcPr>
          <w:p>
            <w:r>
              <w:rPr>
                <w:sz w:val="18"/>
              </w:rPr>
              <w:t>Other analyses included conditional contrasts, lagged, adjacent-state and transition-specific-age analyses, leave-one-cohort-out analysis, HRS/ELSA/SHARE restricted analysis, MHAS interval-length analysis, Model 3, and MICE sensitivity analysis.</w:t>
            </w:r>
          </w:p>
        </w:tc>
      </w:tr>
      <w:tr w:rsidR="00976EE1" w:rsidRPr="0022554A" w:rsidTr="00191A23">
        <w:tc>
          <w:tcPr>
            <w:tcW w:w="14992" w:type="dxa"/>
            <w:gridSpan w:val="5"/>
          </w:tcPr>
          <w:p w:rsidR="00976EE1" w:rsidRPr="0022554A" w:rsidRDefault="00976EE1" w:rsidP="00191A23">
            <w:pPr>
              <w:pStyle w:val="TableSubHead"/>
              <w:tabs>
                <w:tab w:val="left" w:pos="5400"/>
              </w:tabs>
              <w:rPr>
                <w:sz w:val="20"/>
              </w:rPr>
            </w:pPr>
            <w:bookmarkStart w:id="82" w:name="italic44"/>
            <w:bookmarkStart w:id="83" w:name="bold45"/>
            <w:r w:rsidRPr="0022554A">
              <w:rPr>
                <w:sz w:val="18"/>
              </w:rPr>
              <w:t>Discussion</w:t>
            </w:r>
            <w:bookmarkEnd w:id="82"/>
            <w:bookmarkEnd w:id="83"/>
          </w:p>
        </w:tc>
      </w:tr>
      <w:tr w:rsidR="00191A23" w:rsidRPr="0022554A" w:rsidTr="00517788">
        <w:tc>
          <w:tcPr>
            <w:tcW w:w="0" w:type="auto"/>
          </w:tcPr>
          <w:p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rsidR="00191A23" w:rsidRPr="0022554A" w:rsidRDefault="00191A23" w:rsidP="00191A23">
            <w:pPr>
              <w:tabs>
                <w:tab w:val="left" w:pos="5400"/>
              </w:tabs>
              <w:jc w:val="center"/>
              <w:rPr>
                <w:sz w:val="20"/>
              </w:rPr>
            </w:pPr>
            <w:r w:rsidRPr="0022554A">
              <w:rPr>
                <w:sz w:val="20"/>
              </w:rPr>
              <w:t>18</w:t>
            </w:r>
          </w:p>
        </w:tc>
        <w:tc>
          <w:tcPr>
            <w:tcW w:w="8687" w:type="dxa"/>
          </w:tcPr>
          <w:p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r>
              <w:rPr>
                <w:sz w:val="18"/>
              </w:rPr>
              <w:t>pp. 17–21</w:t>
            </w:r>
          </w:p>
        </w:tc>
        <w:tc>
          <w:tcPr>
            <w:tcW w:w="3129" w:type="dxa"/>
          </w:tcPr>
          <w:p>
            <w:r>
              <w:rPr>
                <w:sz w:val="18"/>
              </w:rPr>
              <w:t>Discussion summarizes the main findings in relation to the objectives: activity initiation and maintenance were associated with more favorable functional dynamics, whereas cessation relative to continued activity was associated with less favorable deterioration and recovery patterns.</w:t>
            </w:r>
          </w:p>
        </w:tc>
      </w:tr>
      <w:tr w:rsidR="00191A23" w:rsidRPr="0022554A" w:rsidTr="00517788">
        <w:tc>
          <w:tcPr>
            <w:tcW w:w="0" w:type="auto"/>
          </w:tcPr>
          <w:p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rsidR="00191A23" w:rsidRPr="0022554A" w:rsidRDefault="00191A23" w:rsidP="00191A23">
            <w:pPr>
              <w:tabs>
                <w:tab w:val="left" w:pos="5400"/>
              </w:tabs>
              <w:jc w:val="center"/>
              <w:rPr>
                <w:sz w:val="20"/>
              </w:rPr>
            </w:pPr>
            <w:r w:rsidRPr="0022554A">
              <w:rPr>
                <w:sz w:val="20"/>
              </w:rPr>
              <w:t>19</w:t>
            </w:r>
          </w:p>
        </w:tc>
        <w:tc>
          <w:tcPr>
            <w:tcW w:w="8687" w:type="dxa"/>
          </w:tcPr>
          <w:p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r>
              <w:rPr>
                <w:sz w:val="18"/>
              </w:rPr>
              <w:t>pp. 19–20</w:t>
            </w:r>
          </w:p>
        </w:tc>
        <w:tc>
          <w:tcPr>
            <w:tcW w:w="3129" w:type="dxa"/>
          </w:tcPr>
          <w:p>
            <w:r>
              <w:rPr>
                <w:sz w:val="18"/>
              </w:rPr>
              <w:t>Limitations address observational confounding and reverse causation, self-reported PA, cohort-specific measurement differences, possible short-term fluctuation and measurement error, panel observation and Markov assumptions, MHAS interval length, exclusion of death as an outcome state, missing covariates, and lack of survey weights.</w:t>
            </w:r>
          </w:p>
        </w:tc>
      </w:tr>
      <w:tr w:rsidR="00191A23" w:rsidRPr="0022554A" w:rsidTr="00517788">
        <w:tc>
          <w:tcPr>
            <w:tcW w:w="0" w:type="auto"/>
          </w:tcPr>
          <w:p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rsidR="00191A23" w:rsidRPr="0022554A" w:rsidRDefault="00191A23" w:rsidP="00191A23">
            <w:pPr>
              <w:tabs>
                <w:tab w:val="left" w:pos="5400"/>
              </w:tabs>
              <w:jc w:val="center"/>
              <w:rPr>
                <w:sz w:val="20"/>
              </w:rPr>
            </w:pPr>
            <w:r w:rsidRPr="0022554A">
              <w:rPr>
                <w:sz w:val="20"/>
              </w:rPr>
              <w:t>20</w:t>
            </w:r>
          </w:p>
        </w:tc>
        <w:tc>
          <w:tcPr>
            <w:tcW w:w="8687" w:type="dxa"/>
          </w:tcPr>
          <w:p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r>
              <w:rPr>
                <w:sz w:val="18"/>
              </w:rPr>
              <w:t>pp. 17–21</w:t>
            </w:r>
          </w:p>
        </w:tc>
        <w:tc>
          <w:tcPr>
            <w:tcW w:w="3129" w:type="dxa"/>
          </w:tcPr>
          <w:p>
            <w:r>
              <w:rPr>
                <w:sz w:val="18"/>
              </w:rPr>
              <w:t>The interpretation is explicitly associative rather than causal and considers prior evidence, conditional reference-group contrasts, substantial between-cohort heterogeneity, prediction intervals, and the consistency of sensitivity analyses.</w:t>
            </w:r>
          </w:p>
        </w:tc>
      </w:tr>
      <w:tr w:rsidR="00191A23" w:rsidRPr="0022554A" w:rsidTr="00517788">
        <w:tc>
          <w:tcPr>
            <w:tcW w:w="0" w:type="auto"/>
          </w:tcPr>
          <w:p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rsidR="00191A23" w:rsidRPr="0022554A" w:rsidRDefault="00191A23" w:rsidP="00191A23">
            <w:pPr>
              <w:tabs>
                <w:tab w:val="left" w:pos="5400"/>
              </w:tabs>
              <w:jc w:val="center"/>
              <w:rPr>
                <w:sz w:val="20"/>
              </w:rPr>
            </w:pPr>
            <w:r w:rsidRPr="0022554A">
              <w:rPr>
                <w:sz w:val="20"/>
              </w:rPr>
              <w:t>21</w:t>
            </w:r>
          </w:p>
        </w:tc>
        <w:tc>
          <w:tcPr>
            <w:tcW w:w="8687" w:type="dxa"/>
          </w:tcPr>
          <w:p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r>
              <w:rPr>
                <w:sz w:val="18"/>
              </w:rPr>
              <w:t>pp. 4, 17–20</w:t>
            </w:r>
          </w:p>
        </w:tc>
        <w:tc>
          <w:tcPr>
            <w:tcW w:w="3129" w:type="dxa"/>
          </w:tcPr>
          <w:p>
            <w:r>
              <w:rPr>
                <w:sz w:val="18"/>
              </w:rPr>
              <w:t>The study includes five population-based aging cohorts from different settings. The manuscript discusses cross-cohort heterogeneity, cohort-specific PA measurement, non-use of sampling weights, and the resulting limits on national representativeness and generalizability.</w:t>
            </w:r>
          </w:p>
        </w:tc>
      </w:tr>
      <w:tr w:rsidR="00191A23" w:rsidRPr="0022554A" w:rsidTr="00517788">
        <w:tc>
          <w:tcPr>
            <w:tcW w:w="1911" w:type="dxa"/>
            <w:gridSpan w:val="2"/>
          </w:tcPr>
          <w:p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rsidR="00191A23" w:rsidRPr="0022554A" w:rsidRDefault="00191A23" w:rsidP="00191A23">
            <w:pPr>
              <w:pStyle w:val="TableSubHead"/>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rsidR="00191A23" w:rsidRPr="0022554A" w:rsidRDefault="00191A23" w:rsidP="00191A23">
            <w:pPr>
              <w:tabs>
                <w:tab w:val="left" w:pos="5400"/>
              </w:tabs>
              <w:jc w:val="center"/>
              <w:rPr>
                <w:sz w:val="20"/>
              </w:rPr>
            </w:pPr>
            <w:r w:rsidRPr="0022554A">
              <w:rPr>
                <w:sz w:val="20"/>
              </w:rPr>
              <w:t>22</w:t>
            </w:r>
          </w:p>
        </w:tc>
        <w:tc>
          <w:tcPr>
            <w:tcW w:w="8687" w:type="dxa"/>
          </w:tcPr>
          <w:p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r>
              <w:rPr>
                <w:sz w:val="18"/>
              </w:rPr>
              <w:t>p. 21</w:t>
            </w:r>
          </w:p>
        </w:tc>
        <w:tc>
          <w:tcPr>
            <w:tcW w:w="3129" w:type="dxa"/>
          </w:tcPr>
          <w:p>
            <w:r>
              <w:rPr>
                <w:sz w:val="18"/>
              </w:rPr>
              <w:t>Funding: “The authors received no specific grant from any funding agency in the public, commercial, or not-for-profit sectors.” The manuscript also states that the funders had no role because there were no study-specific funders.</w:t>
            </w:r>
          </w:p>
        </w:tc>
      </w:tr>
      <w:bookmarkEnd w:id="94"/>
      <w:bookmarkEnd w:id="95"/>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w:t>
      </w:r>
      <w:bookmarkStart w:id="96" w:name="_GoBack"/>
      <w:bookmarkEnd w:id="96"/>
      <w:r w:rsidRPr="002602FB">
        <w:rPr>
          <w:sz w:val="20"/>
        </w:rPr>
        <w:t>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8"/>
      <w:footerReference w:type="default" r:id="rId9"/>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BEA" w:rsidRDefault="00407BEA">
      <w:r>
        <w:separator/>
      </w:r>
    </w:p>
  </w:endnote>
  <w:endnote w:type="continuationSeparator" w:id="0">
    <w:p w:rsidR="00407BEA" w:rsidRDefault="0040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BEA" w:rsidRDefault="00407BEA">
      <w:r>
        <w:separator/>
      </w:r>
    </w:p>
  </w:footnote>
  <w:footnote w:type="continuationSeparator" w:id="0">
    <w:p w:rsidR="00407BEA" w:rsidRDefault="00407B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3</Pages>
  <Words>829</Words>
  <Characters>4731</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Cevallos Myriam</cp:lastModifiedBy>
  <cp:revision>2</cp:revision>
  <cp:lastPrinted>2014-09-01T08:36:00Z</cp:lastPrinted>
  <dcterms:created xsi:type="dcterms:W3CDTF">2014-09-01T14:20:00Z</dcterms:created>
  <dcterms:modified xsi:type="dcterms:W3CDTF">2014-09-01T14:20:00Z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