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710CD" w14:textId="77777777" w:rsidR="00E1673A" w:rsidRPr="00E1673A" w:rsidRDefault="00E1673A" w:rsidP="00E1673A">
      <w:pPr>
        <w:spacing w:after="0" w:line="360" w:lineRule="auto"/>
        <w:contextualSpacing/>
        <w:jc w:val="both"/>
        <w:outlineLvl w:val="0"/>
        <w:rPr>
          <w:rFonts w:ascii="Times New Roman" w:eastAsia="SimSun" w:hAnsi="Times New Roman" w:cs="Times New Roman"/>
          <w:b/>
          <w:bCs/>
          <w:kern w:val="0"/>
          <w:sz w:val="32"/>
          <w:lang w:val="en-US"/>
          <w14:ligatures w14:val="none"/>
        </w:rPr>
      </w:pPr>
      <w:r w:rsidRPr="00E1673A">
        <w:rPr>
          <w:rFonts w:ascii="Times New Roman" w:eastAsia="SimSun" w:hAnsi="Times New Roman" w:cs="Times New Roman"/>
          <w:b/>
          <w:bCs/>
          <w:kern w:val="0"/>
          <w:sz w:val="32"/>
          <w:lang w:val="en-US"/>
          <w14:ligatures w14:val="none"/>
        </w:rPr>
        <w:t>Supplementary Materials</w:t>
      </w:r>
    </w:p>
    <w:p w14:paraId="38DC7A4A" w14:textId="77777777" w:rsidR="00E1673A" w:rsidRPr="00E1673A" w:rsidRDefault="00E1673A" w:rsidP="00E1673A">
      <w:pPr>
        <w:spacing w:after="0" w:line="360" w:lineRule="auto"/>
        <w:rPr>
          <w:rFonts w:ascii="Times New Roman" w:eastAsia="Times New Roman" w:hAnsi="Times New Roman" w:cs="Times New Roman"/>
          <w:kern w:val="0"/>
          <w14:ligatures w14:val="none"/>
        </w:rPr>
      </w:pPr>
      <w:bookmarkStart w:id="0" w:name="OLE_LINK9"/>
      <w:r w:rsidRPr="00E1673A">
        <w:rPr>
          <w:rFonts w:ascii="Times New Roman" w:eastAsia="SimSun" w:hAnsi="Times New Roman" w:cs="Times New Roman"/>
          <w:kern w:val="0"/>
          <w:lang w:val="en-US"/>
          <w14:ligatures w14:val="none"/>
        </w:rPr>
        <w:t>Descriptive statistics for the principal study variables by occupation category are presented in Table S</w:t>
      </w:r>
      <w:r w:rsidRPr="00E1673A">
        <w:rPr>
          <w:rFonts w:ascii="Times New Roman" w:eastAsia="SimSun" w:hAnsi="Times New Roman" w:cs="Times New Roman" w:hint="eastAsia"/>
          <w:kern w:val="0"/>
          <w:lang w:val="en-US"/>
          <w14:ligatures w14:val="none"/>
        </w:rPr>
        <w:t>1</w:t>
      </w:r>
      <w:r w:rsidRPr="00E1673A">
        <w:rPr>
          <w:rFonts w:ascii="Times New Roman" w:eastAsia="SimSun" w:hAnsi="Times New Roman" w:cs="Times New Roman"/>
          <w:kern w:val="0"/>
          <w:lang w:val="en-US"/>
          <w14:ligatures w14:val="none"/>
        </w:rPr>
        <w:t>. Production workers had the highest mean levels of work stress (0.07 ± 0.74) and depressive symptoms (7.68 ± 5.76), whereas service workers had the lowest mean depressive-symptom score (6.47 ± 5.35). Mean nighttime sleep duration ranged from 6.33 hours among production workers to 6.55 hours among service workers. Production workers also reported the lowest mean subjective sleep quality score (3.18 ± 1.10). Median sleep latency was 30 minutes in all occupational groups, although the interquartile range was widest among production workers (10-60 minutes).</w:t>
      </w:r>
    </w:p>
    <w:p w14:paraId="7D4C3F59" w14:textId="77777777" w:rsidR="00E1673A" w:rsidRPr="00E1673A" w:rsidRDefault="00E1673A" w:rsidP="00E1673A">
      <w:pPr>
        <w:spacing w:before="240" w:after="0" w:line="360" w:lineRule="auto"/>
        <w:jc w:val="center"/>
        <w:rPr>
          <w:rFonts w:ascii="Times New Roman" w:eastAsia="SimSun" w:hAnsi="Times New Roman" w:cs="Times New Roman"/>
          <w:kern w:val="0"/>
          <w:lang w:val="en-US"/>
          <w14:ligatures w14:val="none"/>
        </w:rPr>
      </w:pPr>
      <w:r w:rsidRPr="00E1673A">
        <w:rPr>
          <w:rFonts w:ascii="Times New Roman" w:eastAsia="SimSun" w:hAnsi="Times New Roman" w:cs="Times New Roman"/>
          <w:kern w:val="0"/>
          <w:lang w:val="en-US"/>
          <w14:ligatures w14:val="none"/>
        </w:rPr>
        <w:t>Table S</w:t>
      </w:r>
      <w:r w:rsidRPr="00E1673A">
        <w:rPr>
          <w:rFonts w:ascii="Times New Roman" w:eastAsia="SimSun" w:hAnsi="Times New Roman" w:cs="Times New Roman" w:hint="eastAsia"/>
          <w:kern w:val="0"/>
          <w:lang w:val="en-US"/>
          <w14:ligatures w14:val="none"/>
        </w:rPr>
        <w:t>1</w:t>
      </w:r>
      <w:r w:rsidRPr="00E1673A">
        <w:rPr>
          <w:rFonts w:ascii="Times New Roman" w:eastAsia="SimSun" w:hAnsi="Times New Roman" w:cs="Times New Roman"/>
          <w:kern w:val="0"/>
          <w:lang w:val="en-US"/>
          <w14:ligatures w14:val="none"/>
        </w:rPr>
        <w:t>. Study variables by occupation category</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1701"/>
        <w:gridCol w:w="1418"/>
        <w:gridCol w:w="1417"/>
        <w:gridCol w:w="1508"/>
      </w:tblGrid>
      <w:tr w:rsidR="00E1673A" w:rsidRPr="00E1673A" w14:paraId="5BE03CEF" w14:textId="77777777" w:rsidTr="00C146CB">
        <w:trPr>
          <w:tblHeader/>
          <w:tblCellSpacing w:w="15" w:type="dxa"/>
        </w:trPr>
        <w:tc>
          <w:tcPr>
            <w:tcW w:w="2932" w:type="dxa"/>
            <w:tcBorders>
              <w:top w:val="nil"/>
              <w:bottom w:val="single" w:sz="4" w:space="0" w:color="auto"/>
            </w:tcBorders>
            <w:vAlign w:val="center"/>
            <w:hideMark/>
          </w:tcPr>
          <w:p w14:paraId="71272AB2"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Variable</w:t>
            </w:r>
          </w:p>
        </w:tc>
        <w:tc>
          <w:tcPr>
            <w:tcW w:w="1671" w:type="dxa"/>
            <w:tcBorders>
              <w:top w:val="nil"/>
              <w:bottom w:val="single" w:sz="4" w:space="0" w:color="auto"/>
            </w:tcBorders>
            <w:vAlign w:val="center"/>
            <w:hideMark/>
          </w:tcPr>
          <w:p w14:paraId="069DE820"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Management</w:t>
            </w:r>
          </w:p>
        </w:tc>
        <w:tc>
          <w:tcPr>
            <w:tcW w:w="1388" w:type="dxa"/>
            <w:tcBorders>
              <w:top w:val="nil"/>
              <w:bottom w:val="single" w:sz="4" w:space="0" w:color="auto"/>
            </w:tcBorders>
            <w:vAlign w:val="center"/>
            <w:hideMark/>
          </w:tcPr>
          <w:p w14:paraId="72DED808"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Technical</w:t>
            </w:r>
          </w:p>
        </w:tc>
        <w:tc>
          <w:tcPr>
            <w:tcW w:w="1387" w:type="dxa"/>
            <w:tcBorders>
              <w:top w:val="nil"/>
              <w:bottom w:val="single" w:sz="4" w:space="0" w:color="auto"/>
            </w:tcBorders>
            <w:vAlign w:val="center"/>
            <w:hideMark/>
          </w:tcPr>
          <w:p w14:paraId="6A12A4E3"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Service</w:t>
            </w:r>
          </w:p>
        </w:tc>
        <w:tc>
          <w:tcPr>
            <w:tcW w:w="1463" w:type="dxa"/>
            <w:tcBorders>
              <w:top w:val="nil"/>
              <w:bottom w:val="single" w:sz="4" w:space="0" w:color="auto"/>
            </w:tcBorders>
            <w:vAlign w:val="center"/>
            <w:hideMark/>
          </w:tcPr>
          <w:p w14:paraId="684C8D93"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Production</w:t>
            </w:r>
          </w:p>
        </w:tc>
      </w:tr>
      <w:tr w:rsidR="00E1673A" w:rsidRPr="00E1673A" w14:paraId="5EC57FD0" w14:textId="77777777" w:rsidTr="00C146CB">
        <w:trPr>
          <w:tblCellSpacing w:w="15" w:type="dxa"/>
        </w:trPr>
        <w:tc>
          <w:tcPr>
            <w:tcW w:w="2932" w:type="dxa"/>
            <w:vAlign w:val="center"/>
            <w:hideMark/>
          </w:tcPr>
          <w:p w14:paraId="448E7251"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Composite</w:t>
            </w:r>
            <w:r w:rsidRPr="00E1673A">
              <w:rPr>
                <w:rFonts w:ascii="Times New Roman" w:eastAsia="Times New Roman" w:hAnsi="Times New Roman" w:cs="Times New Roman" w:hint="eastAsia"/>
                <w:kern w:val="0"/>
                <w14:ligatures w14:val="none"/>
              </w:rPr>
              <w:t xml:space="preserve"> </w:t>
            </w:r>
            <w:r w:rsidRPr="00E1673A">
              <w:rPr>
                <w:rFonts w:ascii="Times New Roman" w:eastAsia="Times New Roman" w:hAnsi="Times New Roman" w:cs="Times New Roman"/>
                <w:kern w:val="0"/>
                <w14:ligatures w14:val="none"/>
              </w:rPr>
              <w:t>work stress index</w:t>
            </w:r>
            <w:r w:rsidRPr="00E1673A">
              <w:rPr>
                <w:rFonts w:ascii="Times New Roman" w:eastAsia="Times New Roman" w:hAnsi="Times New Roman" w:cs="Times New Roman" w:hint="eastAsia"/>
                <w:kern w:val="0"/>
                <w14:ligatures w14:val="none"/>
              </w:rPr>
              <w:t xml:space="preserve"> (</w:t>
            </w:r>
            <w:r w:rsidRPr="00E1673A">
              <w:rPr>
                <w:rFonts w:ascii="Times New Roman" w:eastAsia="Times New Roman" w:hAnsi="Times New Roman" w:cs="Times New Roman"/>
                <w:kern w:val="0"/>
                <w14:ligatures w14:val="none"/>
              </w:rPr>
              <w:t>mean ± SD</w:t>
            </w:r>
            <w:r w:rsidRPr="00E1673A">
              <w:rPr>
                <w:rFonts w:ascii="Times New Roman" w:eastAsia="Times New Roman" w:hAnsi="Times New Roman" w:cs="Times New Roman" w:hint="eastAsia"/>
                <w:kern w:val="0"/>
                <w14:ligatures w14:val="none"/>
              </w:rPr>
              <w:t>)</w:t>
            </w:r>
          </w:p>
        </w:tc>
        <w:tc>
          <w:tcPr>
            <w:tcW w:w="1671" w:type="dxa"/>
            <w:vAlign w:val="center"/>
            <w:hideMark/>
          </w:tcPr>
          <w:p w14:paraId="27C470EF"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-0.04 ± 0.72</w:t>
            </w:r>
          </w:p>
        </w:tc>
        <w:tc>
          <w:tcPr>
            <w:tcW w:w="1388" w:type="dxa"/>
            <w:vAlign w:val="center"/>
            <w:hideMark/>
          </w:tcPr>
          <w:p w14:paraId="362D3CB1"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0.04 ± 0.68</w:t>
            </w:r>
          </w:p>
        </w:tc>
        <w:tc>
          <w:tcPr>
            <w:tcW w:w="1387" w:type="dxa"/>
            <w:vAlign w:val="center"/>
            <w:hideMark/>
          </w:tcPr>
          <w:p w14:paraId="007E312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-0.04 ± 0.71</w:t>
            </w:r>
          </w:p>
        </w:tc>
        <w:tc>
          <w:tcPr>
            <w:tcW w:w="1463" w:type="dxa"/>
            <w:vAlign w:val="center"/>
            <w:hideMark/>
          </w:tcPr>
          <w:p w14:paraId="0430CA17"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0.07 ± 0.74</w:t>
            </w:r>
          </w:p>
        </w:tc>
      </w:tr>
      <w:tr w:rsidR="00E1673A" w:rsidRPr="00E1673A" w14:paraId="225EFF3D" w14:textId="77777777" w:rsidTr="00C146CB">
        <w:trPr>
          <w:tblCellSpacing w:w="15" w:type="dxa"/>
        </w:trPr>
        <w:tc>
          <w:tcPr>
            <w:tcW w:w="2932" w:type="dxa"/>
            <w:vAlign w:val="center"/>
            <w:hideMark/>
          </w:tcPr>
          <w:p w14:paraId="59C54164"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Depressive symptoms</w:t>
            </w:r>
            <w:r w:rsidRPr="00E1673A">
              <w:rPr>
                <w:rFonts w:ascii="Times New Roman" w:eastAsia="Times New Roman" w:hAnsi="Times New Roman" w:cs="Times New Roman" w:hint="eastAsia"/>
                <w:kern w:val="0"/>
                <w14:ligatures w14:val="none"/>
              </w:rPr>
              <w:t xml:space="preserve"> (</w:t>
            </w:r>
            <w:r w:rsidRPr="00E1673A">
              <w:rPr>
                <w:rFonts w:ascii="Times New Roman" w:eastAsia="Times New Roman" w:hAnsi="Times New Roman" w:cs="Times New Roman"/>
                <w:kern w:val="0"/>
                <w14:ligatures w14:val="none"/>
              </w:rPr>
              <w:t>mean ± SD</w:t>
            </w:r>
            <w:r w:rsidRPr="00E1673A">
              <w:rPr>
                <w:rFonts w:ascii="Times New Roman" w:eastAsia="Times New Roman" w:hAnsi="Times New Roman" w:cs="Times New Roman" w:hint="eastAsia"/>
                <w:kern w:val="0"/>
                <w14:ligatures w14:val="none"/>
              </w:rPr>
              <w:t>)</w:t>
            </w:r>
          </w:p>
        </w:tc>
        <w:tc>
          <w:tcPr>
            <w:tcW w:w="1671" w:type="dxa"/>
            <w:vAlign w:val="center"/>
            <w:hideMark/>
          </w:tcPr>
          <w:p w14:paraId="7F6A6DFE"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6.82 ± 5.02</w:t>
            </w:r>
          </w:p>
        </w:tc>
        <w:tc>
          <w:tcPr>
            <w:tcW w:w="1388" w:type="dxa"/>
            <w:vAlign w:val="center"/>
            <w:hideMark/>
          </w:tcPr>
          <w:p w14:paraId="310AB338"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7.09 ± 4.99</w:t>
            </w:r>
          </w:p>
        </w:tc>
        <w:tc>
          <w:tcPr>
            <w:tcW w:w="1387" w:type="dxa"/>
            <w:vAlign w:val="center"/>
            <w:hideMark/>
          </w:tcPr>
          <w:p w14:paraId="028A2E42"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6.47 ± 5.35</w:t>
            </w:r>
          </w:p>
        </w:tc>
        <w:tc>
          <w:tcPr>
            <w:tcW w:w="1463" w:type="dxa"/>
            <w:vAlign w:val="center"/>
            <w:hideMark/>
          </w:tcPr>
          <w:p w14:paraId="0A1D5553"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7.68 ± 5.76</w:t>
            </w:r>
          </w:p>
        </w:tc>
      </w:tr>
      <w:tr w:rsidR="00E1673A" w:rsidRPr="00E1673A" w14:paraId="5B173F9E" w14:textId="77777777" w:rsidTr="00C146CB">
        <w:trPr>
          <w:tblCellSpacing w:w="15" w:type="dxa"/>
        </w:trPr>
        <w:tc>
          <w:tcPr>
            <w:tcW w:w="2932" w:type="dxa"/>
            <w:vAlign w:val="center"/>
            <w:hideMark/>
          </w:tcPr>
          <w:p w14:paraId="31728677"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hint="eastAsia"/>
                <w:kern w:val="0"/>
                <w14:ligatures w14:val="none"/>
              </w:rPr>
              <w:t>S</w:t>
            </w:r>
            <w:r w:rsidRPr="00E1673A">
              <w:rPr>
                <w:rFonts w:ascii="Times New Roman" w:eastAsia="Times New Roman" w:hAnsi="Times New Roman" w:cs="Times New Roman"/>
                <w:kern w:val="0"/>
                <w14:ligatures w14:val="none"/>
              </w:rPr>
              <w:t>leep quality</w:t>
            </w:r>
            <w:r w:rsidRPr="00E1673A">
              <w:rPr>
                <w:rFonts w:ascii="Times New Roman" w:eastAsia="Times New Roman" w:hAnsi="Times New Roman" w:cs="Times New Roman" w:hint="eastAsia"/>
                <w:kern w:val="0"/>
                <w14:ligatures w14:val="none"/>
              </w:rPr>
              <w:t xml:space="preserve"> (</w:t>
            </w:r>
            <w:r w:rsidRPr="00E1673A">
              <w:rPr>
                <w:rFonts w:ascii="Times New Roman" w:eastAsia="Times New Roman" w:hAnsi="Times New Roman" w:cs="Times New Roman"/>
                <w:kern w:val="0"/>
                <w14:ligatures w14:val="none"/>
              </w:rPr>
              <w:t>mean ± SD</w:t>
            </w:r>
            <w:r w:rsidRPr="00E1673A">
              <w:rPr>
                <w:rFonts w:ascii="Times New Roman" w:eastAsia="Times New Roman" w:hAnsi="Times New Roman" w:cs="Times New Roman" w:hint="eastAsia"/>
                <w:kern w:val="0"/>
                <w14:ligatures w14:val="none"/>
              </w:rPr>
              <w:t>)</w:t>
            </w:r>
          </w:p>
        </w:tc>
        <w:tc>
          <w:tcPr>
            <w:tcW w:w="1671" w:type="dxa"/>
            <w:vAlign w:val="center"/>
            <w:hideMark/>
          </w:tcPr>
          <w:p w14:paraId="119D607B"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3.31 ± 1.05</w:t>
            </w:r>
          </w:p>
        </w:tc>
        <w:tc>
          <w:tcPr>
            <w:tcW w:w="1388" w:type="dxa"/>
            <w:vAlign w:val="center"/>
            <w:hideMark/>
          </w:tcPr>
          <w:p w14:paraId="5D8B1753"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3.25 ± 1.07</w:t>
            </w:r>
          </w:p>
        </w:tc>
        <w:tc>
          <w:tcPr>
            <w:tcW w:w="1387" w:type="dxa"/>
            <w:vAlign w:val="center"/>
            <w:hideMark/>
          </w:tcPr>
          <w:p w14:paraId="3C0ABC08"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3.37 ± 1.07</w:t>
            </w:r>
          </w:p>
        </w:tc>
        <w:tc>
          <w:tcPr>
            <w:tcW w:w="1463" w:type="dxa"/>
            <w:vAlign w:val="center"/>
            <w:hideMark/>
          </w:tcPr>
          <w:p w14:paraId="02DC5E38"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3.18 ± 1.10</w:t>
            </w:r>
          </w:p>
        </w:tc>
      </w:tr>
      <w:tr w:rsidR="00E1673A" w:rsidRPr="00E1673A" w14:paraId="6640FBBD" w14:textId="77777777" w:rsidTr="00C146CB">
        <w:trPr>
          <w:tblCellSpacing w:w="15" w:type="dxa"/>
        </w:trPr>
        <w:tc>
          <w:tcPr>
            <w:tcW w:w="2932" w:type="dxa"/>
            <w:vAlign w:val="center"/>
            <w:hideMark/>
          </w:tcPr>
          <w:p w14:paraId="25F06FD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 xml:space="preserve">Sleep disturbance </w:t>
            </w:r>
            <w:r w:rsidRPr="00E1673A">
              <w:rPr>
                <w:rFonts w:ascii="Times New Roman" w:eastAsia="Times New Roman" w:hAnsi="Times New Roman" w:cs="Times New Roman" w:hint="eastAsia"/>
                <w:kern w:val="0"/>
                <w14:ligatures w14:val="none"/>
              </w:rPr>
              <w:t>(</w:t>
            </w:r>
            <w:r w:rsidRPr="00E1673A">
              <w:rPr>
                <w:rFonts w:ascii="Times New Roman" w:eastAsia="Times New Roman" w:hAnsi="Times New Roman" w:cs="Times New Roman"/>
                <w:kern w:val="0"/>
                <w14:ligatures w14:val="none"/>
              </w:rPr>
              <w:t>mean ± SD</w:t>
            </w:r>
            <w:r w:rsidRPr="00E1673A">
              <w:rPr>
                <w:rFonts w:ascii="Times New Roman" w:eastAsia="Times New Roman" w:hAnsi="Times New Roman" w:cs="Times New Roman" w:hint="eastAsia"/>
                <w:kern w:val="0"/>
                <w14:ligatures w14:val="none"/>
              </w:rPr>
              <w:t>)</w:t>
            </w:r>
          </w:p>
        </w:tc>
        <w:tc>
          <w:tcPr>
            <w:tcW w:w="1671" w:type="dxa"/>
            <w:vAlign w:val="center"/>
            <w:hideMark/>
          </w:tcPr>
          <w:p w14:paraId="14002523"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2.73 ± 1.07</w:t>
            </w:r>
          </w:p>
        </w:tc>
        <w:tc>
          <w:tcPr>
            <w:tcW w:w="1388" w:type="dxa"/>
            <w:vAlign w:val="center"/>
            <w:hideMark/>
          </w:tcPr>
          <w:p w14:paraId="649D7DD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2.76 ± 1.07</w:t>
            </w:r>
          </w:p>
        </w:tc>
        <w:tc>
          <w:tcPr>
            <w:tcW w:w="1387" w:type="dxa"/>
            <w:vAlign w:val="center"/>
            <w:hideMark/>
          </w:tcPr>
          <w:p w14:paraId="08F27270"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2.53 ± 1.11</w:t>
            </w:r>
          </w:p>
        </w:tc>
        <w:tc>
          <w:tcPr>
            <w:tcW w:w="1463" w:type="dxa"/>
            <w:vAlign w:val="center"/>
            <w:hideMark/>
          </w:tcPr>
          <w:p w14:paraId="581CDC6C"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2.72 ± 1.11</w:t>
            </w:r>
          </w:p>
        </w:tc>
      </w:tr>
      <w:tr w:rsidR="00E1673A" w:rsidRPr="00E1673A" w14:paraId="306034ED" w14:textId="77777777" w:rsidTr="00C146CB">
        <w:trPr>
          <w:tblCellSpacing w:w="15" w:type="dxa"/>
        </w:trPr>
        <w:tc>
          <w:tcPr>
            <w:tcW w:w="2932" w:type="dxa"/>
            <w:vAlign w:val="center"/>
            <w:hideMark/>
          </w:tcPr>
          <w:p w14:paraId="66068010"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hint="eastAsia"/>
                <w:kern w:val="0"/>
                <w14:ligatures w14:val="none"/>
              </w:rPr>
              <w:t>S</w:t>
            </w:r>
            <w:r w:rsidRPr="00E1673A">
              <w:rPr>
                <w:rFonts w:ascii="Times New Roman" w:eastAsia="Times New Roman" w:hAnsi="Times New Roman" w:cs="Times New Roman"/>
                <w:kern w:val="0"/>
                <w14:ligatures w14:val="none"/>
              </w:rPr>
              <w:t>leep duration</w:t>
            </w:r>
            <w:r w:rsidRPr="00E1673A">
              <w:rPr>
                <w:rFonts w:ascii="Times New Roman" w:eastAsia="Times New Roman" w:hAnsi="Times New Roman" w:cs="Times New Roman" w:hint="eastAsia"/>
                <w:kern w:val="0"/>
                <w14:ligatures w14:val="none"/>
              </w:rPr>
              <w:t xml:space="preserve"> (</w:t>
            </w:r>
            <w:r w:rsidRPr="00E1673A">
              <w:rPr>
                <w:rFonts w:ascii="Times New Roman" w:eastAsia="Times New Roman" w:hAnsi="Times New Roman" w:cs="Times New Roman"/>
                <w:kern w:val="0"/>
                <w14:ligatures w14:val="none"/>
              </w:rPr>
              <w:t>hours</w:t>
            </w:r>
            <w:r w:rsidRPr="00E1673A">
              <w:rPr>
                <w:rFonts w:ascii="Times New Roman" w:eastAsia="Times New Roman" w:hAnsi="Times New Roman" w:cs="Times New Roman" w:hint="eastAsia"/>
                <w:kern w:val="0"/>
                <w14:ligatures w14:val="none"/>
              </w:rPr>
              <w:t>)</w:t>
            </w:r>
            <w:r w:rsidRPr="00E1673A">
              <w:rPr>
                <w:rFonts w:ascii="Times New Roman" w:eastAsia="Times New Roman" w:hAnsi="Times New Roman" w:cs="Times New Roman"/>
                <w:kern w:val="0"/>
                <w14:ligatures w14:val="none"/>
              </w:rPr>
              <w:t>,</w:t>
            </w:r>
            <w:r w:rsidRPr="00E1673A">
              <w:rPr>
                <w:rFonts w:ascii="Times New Roman" w:eastAsia="Times New Roman" w:hAnsi="Times New Roman" w:cs="Times New Roman" w:hint="eastAsia"/>
                <w:kern w:val="0"/>
                <w14:ligatures w14:val="none"/>
              </w:rPr>
              <w:t xml:space="preserve"> (</w:t>
            </w:r>
            <w:r w:rsidRPr="00E1673A">
              <w:rPr>
                <w:rFonts w:ascii="Times New Roman" w:eastAsia="Times New Roman" w:hAnsi="Times New Roman" w:cs="Times New Roman"/>
                <w:kern w:val="0"/>
                <w14:ligatures w14:val="none"/>
              </w:rPr>
              <w:t>mean ± SD</w:t>
            </w:r>
            <w:r w:rsidRPr="00E1673A">
              <w:rPr>
                <w:rFonts w:ascii="Times New Roman" w:eastAsia="Times New Roman" w:hAnsi="Times New Roman" w:cs="Times New Roman" w:hint="eastAsia"/>
                <w:kern w:val="0"/>
                <w14:ligatures w14:val="none"/>
              </w:rPr>
              <w:t>)</w:t>
            </w:r>
          </w:p>
        </w:tc>
        <w:tc>
          <w:tcPr>
            <w:tcW w:w="1671" w:type="dxa"/>
            <w:vAlign w:val="center"/>
            <w:hideMark/>
          </w:tcPr>
          <w:p w14:paraId="226BD010"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6.48 ± 1.31</w:t>
            </w:r>
          </w:p>
        </w:tc>
        <w:tc>
          <w:tcPr>
            <w:tcW w:w="1388" w:type="dxa"/>
            <w:vAlign w:val="center"/>
            <w:hideMark/>
          </w:tcPr>
          <w:p w14:paraId="1D19BF05"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6.37 ± 1.30</w:t>
            </w:r>
          </w:p>
        </w:tc>
        <w:tc>
          <w:tcPr>
            <w:tcW w:w="1387" w:type="dxa"/>
            <w:vAlign w:val="center"/>
            <w:hideMark/>
          </w:tcPr>
          <w:p w14:paraId="7FC1E80C"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6.55 ± 1.39</w:t>
            </w:r>
          </w:p>
        </w:tc>
        <w:tc>
          <w:tcPr>
            <w:tcW w:w="1463" w:type="dxa"/>
            <w:vAlign w:val="center"/>
            <w:hideMark/>
          </w:tcPr>
          <w:p w14:paraId="4CF00E44"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6.33 ± 1.44</w:t>
            </w:r>
          </w:p>
        </w:tc>
      </w:tr>
      <w:tr w:rsidR="00E1673A" w:rsidRPr="00E1673A" w14:paraId="637D09EC" w14:textId="77777777" w:rsidTr="00C146CB">
        <w:trPr>
          <w:tblCellSpacing w:w="15" w:type="dxa"/>
        </w:trPr>
        <w:tc>
          <w:tcPr>
            <w:tcW w:w="2932" w:type="dxa"/>
            <w:vAlign w:val="center"/>
            <w:hideMark/>
          </w:tcPr>
          <w:p w14:paraId="75DB22F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Sleep latency</w:t>
            </w:r>
            <w:r w:rsidRPr="00E1673A">
              <w:rPr>
                <w:rFonts w:ascii="Times New Roman" w:eastAsia="Times New Roman" w:hAnsi="Times New Roman" w:cs="Times New Roman" w:hint="eastAsia"/>
                <w:kern w:val="0"/>
                <w14:ligatures w14:val="none"/>
              </w:rPr>
              <w:t xml:space="preserve"> (</w:t>
            </w:r>
            <w:r w:rsidRPr="00E1673A">
              <w:rPr>
                <w:rFonts w:ascii="Times New Roman" w:eastAsia="Times New Roman" w:hAnsi="Times New Roman" w:cs="Times New Roman"/>
                <w:kern w:val="0"/>
                <w14:ligatures w14:val="none"/>
              </w:rPr>
              <w:t>minutes</w:t>
            </w:r>
            <w:r w:rsidRPr="00E1673A">
              <w:rPr>
                <w:rFonts w:ascii="Times New Roman" w:eastAsia="Times New Roman" w:hAnsi="Times New Roman" w:cs="Times New Roman" w:hint="eastAsia"/>
                <w:kern w:val="0"/>
                <w14:ligatures w14:val="none"/>
              </w:rPr>
              <w:t>),</w:t>
            </w:r>
            <w:r w:rsidRPr="00E1673A">
              <w:rPr>
                <w:rFonts w:ascii="Times New Roman" w:eastAsia="Times New Roman" w:hAnsi="Times New Roman" w:cs="Times New Roman"/>
                <w:kern w:val="0"/>
                <w14:ligatures w14:val="none"/>
              </w:rPr>
              <w:t xml:space="preserve"> </w:t>
            </w:r>
            <w:r w:rsidRPr="00E1673A">
              <w:rPr>
                <w:rFonts w:ascii="Times New Roman" w:eastAsia="Times New Roman" w:hAnsi="Times New Roman" w:cs="Times New Roman" w:hint="eastAsia"/>
                <w:kern w:val="0"/>
                <w14:ligatures w14:val="none"/>
              </w:rPr>
              <w:t>(</w:t>
            </w:r>
            <w:r w:rsidRPr="00E1673A">
              <w:rPr>
                <w:rFonts w:ascii="Times New Roman" w:eastAsia="Times New Roman" w:hAnsi="Times New Roman" w:cs="Times New Roman"/>
                <w:kern w:val="0"/>
                <w14:ligatures w14:val="none"/>
              </w:rPr>
              <w:t>median (IQR)</w:t>
            </w:r>
            <w:r w:rsidRPr="00E1673A">
              <w:rPr>
                <w:rFonts w:ascii="Times New Roman" w:eastAsia="Times New Roman" w:hAnsi="Times New Roman" w:cs="Times New Roman" w:hint="eastAsia"/>
                <w:kern w:val="0"/>
                <w14:ligatures w14:val="none"/>
              </w:rPr>
              <w:t>)</w:t>
            </w:r>
          </w:p>
        </w:tc>
        <w:tc>
          <w:tcPr>
            <w:tcW w:w="1671" w:type="dxa"/>
            <w:vAlign w:val="center"/>
            <w:hideMark/>
          </w:tcPr>
          <w:p w14:paraId="72DA3B45"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30 (10-30)</w:t>
            </w:r>
          </w:p>
        </w:tc>
        <w:tc>
          <w:tcPr>
            <w:tcW w:w="1388" w:type="dxa"/>
            <w:vAlign w:val="center"/>
            <w:hideMark/>
          </w:tcPr>
          <w:p w14:paraId="3920AD8B"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30 (10-40)</w:t>
            </w:r>
          </w:p>
        </w:tc>
        <w:tc>
          <w:tcPr>
            <w:tcW w:w="1387" w:type="dxa"/>
            <w:vAlign w:val="center"/>
            <w:hideMark/>
          </w:tcPr>
          <w:p w14:paraId="35AE817E"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30 (10-30)</w:t>
            </w:r>
          </w:p>
        </w:tc>
        <w:tc>
          <w:tcPr>
            <w:tcW w:w="1463" w:type="dxa"/>
            <w:vAlign w:val="center"/>
            <w:hideMark/>
          </w:tcPr>
          <w:p w14:paraId="02AA8A01"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30 (10-60)</w:t>
            </w:r>
          </w:p>
        </w:tc>
      </w:tr>
    </w:tbl>
    <w:p w14:paraId="4EF2A077"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hint="eastAsia"/>
          <w:kern w:val="0"/>
          <w:lang w:val="en-US"/>
          <w14:ligatures w14:val="none"/>
        </w:rPr>
        <w:t xml:space="preserve">Note: </w:t>
      </w:r>
      <w:r w:rsidRPr="00E1673A">
        <w:rPr>
          <w:rFonts w:ascii="Times New Roman" w:eastAsia="Times New Roman" w:hAnsi="Times New Roman" w:cs="Times New Roman"/>
          <w:kern w:val="0"/>
          <w14:ligatures w14:val="none"/>
        </w:rPr>
        <w:t>Values are presented as mean ± standard deviation unless otherwise indicated. Sleep latency is presented as median (interquartile range) because of its positively skewed distribution.</w:t>
      </w:r>
    </w:p>
    <w:p w14:paraId="4D02DE21"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p>
    <w:bookmarkEnd w:id="0"/>
    <w:p w14:paraId="02107D38" w14:textId="77777777" w:rsidR="00E1673A" w:rsidRPr="00E1673A" w:rsidRDefault="00E1673A" w:rsidP="00E1673A">
      <w:pPr>
        <w:spacing w:before="100" w:beforeAutospacing="1" w:after="100" w:afterAutospacing="1" w:line="360" w:lineRule="auto"/>
        <w:jc w:val="both"/>
        <w:rPr>
          <w:rFonts w:ascii="Times New Roman" w:eastAsia="SimSun" w:hAnsi="Times New Roman" w:cs="Times New Roman"/>
          <w:kern w:val="0"/>
          <w:lang w:val="en-US"/>
          <w14:ligatures w14:val="none"/>
        </w:rPr>
      </w:pPr>
      <w:r w:rsidRPr="00E1673A">
        <w:rPr>
          <w:rFonts w:ascii="Times New Roman" w:eastAsia="SimSun" w:hAnsi="Times New Roman" w:cs="Times New Roman"/>
          <w:kern w:val="0"/>
          <w:lang w:val="en-US"/>
          <w14:ligatures w14:val="none"/>
        </w:rPr>
        <w:t>To assess the influence of covariate adjustment, the composite sleep mediation model and the nonlinear parallel mediation model were additionally estimated without covariates. For each model, the unadjusted and covariate-adjusted analyses used the same complete-case sample, thereby ensuring that differences between the estimates were not attributable to differences in sample composition. The unadjusted models used the same prior distributions, likelihood specifications, variable transformations, nonlinear specification of sleep duration, and Markov chain Monte Carlo sampling settings as their covariate-adjusted counterparts.</w:t>
      </w:r>
    </w:p>
    <w:p w14:paraId="4DA09008" w14:textId="77777777" w:rsidR="00E1673A" w:rsidRPr="00E1673A" w:rsidRDefault="00E1673A" w:rsidP="00E1673A">
      <w:pPr>
        <w:spacing w:before="100" w:beforeAutospacing="1" w:after="100" w:afterAutospacing="1" w:line="360" w:lineRule="auto"/>
        <w:jc w:val="both"/>
        <w:rPr>
          <w:rFonts w:ascii="Times New Roman" w:eastAsia="SimSun" w:hAnsi="Times New Roman" w:cs="Times New Roman"/>
          <w:kern w:val="0"/>
          <w:lang w:val="en-US"/>
          <w14:ligatures w14:val="none"/>
        </w:rPr>
      </w:pPr>
      <w:r w:rsidRPr="00E1673A">
        <w:rPr>
          <w:rFonts w:ascii="Times New Roman" w:eastAsia="SimSun" w:hAnsi="Times New Roman" w:cs="Times New Roman"/>
          <w:kern w:val="0"/>
          <w:lang w:val="en-US"/>
          <w14:ligatures w14:val="none"/>
        </w:rPr>
        <w:t xml:space="preserve">The covariate-adjusted models included sex, age, education, monthly income, occupation, work experience, marital status, and number of children. Continuous variables involved in the </w:t>
      </w:r>
      <w:r w:rsidRPr="00E1673A">
        <w:rPr>
          <w:rFonts w:ascii="Times New Roman" w:eastAsia="SimSun" w:hAnsi="Times New Roman" w:cs="Times New Roman"/>
          <w:kern w:val="0"/>
          <w:lang w:val="en-US"/>
          <w14:ligatures w14:val="none"/>
        </w:rPr>
        <w:lastRenderedPageBreak/>
        <w:t>mediation pathways were standardized before analysis. In the nonlinear parallel mediation model, both the linear and quadratic terms of standardized sleep duration were included in the depressive-symptom equation. The statistical indirect association through sleep duration was calculated using the combined change in the linear and quadratic duration terms associated with a one-standard-deviation increase in work stress.</w:t>
      </w:r>
    </w:p>
    <w:p w14:paraId="23C24FB6" w14:textId="77777777" w:rsidR="00E1673A" w:rsidRPr="00E1673A" w:rsidRDefault="00E1673A" w:rsidP="00E1673A">
      <w:pPr>
        <w:spacing w:before="100" w:beforeAutospacing="1" w:after="100" w:afterAutospacing="1" w:line="360" w:lineRule="auto"/>
        <w:jc w:val="both"/>
        <w:rPr>
          <w:rFonts w:ascii="Times New Roman" w:eastAsia="SimSun" w:hAnsi="Times New Roman" w:cs="Times New Roman"/>
          <w:kern w:val="0"/>
          <w:lang w:val="en-US"/>
          <w14:ligatures w14:val="none"/>
        </w:rPr>
      </w:pPr>
      <w:r w:rsidRPr="00E1673A">
        <w:rPr>
          <w:rFonts w:ascii="Times New Roman" w:eastAsia="SimSun" w:hAnsi="Times New Roman" w:cs="Times New Roman"/>
          <w:kern w:val="0"/>
          <w:lang w:val="en-US"/>
          <w14:ligatures w14:val="none"/>
        </w:rPr>
        <w:t>The unadjusted estimates were highly consistent with the corresponding covariate-adjusted estimates (Table S</w:t>
      </w:r>
      <w:r w:rsidRPr="00E1673A">
        <w:rPr>
          <w:rFonts w:ascii="Times New Roman" w:eastAsia="SimSun" w:hAnsi="Times New Roman" w:cs="Times New Roman" w:hint="eastAsia"/>
          <w:kern w:val="0"/>
          <w:lang w:val="en-US"/>
          <w14:ligatures w14:val="none"/>
        </w:rPr>
        <w:t>2</w:t>
      </w:r>
      <w:r w:rsidRPr="00E1673A">
        <w:rPr>
          <w:rFonts w:ascii="Times New Roman" w:eastAsia="SimSun" w:hAnsi="Times New Roman" w:cs="Times New Roman"/>
          <w:kern w:val="0"/>
          <w:lang w:val="en-US"/>
          <w14:ligatures w14:val="none"/>
        </w:rPr>
        <w:t>). In the composite sleep mediation model, the estimated statistical indirect association was 0.174 (95% HDI: 0.165-0.184) before covariate adjustment and 0.172 (95% HDI: 0.162-0.181) after adjustment. The corresponding proportions of the total association accounted for by the statistical indirect association were 28.0% (95% HDI: 26.5%-29.5%) and 27.8% (95% HDI: 26.4%-29.5%), respectively.</w:t>
      </w:r>
    </w:p>
    <w:p w14:paraId="7078CA90" w14:textId="77777777" w:rsidR="00E1673A" w:rsidRPr="00E1673A" w:rsidRDefault="00E1673A" w:rsidP="00E1673A">
      <w:pPr>
        <w:spacing w:before="100" w:beforeAutospacing="1" w:after="100" w:afterAutospacing="1" w:line="360" w:lineRule="auto"/>
        <w:jc w:val="both"/>
        <w:rPr>
          <w:rFonts w:ascii="Times New Roman" w:eastAsia="SimSun" w:hAnsi="Times New Roman" w:cs="Times New Roman"/>
          <w:kern w:val="0"/>
          <w:lang w:val="en-US"/>
          <w14:ligatures w14:val="none"/>
        </w:rPr>
      </w:pPr>
      <w:r w:rsidRPr="00E1673A">
        <w:rPr>
          <w:rFonts w:ascii="Times New Roman" w:eastAsia="SimSun" w:hAnsi="Times New Roman" w:cs="Times New Roman"/>
          <w:kern w:val="0"/>
          <w:lang w:val="en-US"/>
          <w14:ligatures w14:val="none"/>
        </w:rPr>
        <w:t>In the nonlinear parallel mediation model, the total statistical indirect association through the four sleep dimensions was 0.200 (95% HDI: 0.190-0.210) in the unadjusted model and 0.197 (95% HDI: 0.187-0.206) in the adjusted model. The corresponding proportions were 32.7% (95% HDI: 30.9%-34.3%) and 32.4% (95% HDI: 30.7%-34.0%), respectively. The positive quadratic coefficient for sleep duration was also nearly identical in the unadjusted and adjusted models, with both estimates equal to 0.023 (95% HDI: 0.016-0.030).</w:t>
      </w:r>
      <w:r w:rsidRPr="00E1673A">
        <w:rPr>
          <w:rFonts w:ascii="Times New Roman" w:eastAsia="SimSun" w:hAnsi="Times New Roman" w:cs="Times New Roman" w:hint="eastAsia"/>
          <w:kern w:val="0"/>
          <w:lang w:val="en-US"/>
          <w14:ligatures w14:val="none"/>
        </w:rPr>
        <w:t xml:space="preserve"> </w:t>
      </w:r>
      <w:r w:rsidRPr="00E1673A">
        <w:rPr>
          <w:rFonts w:ascii="Times New Roman" w:eastAsia="SimSun" w:hAnsi="Times New Roman" w:cs="Times New Roman"/>
          <w:kern w:val="0"/>
          <w:lang w:val="en-US"/>
          <w14:ligatures w14:val="none"/>
        </w:rPr>
        <w:t>The 32.4% estimate from the parallel model is not directly equivalent to the 27.8% estimate from the composite sleep problem model because the two analyses used different model specifications.</w:t>
      </w:r>
    </w:p>
    <w:p w14:paraId="64FFE129" w14:textId="77777777" w:rsidR="00E1673A" w:rsidRPr="00E1673A" w:rsidRDefault="00E1673A" w:rsidP="00E1673A">
      <w:pPr>
        <w:spacing w:before="100" w:beforeAutospacing="1" w:after="100" w:afterAutospacing="1" w:line="360" w:lineRule="auto"/>
        <w:jc w:val="both"/>
        <w:rPr>
          <w:rFonts w:ascii="Times New Roman" w:eastAsia="SimSun" w:hAnsi="Times New Roman" w:cs="Times New Roman"/>
          <w:kern w:val="0"/>
          <w:lang w:val="en-US"/>
          <w14:ligatures w14:val="none"/>
        </w:rPr>
      </w:pPr>
      <w:r w:rsidRPr="00E1673A">
        <w:rPr>
          <w:rFonts w:ascii="Times New Roman" w:eastAsia="SimSun" w:hAnsi="Times New Roman" w:cs="Times New Roman"/>
          <w:kern w:val="0"/>
          <w:lang w:val="en-US"/>
          <w14:ligatures w14:val="none"/>
        </w:rPr>
        <w:t>The relative contributions of the four sleep dimensions were also stable after covariate adjustment. Subjective sleep quality made the largest contribution to the total statistical indirect association, followed by sleep disturbance, sleep duration, and sleep latency. In the unadjusted model, their respective contributions were 51.1%, 38.0%, 8.3%, and 2.6%, compared with 50.7%, 37.2%, 9.2%, and 2.9% in the adjusted model. Thus, covariate adjustment had little influence on either the magnitude of the estimated statistical indirect associations or the relative ordering of the sleep dimensions.</w:t>
      </w:r>
    </w:p>
    <w:p w14:paraId="476DBC7C" w14:textId="77777777" w:rsidR="00E1673A" w:rsidRPr="00E1673A" w:rsidRDefault="00E1673A" w:rsidP="00E1673A">
      <w:pPr>
        <w:spacing w:after="0" w:line="360" w:lineRule="auto"/>
        <w:jc w:val="center"/>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Table S</w:t>
      </w:r>
      <w:r w:rsidRPr="00E1673A">
        <w:rPr>
          <w:rFonts w:ascii="Times New Roman" w:eastAsia="Times New Roman" w:hAnsi="Times New Roman" w:cs="Times New Roman" w:hint="eastAsia"/>
          <w:kern w:val="0"/>
          <w14:ligatures w14:val="none"/>
        </w:rPr>
        <w:t>2</w:t>
      </w:r>
      <w:r w:rsidRPr="00E1673A">
        <w:rPr>
          <w:rFonts w:ascii="Times New Roman" w:eastAsia="Times New Roman" w:hAnsi="Times New Roman" w:cs="Times New Roman"/>
          <w:kern w:val="0"/>
          <w14:ligatures w14:val="none"/>
        </w:rPr>
        <w:t>. Comparison of unadjusted and covariate-adjusted estimates from the principal Bayesian mediation models</w:t>
      </w:r>
    </w:p>
    <w:p w14:paraId="57E4ABA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Panel A. Composite sleep problem model</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87"/>
        <w:gridCol w:w="2836"/>
        <w:gridCol w:w="2598"/>
      </w:tblGrid>
      <w:tr w:rsidR="00E1673A" w:rsidRPr="00E1673A" w14:paraId="3D976F1E" w14:textId="77777777" w:rsidTr="00C146CB">
        <w:trPr>
          <w:tblHeader/>
          <w:tblCellSpacing w:w="15" w:type="dxa"/>
        </w:trPr>
        <w:tc>
          <w:tcPr>
            <w:tcW w:w="0" w:type="auto"/>
            <w:tcBorders>
              <w:top w:val="single" w:sz="4" w:space="0" w:color="auto"/>
              <w:bottom w:val="single" w:sz="4" w:space="0" w:color="auto"/>
            </w:tcBorders>
            <w:vAlign w:val="center"/>
            <w:hideMark/>
          </w:tcPr>
          <w:p w14:paraId="7A9AE263"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lastRenderedPageBreak/>
              <w:t>Estimate</w:t>
            </w:r>
          </w:p>
        </w:tc>
        <w:tc>
          <w:tcPr>
            <w:tcW w:w="0" w:type="auto"/>
            <w:tcBorders>
              <w:top w:val="single" w:sz="4" w:space="0" w:color="auto"/>
              <w:bottom w:val="single" w:sz="4" w:space="0" w:color="auto"/>
            </w:tcBorders>
            <w:vAlign w:val="center"/>
            <w:hideMark/>
          </w:tcPr>
          <w:p w14:paraId="22EBE84D"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Unadjusted posterior mean (95% HDI)</w:t>
            </w:r>
          </w:p>
        </w:tc>
        <w:tc>
          <w:tcPr>
            <w:tcW w:w="0" w:type="auto"/>
            <w:tcBorders>
              <w:top w:val="single" w:sz="4" w:space="0" w:color="auto"/>
              <w:bottom w:val="single" w:sz="4" w:space="0" w:color="auto"/>
            </w:tcBorders>
            <w:vAlign w:val="center"/>
            <w:hideMark/>
          </w:tcPr>
          <w:p w14:paraId="4F3BA0DF"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Adjusted posterior mean (95% HDI)</w:t>
            </w:r>
          </w:p>
        </w:tc>
      </w:tr>
      <w:tr w:rsidR="00E1673A" w:rsidRPr="00E1673A" w14:paraId="56D49C4D" w14:textId="77777777" w:rsidTr="00C146CB">
        <w:trPr>
          <w:tblCellSpacing w:w="15" w:type="dxa"/>
        </w:trPr>
        <w:tc>
          <w:tcPr>
            <w:tcW w:w="0" w:type="auto"/>
            <w:vAlign w:val="center"/>
            <w:hideMark/>
          </w:tcPr>
          <w:p w14:paraId="758E9F26"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 xml:space="preserve">Work stress → composite sleep problems, </w:t>
            </w:r>
            <w:r w:rsidRPr="00E1673A">
              <w:rPr>
                <w:rFonts w:ascii="Times New Roman" w:eastAsia="Times New Roman" w:hAnsi="Times New Roman" w:cs="Times New Roman"/>
                <w:i/>
                <w:iCs/>
                <w:kern w:val="0"/>
                <w14:ligatures w14:val="none"/>
              </w:rPr>
              <w:t>a</w:t>
            </w:r>
          </w:p>
        </w:tc>
        <w:tc>
          <w:tcPr>
            <w:tcW w:w="0" w:type="auto"/>
            <w:vAlign w:val="center"/>
            <w:hideMark/>
          </w:tcPr>
          <w:p w14:paraId="7B7C590E"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0.517 (0.502, 0.532)</w:t>
            </w:r>
          </w:p>
        </w:tc>
        <w:tc>
          <w:tcPr>
            <w:tcW w:w="0" w:type="auto"/>
            <w:vAlign w:val="center"/>
            <w:hideMark/>
          </w:tcPr>
          <w:p w14:paraId="6C716FA2"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0.513 (0.497, 0.529)</w:t>
            </w:r>
          </w:p>
        </w:tc>
      </w:tr>
      <w:tr w:rsidR="00E1673A" w:rsidRPr="00E1673A" w14:paraId="70C74366" w14:textId="77777777" w:rsidTr="00C146CB">
        <w:trPr>
          <w:tblCellSpacing w:w="15" w:type="dxa"/>
        </w:trPr>
        <w:tc>
          <w:tcPr>
            <w:tcW w:w="0" w:type="auto"/>
            <w:vAlign w:val="center"/>
            <w:hideMark/>
          </w:tcPr>
          <w:p w14:paraId="357D18F4"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 xml:space="preserve">Composite sleep problems → depressive symptoms, </w:t>
            </w:r>
            <w:r w:rsidRPr="00E1673A">
              <w:rPr>
                <w:rFonts w:ascii="Times New Roman" w:eastAsia="Times New Roman" w:hAnsi="Times New Roman" w:cs="Times New Roman"/>
                <w:i/>
                <w:iCs/>
                <w:kern w:val="0"/>
                <w14:ligatures w14:val="none"/>
              </w:rPr>
              <w:t>b</w:t>
            </w:r>
          </w:p>
        </w:tc>
        <w:tc>
          <w:tcPr>
            <w:tcW w:w="0" w:type="auto"/>
            <w:vAlign w:val="center"/>
            <w:hideMark/>
          </w:tcPr>
          <w:p w14:paraId="1B332076"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0.337 (0.323, 0.352)</w:t>
            </w:r>
          </w:p>
        </w:tc>
        <w:tc>
          <w:tcPr>
            <w:tcW w:w="0" w:type="auto"/>
            <w:vAlign w:val="center"/>
            <w:hideMark/>
          </w:tcPr>
          <w:p w14:paraId="1370FDD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0.335 (0.319, 0.351)</w:t>
            </w:r>
          </w:p>
        </w:tc>
      </w:tr>
      <w:tr w:rsidR="00E1673A" w:rsidRPr="00E1673A" w14:paraId="40D27BFA" w14:textId="77777777" w:rsidTr="00C146CB">
        <w:trPr>
          <w:tblCellSpacing w:w="15" w:type="dxa"/>
        </w:trPr>
        <w:tc>
          <w:tcPr>
            <w:tcW w:w="0" w:type="auto"/>
            <w:vAlign w:val="center"/>
            <w:hideMark/>
          </w:tcPr>
          <w:p w14:paraId="27718A88"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 xml:space="preserve">Direct association, </w:t>
            </w:r>
            <w:r w:rsidRPr="00E1673A">
              <w:rPr>
                <w:rFonts w:ascii="Times New Roman" w:eastAsia="Times New Roman" w:hAnsi="Times New Roman" w:cs="Times New Roman"/>
                <w:i/>
                <w:iCs/>
                <w:kern w:val="0"/>
                <w14:ligatures w14:val="none"/>
              </w:rPr>
              <w:t>c</w:t>
            </w:r>
          </w:p>
        </w:tc>
        <w:tc>
          <w:tcPr>
            <w:tcW w:w="0" w:type="auto"/>
            <w:vAlign w:val="center"/>
            <w:hideMark/>
          </w:tcPr>
          <w:p w14:paraId="49DC3B3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0.447 (0.433, 0.463)</w:t>
            </w:r>
          </w:p>
        </w:tc>
        <w:tc>
          <w:tcPr>
            <w:tcW w:w="0" w:type="auto"/>
            <w:vAlign w:val="center"/>
            <w:hideMark/>
          </w:tcPr>
          <w:p w14:paraId="20D90646"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0.446 (0.429, 0.461)</w:t>
            </w:r>
          </w:p>
        </w:tc>
      </w:tr>
      <w:tr w:rsidR="00E1673A" w:rsidRPr="00E1673A" w14:paraId="4D098D46" w14:textId="77777777" w:rsidTr="00C146CB">
        <w:trPr>
          <w:tblCellSpacing w:w="15" w:type="dxa"/>
        </w:trPr>
        <w:tc>
          <w:tcPr>
            <w:tcW w:w="0" w:type="auto"/>
            <w:vAlign w:val="center"/>
            <w:hideMark/>
          </w:tcPr>
          <w:p w14:paraId="65EB09C6"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Indirect association</w:t>
            </w:r>
          </w:p>
        </w:tc>
        <w:tc>
          <w:tcPr>
            <w:tcW w:w="0" w:type="auto"/>
            <w:vAlign w:val="center"/>
            <w:hideMark/>
          </w:tcPr>
          <w:p w14:paraId="04E2D69C"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0.174 (0.165, 0.184)</w:t>
            </w:r>
          </w:p>
        </w:tc>
        <w:tc>
          <w:tcPr>
            <w:tcW w:w="0" w:type="auto"/>
            <w:vAlign w:val="center"/>
            <w:hideMark/>
          </w:tcPr>
          <w:p w14:paraId="0D4FE4CF"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0.172 (0.162, 0.181)</w:t>
            </w:r>
          </w:p>
        </w:tc>
      </w:tr>
      <w:tr w:rsidR="00E1673A" w:rsidRPr="00E1673A" w14:paraId="35E094E4" w14:textId="77777777" w:rsidTr="00C146CB">
        <w:trPr>
          <w:tblCellSpacing w:w="15" w:type="dxa"/>
        </w:trPr>
        <w:tc>
          <w:tcPr>
            <w:tcW w:w="0" w:type="auto"/>
            <w:vAlign w:val="center"/>
            <w:hideMark/>
          </w:tcPr>
          <w:p w14:paraId="027D997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Total association</w:t>
            </w:r>
          </w:p>
        </w:tc>
        <w:tc>
          <w:tcPr>
            <w:tcW w:w="0" w:type="auto"/>
            <w:vAlign w:val="center"/>
            <w:hideMark/>
          </w:tcPr>
          <w:p w14:paraId="277608D5"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0.621 (0.607, 0.635)</w:t>
            </w:r>
          </w:p>
        </w:tc>
        <w:tc>
          <w:tcPr>
            <w:tcW w:w="0" w:type="auto"/>
            <w:vAlign w:val="center"/>
            <w:hideMark/>
          </w:tcPr>
          <w:p w14:paraId="763DA49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0.617 (0.603, 0.631)</w:t>
            </w:r>
          </w:p>
        </w:tc>
      </w:tr>
      <w:tr w:rsidR="00E1673A" w:rsidRPr="00E1673A" w14:paraId="00ACA9F8" w14:textId="77777777" w:rsidTr="00C146CB">
        <w:trPr>
          <w:tblCellSpacing w:w="15" w:type="dxa"/>
        </w:trPr>
        <w:tc>
          <w:tcPr>
            <w:tcW w:w="0" w:type="auto"/>
            <w:vAlign w:val="center"/>
            <w:hideMark/>
          </w:tcPr>
          <w:p w14:paraId="03BCCCB8"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Indirect proportion, %</w:t>
            </w:r>
          </w:p>
        </w:tc>
        <w:tc>
          <w:tcPr>
            <w:tcW w:w="0" w:type="auto"/>
            <w:vAlign w:val="center"/>
            <w:hideMark/>
          </w:tcPr>
          <w:p w14:paraId="7D0652CE"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28.0 (26.5, 29.5)</w:t>
            </w:r>
          </w:p>
        </w:tc>
        <w:tc>
          <w:tcPr>
            <w:tcW w:w="0" w:type="auto"/>
            <w:vAlign w:val="center"/>
            <w:hideMark/>
          </w:tcPr>
          <w:p w14:paraId="76A3B03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27.8 (26.4, 29.5)</w:t>
            </w:r>
          </w:p>
        </w:tc>
      </w:tr>
    </w:tbl>
    <w:p w14:paraId="7B013D2C" w14:textId="77777777" w:rsidR="00E1673A" w:rsidRPr="00E1673A" w:rsidRDefault="00E1673A" w:rsidP="00E1673A">
      <w:pPr>
        <w:spacing w:after="0" w:line="240" w:lineRule="auto"/>
        <w:rPr>
          <w:rFonts w:ascii="Times New Roman" w:eastAsia="Times New Roman" w:hAnsi="Times New Roman" w:cs="Times New Roman"/>
          <w:kern w:val="0"/>
          <w:lang w:val="en-US"/>
          <w14:ligatures w14:val="none"/>
        </w:rPr>
      </w:pPr>
    </w:p>
    <w:p w14:paraId="7994B605"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Panel B. Nonlinear parallel mediation model</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360"/>
        <w:gridCol w:w="2950"/>
        <w:gridCol w:w="2711"/>
      </w:tblGrid>
      <w:tr w:rsidR="00E1673A" w:rsidRPr="00E1673A" w14:paraId="0911A606" w14:textId="77777777" w:rsidTr="00C146CB">
        <w:trPr>
          <w:tblHeader/>
          <w:tblCellSpacing w:w="15" w:type="dxa"/>
        </w:trPr>
        <w:tc>
          <w:tcPr>
            <w:tcW w:w="0" w:type="auto"/>
            <w:tcBorders>
              <w:top w:val="nil"/>
              <w:bottom w:val="single" w:sz="4" w:space="0" w:color="auto"/>
            </w:tcBorders>
            <w:vAlign w:val="center"/>
            <w:hideMark/>
          </w:tcPr>
          <w:p w14:paraId="5917DEEB"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Estimate</w:t>
            </w:r>
          </w:p>
        </w:tc>
        <w:tc>
          <w:tcPr>
            <w:tcW w:w="0" w:type="auto"/>
            <w:tcBorders>
              <w:top w:val="nil"/>
              <w:bottom w:val="single" w:sz="4" w:space="0" w:color="auto"/>
            </w:tcBorders>
            <w:vAlign w:val="center"/>
            <w:hideMark/>
          </w:tcPr>
          <w:p w14:paraId="03CFB604"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Unadjusted posterior mean (95% HDI)</w:t>
            </w:r>
          </w:p>
        </w:tc>
        <w:tc>
          <w:tcPr>
            <w:tcW w:w="0" w:type="auto"/>
            <w:tcBorders>
              <w:top w:val="nil"/>
              <w:bottom w:val="single" w:sz="4" w:space="0" w:color="auto"/>
            </w:tcBorders>
            <w:vAlign w:val="center"/>
            <w:hideMark/>
          </w:tcPr>
          <w:p w14:paraId="5286665C"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Adjusted posterior mean (95% HDI)</w:t>
            </w:r>
          </w:p>
        </w:tc>
      </w:tr>
      <w:tr w:rsidR="00E1673A" w:rsidRPr="00E1673A" w14:paraId="55B9CA0C" w14:textId="77777777" w:rsidTr="00C146CB">
        <w:trPr>
          <w:tblCellSpacing w:w="15" w:type="dxa"/>
        </w:trPr>
        <w:tc>
          <w:tcPr>
            <w:tcW w:w="0" w:type="auto"/>
            <w:vAlign w:val="center"/>
            <w:hideMark/>
          </w:tcPr>
          <w:p w14:paraId="051AFC6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Direct association</w:t>
            </w:r>
          </w:p>
        </w:tc>
        <w:tc>
          <w:tcPr>
            <w:tcW w:w="0" w:type="auto"/>
            <w:vAlign w:val="center"/>
            <w:hideMark/>
          </w:tcPr>
          <w:p w14:paraId="775225E0"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0.413 (0.396, 0.428)</w:t>
            </w:r>
          </w:p>
        </w:tc>
        <w:tc>
          <w:tcPr>
            <w:tcW w:w="0" w:type="auto"/>
            <w:vAlign w:val="center"/>
            <w:hideMark/>
          </w:tcPr>
          <w:p w14:paraId="25840B7F"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0.412 (0.397, 0.428)</w:t>
            </w:r>
          </w:p>
        </w:tc>
      </w:tr>
      <w:tr w:rsidR="00E1673A" w:rsidRPr="00E1673A" w14:paraId="069821E4" w14:textId="77777777" w:rsidTr="00C146CB">
        <w:trPr>
          <w:tblCellSpacing w:w="15" w:type="dxa"/>
        </w:trPr>
        <w:tc>
          <w:tcPr>
            <w:tcW w:w="0" w:type="auto"/>
            <w:vAlign w:val="center"/>
            <w:hideMark/>
          </w:tcPr>
          <w:p w14:paraId="53891011"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Indirect association involving sleep quality</w:t>
            </w:r>
          </w:p>
        </w:tc>
        <w:tc>
          <w:tcPr>
            <w:tcW w:w="0" w:type="auto"/>
            <w:vAlign w:val="center"/>
            <w:hideMark/>
          </w:tcPr>
          <w:p w14:paraId="4C3A309F"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0.102 (0.092, 0.113)</w:t>
            </w:r>
          </w:p>
        </w:tc>
        <w:tc>
          <w:tcPr>
            <w:tcW w:w="0" w:type="auto"/>
            <w:vAlign w:val="center"/>
            <w:hideMark/>
          </w:tcPr>
          <w:p w14:paraId="6F68126F"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0.100 (0.090, 0.110)</w:t>
            </w:r>
          </w:p>
        </w:tc>
      </w:tr>
      <w:tr w:rsidR="00E1673A" w:rsidRPr="00E1673A" w14:paraId="0EEFD3B9" w14:textId="77777777" w:rsidTr="00C146CB">
        <w:trPr>
          <w:tblCellSpacing w:w="15" w:type="dxa"/>
        </w:trPr>
        <w:tc>
          <w:tcPr>
            <w:tcW w:w="0" w:type="auto"/>
            <w:vAlign w:val="center"/>
            <w:hideMark/>
          </w:tcPr>
          <w:p w14:paraId="1558DB28"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Indirect association involving sleep duration</w:t>
            </w:r>
          </w:p>
        </w:tc>
        <w:tc>
          <w:tcPr>
            <w:tcW w:w="0" w:type="auto"/>
            <w:vAlign w:val="center"/>
            <w:hideMark/>
          </w:tcPr>
          <w:p w14:paraId="0CDC5145"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0.017 (0.011, 0.022)</w:t>
            </w:r>
          </w:p>
        </w:tc>
        <w:tc>
          <w:tcPr>
            <w:tcW w:w="0" w:type="auto"/>
            <w:vAlign w:val="center"/>
            <w:hideMark/>
          </w:tcPr>
          <w:p w14:paraId="7B267F55"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0.018 (0.013, 0.024)</w:t>
            </w:r>
          </w:p>
        </w:tc>
      </w:tr>
      <w:tr w:rsidR="00E1673A" w:rsidRPr="00E1673A" w14:paraId="14C7E2F6" w14:textId="77777777" w:rsidTr="00C146CB">
        <w:trPr>
          <w:tblCellSpacing w:w="15" w:type="dxa"/>
        </w:trPr>
        <w:tc>
          <w:tcPr>
            <w:tcW w:w="0" w:type="auto"/>
            <w:vAlign w:val="center"/>
            <w:hideMark/>
          </w:tcPr>
          <w:p w14:paraId="219A0CA4"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Indirect association involving sleep disturbance</w:t>
            </w:r>
          </w:p>
        </w:tc>
        <w:tc>
          <w:tcPr>
            <w:tcW w:w="0" w:type="auto"/>
            <w:vAlign w:val="center"/>
            <w:hideMark/>
          </w:tcPr>
          <w:p w14:paraId="2DE3BE67"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0.076 (0.067, 0.085)</w:t>
            </w:r>
          </w:p>
        </w:tc>
        <w:tc>
          <w:tcPr>
            <w:tcW w:w="0" w:type="auto"/>
            <w:vAlign w:val="center"/>
            <w:hideMark/>
          </w:tcPr>
          <w:p w14:paraId="150C528F"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0.073 (0.064, 0.082)</w:t>
            </w:r>
          </w:p>
        </w:tc>
      </w:tr>
      <w:tr w:rsidR="00E1673A" w:rsidRPr="00E1673A" w14:paraId="76654CFD" w14:textId="77777777" w:rsidTr="00C146CB">
        <w:trPr>
          <w:tblCellSpacing w:w="15" w:type="dxa"/>
        </w:trPr>
        <w:tc>
          <w:tcPr>
            <w:tcW w:w="0" w:type="auto"/>
            <w:vAlign w:val="center"/>
            <w:hideMark/>
          </w:tcPr>
          <w:p w14:paraId="535AB4E2"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Indirect association involving sleep latency</w:t>
            </w:r>
          </w:p>
        </w:tc>
        <w:tc>
          <w:tcPr>
            <w:tcW w:w="0" w:type="auto"/>
            <w:vAlign w:val="center"/>
            <w:hideMark/>
          </w:tcPr>
          <w:p w14:paraId="59DA20CF"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0.005 (0.002, 0.009)</w:t>
            </w:r>
          </w:p>
        </w:tc>
        <w:tc>
          <w:tcPr>
            <w:tcW w:w="0" w:type="auto"/>
            <w:vAlign w:val="center"/>
            <w:hideMark/>
          </w:tcPr>
          <w:p w14:paraId="202995D2"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0.006 (0.002, 0.009)</w:t>
            </w:r>
          </w:p>
        </w:tc>
      </w:tr>
      <w:tr w:rsidR="00E1673A" w:rsidRPr="00E1673A" w14:paraId="6793C6B6" w14:textId="77777777" w:rsidTr="00C146CB">
        <w:trPr>
          <w:tblCellSpacing w:w="15" w:type="dxa"/>
        </w:trPr>
        <w:tc>
          <w:tcPr>
            <w:tcW w:w="0" w:type="auto"/>
            <w:vAlign w:val="center"/>
            <w:hideMark/>
          </w:tcPr>
          <w:p w14:paraId="27476C7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Total indirect association</w:t>
            </w:r>
          </w:p>
        </w:tc>
        <w:tc>
          <w:tcPr>
            <w:tcW w:w="0" w:type="auto"/>
            <w:vAlign w:val="center"/>
            <w:hideMark/>
          </w:tcPr>
          <w:p w14:paraId="7A19C482"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0.200 (0.190, 0.210)</w:t>
            </w:r>
          </w:p>
        </w:tc>
        <w:tc>
          <w:tcPr>
            <w:tcW w:w="0" w:type="auto"/>
            <w:vAlign w:val="center"/>
            <w:hideMark/>
          </w:tcPr>
          <w:p w14:paraId="4994ABE8"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0.197 (0.187, 0.206)</w:t>
            </w:r>
          </w:p>
        </w:tc>
      </w:tr>
      <w:tr w:rsidR="00E1673A" w:rsidRPr="00E1673A" w14:paraId="0CD4DD3E" w14:textId="77777777" w:rsidTr="00C146CB">
        <w:trPr>
          <w:tblCellSpacing w:w="15" w:type="dxa"/>
        </w:trPr>
        <w:tc>
          <w:tcPr>
            <w:tcW w:w="0" w:type="auto"/>
            <w:vAlign w:val="center"/>
            <w:hideMark/>
          </w:tcPr>
          <w:p w14:paraId="2B3B0F62"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Total association</w:t>
            </w:r>
          </w:p>
        </w:tc>
        <w:tc>
          <w:tcPr>
            <w:tcW w:w="0" w:type="auto"/>
            <w:vAlign w:val="center"/>
            <w:hideMark/>
          </w:tcPr>
          <w:p w14:paraId="13C9DF39"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0.613 (0.599, 0.627)</w:t>
            </w:r>
          </w:p>
        </w:tc>
        <w:tc>
          <w:tcPr>
            <w:tcW w:w="0" w:type="auto"/>
            <w:vAlign w:val="center"/>
            <w:hideMark/>
          </w:tcPr>
          <w:p w14:paraId="42853F29"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0.609 (0.595, 0.623)</w:t>
            </w:r>
          </w:p>
        </w:tc>
      </w:tr>
      <w:tr w:rsidR="00E1673A" w:rsidRPr="00E1673A" w14:paraId="68C0C30A" w14:textId="77777777" w:rsidTr="00C146CB">
        <w:trPr>
          <w:tblCellSpacing w:w="15" w:type="dxa"/>
        </w:trPr>
        <w:tc>
          <w:tcPr>
            <w:tcW w:w="0" w:type="auto"/>
            <w:vAlign w:val="center"/>
            <w:hideMark/>
          </w:tcPr>
          <w:p w14:paraId="5D3842B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Total indirect proportion, %</w:t>
            </w:r>
          </w:p>
        </w:tc>
        <w:tc>
          <w:tcPr>
            <w:tcW w:w="0" w:type="auto"/>
            <w:vAlign w:val="center"/>
            <w:hideMark/>
          </w:tcPr>
          <w:p w14:paraId="5264C40B"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32.7 (30.9, 34.3)</w:t>
            </w:r>
          </w:p>
        </w:tc>
        <w:tc>
          <w:tcPr>
            <w:tcW w:w="0" w:type="auto"/>
            <w:vAlign w:val="center"/>
            <w:hideMark/>
          </w:tcPr>
          <w:p w14:paraId="7EC1B81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32.4 (30.7, 34.0)</w:t>
            </w:r>
          </w:p>
        </w:tc>
      </w:tr>
      <w:tr w:rsidR="00E1673A" w:rsidRPr="00E1673A" w14:paraId="2A45CFFE" w14:textId="77777777" w:rsidTr="00C146CB">
        <w:trPr>
          <w:tblCellSpacing w:w="15" w:type="dxa"/>
        </w:trPr>
        <w:tc>
          <w:tcPr>
            <w:tcW w:w="0" w:type="auto"/>
            <w:vAlign w:val="center"/>
            <w:hideMark/>
          </w:tcPr>
          <w:p w14:paraId="460751B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Quadratic sleep-duration coefficient</w:t>
            </w:r>
          </w:p>
        </w:tc>
        <w:tc>
          <w:tcPr>
            <w:tcW w:w="0" w:type="auto"/>
            <w:vAlign w:val="center"/>
            <w:hideMark/>
          </w:tcPr>
          <w:p w14:paraId="21D7AA36"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0.023 (0.016, 0.030)</w:t>
            </w:r>
          </w:p>
        </w:tc>
        <w:tc>
          <w:tcPr>
            <w:tcW w:w="0" w:type="auto"/>
            <w:vAlign w:val="center"/>
            <w:hideMark/>
          </w:tcPr>
          <w:p w14:paraId="69A99854"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0.023 (0.016, 0.030)</w:t>
            </w:r>
          </w:p>
        </w:tc>
      </w:tr>
    </w:tbl>
    <w:p w14:paraId="53491851" w14:textId="77777777" w:rsidR="00E1673A" w:rsidRPr="00E1673A" w:rsidRDefault="00E1673A" w:rsidP="00E1673A">
      <w:pPr>
        <w:spacing w:after="0" w:line="240" w:lineRule="auto"/>
        <w:rPr>
          <w:rFonts w:ascii="Times New Roman" w:eastAsia="Times New Roman" w:hAnsi="Times New Roman" w:cs="Times New Roman"/>
          <w:kern w:val="0"/>
          <w:lang w:val="en-US"/>
          <w14:ligatures w14:val="none"/>
        </w:rPr>
      </w:pPr>
    </w:p>
    <w:p w14:paraId="3636BB7C"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Panel C. Relative contributions of sleep dimensions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81"/>
        <w:gridCol w:w="3769"/>
        <w:gridCol w:w="3571"/>
      </w:tblGrid>
      <w:tr w:rsidR="00E1673A" w:rsidRPr="00E1673A" w14:paraId="36927AD7" w14:textId="77777777" w:rsidTr="00C146CB">
        <w:trPr>
          <w:tblHeader/>
          <w:tblCellSpacing w:w="15" w:type="dxa"/>
        </w:trPr>
        <w:tc>
          <w:tcPr>
            <w:tcW w:w="0" w:type="auto"/>
            <w:tcBorders>
              <w:top w:val="nil"/>
              <w:bottom w:val="single" w:sz="4" w:space="0" w:color="auto"/>
            </w:tcBorders>
            <w:vAlign w:val="center"/>
            <w:hideMark/>
          </w:tcPr>
          <w:p w14:paraId="6CC358A3"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Sleep indicator</w:t>
            </w:r>
          </w:p>
        </w:tc>
        <w:tc>
          <w:tcPr>
            <w:tcW w:w="0" w:type="auto"/>
            <w:tcBorders>
              <w:top w:val="nil"/>
              <w:bottom w:val="single" w:sz="4" w:space="0" w:color="auto"/>
            </w:tcBorders>
            <w:vAlign w:val="center"/>
            <w:hideMark/>
          </w:tcPr>
          <w:p w14:paraId="1D2C6831"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Unadjusted contribution, % (95% HDI)</w:t>
            </w:r>
          </w:p>
        </w:tc>
        <w:tc>
          <w:tcPr>
            <w:tcW w:w="0" w:type="auto"/>
            <w:tcBorders>
              <w:top w:val="nil"/>
              <w:bottom w:val="single" w:sz="4" w:space="0" w:color="auto"/>
            </w:tcBorders>
            <w:vAlign w:val="center"/>
            <w:hideMark/>
          </w:tcPr>
          <w:p w14:paraId="4BA5E6C2" w14:textId="77777777" w:rsidR="00E1673A" w:rsidRPr="00E1673A" w:rsidRDefault="00E1673A" w:rsidP="00E1673A">
            <w:pPr>
              <w:spacing w:after="0" w:line="240" w:lineRule="auto"/>
              <w:jc w:val="center"/>
              <w:rPr>
                <w:rFonts w:ascii="Times New Roman" w:eastAsia="Times New Roman" w:hAnsi="Times New Roman" w:cs="Times New Roman"/>
                <w:b/>
                <w:bCs/>
                <w:kern w:val="0"/>
                <w14:ligatures w14:val="none"/>
              </w:rPr>
            </w:pPr>
            <w:r w:rsidRPr="00E1673A">
              <w:rPr>
                <w:rFonts w:ascii="Times New Roman" w:eastAsia="Times New Roman" w:hAnsi="Times New Roman" w:cs="Times New Roman"/>
                <w:b/>
                <w:bCs/>
                <w:kern w:val="0"/>
                <w14:ligatures w14:val="none"/>
              </w:rPr>
              <w:t>Adjusted contribution, % (95% HDI)</w:t>
            </w:r>
          </w:p>
        </w:tc>
      </w:tr>
      <w:tr w:rsidR="00E1673A" w:rsidRPr="00E1673A" w14:paraId="5626A569" w14:textId="77777777" w:rsidTr="00C146CB">
        <w:trPr>
          <w:tblCellSpacing w:w="15" w:type="dxa"/>
        </w:trPr>
        <w:tc>
          <w:tcPr>
            <w:tcW w:w="0" w:type="auto"/>
            <w:vAlign w:val="center"/>
            <w:hideMark/>
          </w:tcPr>
          <w:p w14:paraId="2C7F6632"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Sleep quality</w:t>
            </w:r>
          </w:p>
        </w:tc>
        <w:tc>
          <w:tcPr>
            <w:tcW w:w="0" w:type="auto"/>
            <w:vAlign w:val="center"/>
            <w:hideMark/>
          </w:tcPr>
          <w:p w14:paraId="2E8048B5"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51.1 (46.5, 55.5)</w:t>
            </w:r>
          </w:p>
        </w:tc>
        <w:tc>
          <w:tcPr>
            <w:tcW w:w="0" w:type="auto"/>
            <w:vAlign w:val="center"/>
            <w:hideMark/>
          </w:tcPr>
          <w:p w14:paraId="0A72189B"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50.7 (46.6, 55.1)</w:t>
            </w:r>
          </w:p>
        </w:tc>
      </w:tr>
      <w:tr w:rsidR="00E1673A" w:rsidRPr="00E1673A" w14:paraId="57115206" w14:textId="77777777" w:rsidTr="00C146CB">
        <w:trPr>
          <w:tblCellSpacing w:w="15" w:type="dxa"/>
        </w:trPr>
        <w:tc>
          <w:tcPr>
            <w:tcW w:w="0" w:type="auto"/>
            <w:vAlign w:val="center"/>
            <w:hideMark/>
          </w:tcPr>
          <w:p w14:paraId="23A48257"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Sleep disturbance</w:t>
            </w:r>
          </w:p>
        </w:tc>
        <w:tc>
          <w:tcPr>
            <w:tcW w:w="0" w:type="auto"/>
            <w:vAlign w:val="center"/>
            <w:hideMark/>
          </w:tcPr>
          <w:p w14:paraId="79290B3C"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38.0 (34.2, 42.7)</w:t>
            </w:r>
          </w:p>
        </w:tc>
        <w:tc>
          <w:tcPr>
            <w:tcW w:w="0" w:type="auto"/>
            <w:vAlign w:val="center"/>
            <w:hideMark/>
          </w:tcPr>
          <w:p w14:paraId="36A0EF83"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37.2 (33.1, 41.2)</w:t>
            </w:r>
          </w:p>
        </w:tc>
      </w:tr>
      <w:tr w:rsidR="00E1673A" w:rsidRPr="00E1673A" w14:paraId="3EEBFA37" w14:textId="77777777" w:rsidTr="00C146CB">
        <w:trPr>
          <w:tblCellSpacing w:w="15" w:type="dxa"/>
        </w:trPr>
        <w:tc>
          <w:tcPr>
            <w:tcW w:w="0" w:type="auto"/>
            <w:vAlign w:val="center"/>
            <w:hideMark/>
          </w:tcPr>
          <w:p w14:paraId="4E849D6D"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Sleep duration</w:t>
            </w:r>
          </w:p>
        </w:tc>
        <w:tc>
          <w:tcPr>
            <w:tcW w:w="0" w:type="auto"/>
            <w:vAlign w:val="center"/>
            <w:hideMark/>
          </w:tcPr>
          <w:p w14:paraId="509831FE"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8.3 (5.6, 11.0)</w:t>
            </w:r>
          </w:p>
        </w:tc>
        <w:tc>
          <w:tcPr>
            <w:tcW w:w="0" w:type="auto"/>
            <w:vAlign w:val="center"/>
            <w:hideMark/>
          </w:tcPr>
          <w:p w14:paraId="79C2BD7A"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9.2 (6.6, 11.9)</w:t>
            </w:r>
          </w:p>
        </w:tc>
      </w:tr>
      <w:tr w:rsidR="00E1673A" w:rsidRPr="00E1673A" w14:paraId="750F4E19" w14:textId="77777777" w:rsidTr="00C146CB">
        <w:trPr>
          <w:tblCellSpacing w:w="15" w:type="dxa"/>
        </w:trPr>
        <w:tc>
          <w:tcPr>
            <w:tcW w:w="0" w:type="auto"/>
            <w:vAlign w:val="center"/>
            <w:hideMark/>
          </w:tcPr>
          <w:p w14:paraId="7DEAE46C"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Sleep latency</w:t>
            </w:r>
          </w:p>
        </w:tc>
        <w:tc>
          <w:tcPr>
            <w:tcW w:w="0" w:type="auto"/>
            <w:vAlign w:val="center"/>
            <w:hideMark/>
          </w:tcPr>
          <w:p w14:paraId="3749F846"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2.6 (1.0, 4.3)</w:t>
            </w:r>
          </w:p>
        </w:tc>
        <w:tc>
          <w:tcPr>
            <w:tcW w:w="0" w:type="auto"/>
            <w:vAlign w:val="center"/>
            <w:hideMark/>
          </w:tcPr>
          <w:p w14:paraId="2BC664A1"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r w:rsidRPr="00E1673A">
              <w:rPr>
                <w:rFonts w:ascii="Times New Roman" w:eastAsia="Times New Roman" w:hAnsi="Times New Roman" w:cs="Times New Roman"/>
                <w:kern w:val="0"/>
                <w14:ligatures w14:val="none"/>
              </w:rPr>
              <w:t>2.9 (1.2, 4.5)</w:t>
            </w:r>
          </w:p>
        </w:tc>
      </w:tr>
    </w:tbl>
    <w:p w14:paraId="67341E93" w14:textId="77777777" w:rsidR="00E1673A" w:rsidRPr="00E1673A" w:rsidRDefault="00E1673A" w:rsidP="00E1673A">
      <w:pPr>
        <w:spacing w:after="0" w:line="240" w:lineRule="auto"/>
        <w:rPr>
          <w:rFonts w:ascii="Times New Roman" w:eastAsia="Times New Roman" w:hAnsi="Times New Roman" w:cs="Times New Roman"/>
          <w:kern w:val="0"/>
          <w14:ligatures w14:val="none"/>
        </w:rPr>
      </w:pPr>
    </w:p>
    <w:p w14:paraId="7F166DF5" w14:textId="77777777" w:rsidR="008F3F17" w:rsidRDefault="008F3F17">
      <w:pPr>
        <w:rPr>
          <w:rFonts w:hint="eastAsia"/>
        </w:rPr>
      </w:pPr>
    </w:p>
    <w:sectPr w:rsidR="008F3F17" w:rsidSect="00E1673A">
      <w:pgSz w:w="11901" w:h="16840"/>
      <w:pgMar w:top="1440" w:right="1440" w:bottom="1440" w:left="1440" w:header="706" w:footer="706"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73A"/>
    <w:rsid w:val="0017698C"/>
    <w:rsid w:val="00562BC1"/>
    <w:rsid w:val="008F3F17"/>
    <w:rsid w:val="00E1673A"/>
    <w:rsid w:val="00FC194D"/>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B98746C"/>
  <w15:chartTrackingRefBased/>
  <w15:docId w15:val="{9AE4B034-9F78-9245-97DB-78E3243A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73A"/>
    <w:rPr>
      <w:rFonts w:eastAsiaTheme="majorEastAsia" w:cstheme="majorBidi"/>
      <w:color w:val="272727" w:themeColor="text1" w:themeTint="D8"/>
    </w:rPr>
  </w:style>
  <w:style w:type="paragraph" w:styleId="Title">
    <w:name w:val="Title"/>
    <w:basedOn w:val="Normal"/>
    <w:next w:val="Normal"/>
    <w:link w:val="TitleChar"/>
    <w:uiPriority w:val="10"/>
    <w:qFormat/>
    <w:rsid w:val="00E16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73A"/>
    <w:pPr>
      <w:spacing w:before="160"/>
      <w:jc w:val="center"/>
    </w:pPr>
    <w:rPr>
      <w:i/>
      <w:iCs/>
      <w:color w:val="404040" w:themeColor="text1" w:themeTint="BF"/>
    </w:rPr>
  </w:style>
  <w:style w:type="character" w:customStyle="1" w:styleId="QuoteChar">
    <w:name w:val="Quote Char"/>
    <w:basedOn w:val="DefaultParagraphFont"/>
    <w:link w:val="Quote"/>
    <w:uiPriority w:val="29"/>
    <w:rsid w:val="00E1673A"/>
    <w:rPr>
      <w:i/>
      <w:iCs/>
      <w:color w:val="404040" w:themeColor="text1" w:themeTint="BF"/>
    </w:rPr>
  </w:style>
  <w:style w:type="paragraph" w:styleId="ListParagraph">
    <w:name w:val="List Paragraph"/>
    <w:basedOn w:val="Normal"/>
    <w:uiPriority w:val="34"/>
    <w:qFormat/>
    <w:rsid w:val="00E1673A"/>
    <w:pPr>
      <w:ind w:left="720"/>
      <w:contextualSpacing/>
    </w:pPr>
  </w:style>
  <w:style w:type="character" w:styleId="IntenseEmphasis">
    <w:name w:val="Intense Emphasis"/>
    <w:basedOn w:val="DefaultParagraphFont"/>
    <w:uiPriority w:val="21"/>
    <w:qFormat/>
    <w:rsid w:val="00E1673A"/>
    <w:rPr>
      <w:i/>
      <w:iCs/>
      <w:color w:val="0F4761" w:themeColor="accent1" w:themeShade="BF"/>
    </w:rPr>
  </w:style>
  <w:style w:type="paragraph" w:styleId="IntenseQuote">
    <w:name w:val="Intense Quote"/>
    <w:basedOn w:val="Normal"/>
    <w:next w:val="Normal"/>
    <w:link w:val="IntenseQuoteChar"/>
    <w:uiPriority w:val="30"/>
    <w:qFormat/>
    <w:rsid w:val="00E16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73A"/>
    <w:rPr>
      <w:i/>
      <w:iCs/>
      <w:color w:val="0F4761" w:themeColor="accent1" w:themeShade="BF"/>
    </w:rPr>
  </w:style>
  <w:style w:type="character" w:styleId="IntenseReference">
    <w:name w:val="Intense Reference"/>
    <w:basedOn w:val="DefaultParagraphFont"/>
    <w:uiPriority w:val="32"/>
    <w:qFormat/>
    <w:rsid w:val="00E167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948</Words>
  <Characters>5408</Characters>
  <Application>Microsoft Office Word</Application>
  <DocSecurity>0</DocSecurity>
  <Lines>45</Lines>
  <Paragraphs>12</Paragraphs>
  <ScaleCrop>false</ScaleCrop>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Binbin</dc:creator>
  <cp:keywords/>
  <dc:description/>
  <cp:lastModifiedBy>Lin, Binbin</cp:lastModifiedBy>
  <cp:revision>1</cp:revision>
  <dcterms:created xsi:type="dcterms:W3CDTF">2026-10-15T14:15:00Z</dcterms:created>
  <dcterms:modified xsi:type="dcterms:W3CDTF">2026-10-15T14:15:00Z</dcterms:modified>
</cp:coreProperties>
</file>