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75" w:rsidRPr="00DE3D75" w:rsidRDefault="00DE3D75" w:rsidP="00DE3D75">
      <w:pPr>
        <w:keepNext/>
        <w:spacing w:after="240" w:line="480" w:lineRule="exact"/>
        <w:outlineLvl w:val="0"/>
        <w:rPr>
          <w:rFonts w:ascii="Calibri" w:eastAsia="Times New Roman" w:hAnsi="Calibri" w:cs="Times New Roman"/>
          <w:b/>
          <w:sz w:val="24"/>
          <w:szCs w:val="20"/>
          <w:lang w:eastAsia="en-GB"/>
        </w:rPr>
      </w:pPr>
      <w:r w:rsidRPr="00DE3D75">
        <w:rPr>
          <w:rFonts w:ascii="Calibri" w:eastAsia="Times New Roman" w:hAnsi="Calibri" w:cs="Times New Roman"/>
          <w:b/>
          <w:sz w:val="24"/>
          <w:szCs w:val="20"/>
          <w:lang w:eastAsia="en-GB"/>
        </w:rPr>
        <w:t>Supplementary Data</w:t>
      </w:r>
    </w:p>
    <w:p w:rsidR="00DE3D75" w:rsidRPr="00DE3D75" w:rsidRDefault="0055082A" w:rsidP="00DE3D75">
      <w:pPr>
        <w:keepNext/>
        <w:spacing w:after="240" w:line="480" w:lineRule="exact"/>
        <w:outlineLvl w:val="1"/>
        <w:rPr>
          <w:rFonts w:ascii="Calibri" w:eastAsia="Times New Roman" w:hAnsi="Calibri" w:cs="Times New Roman"/>
          <w:b/>
          <w:i/>
          <w:szCs w:val="20"/>
          <w:lang w:eastAsia="en-GB"/>
        </w:rPr>
      </w:pPr>
      <w:r>
        <w:rPr>
          <w:rFonts w:ascii="Calibri" w:eastAsia="Times New Roman" w:hAnsi="Calibri" w:cs="Times New Roman"/>
          <w:b/>
          <w:i/>
          <w:szCs w:val="20"/>
          <w:lang w:eastAsia="en-GB"/>
        </w:rPr>
        <w:t>Additional file 1</w:t>
      </w:r>
      <w:bookmarkStart w:id="0" w:name="_GoBack"/>
      <w:bookmarkEnd w:id="0"/>
      <w:r w:rsidR="00DE3D75" w:rsidRPr="00DE3D75">
        <w:rPr>
          <w:rFonts w:ascii="Calibri" w:eastAsia="Times New Roman" w:hAnsi="Calibri" w:cs="Times New Roman"/>
          <w:b/>
          <w:i/>
          <w:szCs w:val="20"/>
          <w:lang w:eastAsia="en-GB"/>
        </w:rPr>
        <w:t xml:space="preserve"> Table S1</w:t>
      </w:r>
    </w:p>
    <w:p w:rsidR="00DE3D75" w:rsidRPr="00DE3D75" w:rsidRDefault="00DE3D75" w:rsidP="00DE3D75">
      <w:pPr>
        <w:spacing w:before="60" w:after="60" w:line="480" w:lineRule="auto"/>
        <w:rPr>
          <w:rFonts w:ascii="Calibri" w:eastAsia="Times New Roman" w:hAnsi="Calibri" w:cs="Times New Roman"/>
          <w:sz w:val="20"/>
          <w:lang w:eastAsia="en-GB"/>
        </w:rPr>
      </w:pPr>
      <w:r w:rsidRPr="00DE3D75">
        <w:rPr>
          <w:rFonts w:ascii="Calibri" w:eastAsia="Times New Roman" w:hAnsi="Calibri" w:cs="Times New Roman"/>
          <w:lang w:eastAsia="en-GB"/>
        </w:rPr>
        <w:t>Proportion of patients with baseline reliever use ≥1 and &gt;2 occasions/day who achieved mean reliever use thresholds of &lt;1 and &lt;0.5 occasion/day following treatment with BUD/FORM MRT or fixed-dose BUD.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2834"/>
        <w:gridCol w:w="2834"/>
        <w:gridCol w:w="2834"/>
        <w:gridCol w:w="2834"/>
      </w:tblGrid>
      <w:tr w:rsidR="00DE3D75" w:rsidRPr="00DE3D75" w:rsidTr="0026429E">
        <w:tc>
          <w:tcPr>
            <w:tcW w:w="2834" w:type="dxa"/>
            <w:vMerge w:val="restart"/>
            <w:shd w:val="clear" w:color="auto" w:fill="auto"/>
          </w:tcPr>
          <w:p w:rsidR="00DE3D75" w:rsidRPr="00DE3D75" w:rsidRDefault="00DE3D75" w:rsidP="000760E9">
            <w:pPr>
              <w:spacing w:after="0" w:line="48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6" w:type="dxa"/>
            <w:gridSpan w:val="4"/>
            <w:shd w:val="clear" w:color="auto" w:fill="auto"/>
          </w:tcPr>
          <w:p w:rsidR="00DE3D75" w:rsidRPr="00DE3D75" w:rsidRDefault="00DE3D75" w:rsidP="000760E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32"/>
                <w:szCs w:val="32"/>
                <w:lang w:eastAsia="en-GB"/>
              </w:rPr>
              <w:t>Baseline reliever use</w:t>
            </w:r>
          </w:p>
        </w:tc>
      </w:tr>
      <w:tr w:rsidR="00DE3D75" w:rsidRPr="00DE3D75" w:rsidTr="0026429E">
        <w:tc>
          <w:tcPr>
            <w:tcW w:w="2834" w:type="dxa"/>
            <w:vMerge/>
            <w:shd w:val="clear" w:color="auto" w:fill="auto"/>
          </w:tcPr>
          <w:p w:rsidR="00DE3D75" w:rsidRPr="00DE3D75" w:rsidRDefault="00DE3D75" w:rsidP="000760E9">
            <w:pPr>
              <w:spacing w:after="0" w:line="48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8" w:type="dxa"/>
            <w:gridSpan w:val="2"/>
            <w:shd w:val="clear" w:color="auto" w:fill="auto"/>
          </w:tcPr>
          <w:p w:rsidR="00DE3D75" w:rsidRPr="00DE3D75" w:rsidRDefault="00DE3D75" w:rsidP="000760E9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>≥1 occasions/day*</w:t>
            </w:r>
          </w:p>
        </w:tc>
        <w:tc>
          <w:tcPr>
            <w:tcW w:w="5668" w:type="dxa"/>
            <w:gridSpan w:val="2"/>
            <w:shd w:val="clear" w:color="auto" w:fill="auto"/>
          </w:tcPr>
          <w:p w:rsidR="00DE3D75" w:rsidRPr="00DE3D75" w:rsidRDefault="00DE3D75" w:rsidP="000760E9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>&gt;2 occasions/day</w:t>
            </w:r>
          </w:p>
        </w:tc>
      </w:tr>
      <w:tr w:rsidR="00DE3D75" w:rsidRPr="00DE3D75" w:rsidTr="0026429E">
        <w:tc>
          <w:tcPr>
            <w:tcW w:w="2834" w:type="dxa"/>
            <w:vMerge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BUD/FORM MRT</w:t>
            </w:r>
          </w:p>
          <w:p w:rsidR="00DE3D75" w:rsidRPr="00DE3D75" w:rsidRDefault="00DE3D75" w:rsidP="00DE3D7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(n = 458)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Fixed-dose BUD</w:t>
            </w:r>
          </w:p>
          <w:p w:rsidR="00DE3D75" w:rsidRPr="00DE3D75" w:rsidRDefault="00DE3D75" w:rsidP="00DE3D7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(n = 458)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BUD/FORM MRT</w:t>
            </w:r>
          </w:p>
          <w:p w:rsidR="00DE3D75" w:rsidRPr="00DE3D75" w:rsidRDefault="00DE3D75" w:rsidP="00DE3D7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(n = 201)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Fixed-dose BUD</w:t>
            </w:r>
          </w:p>
          <w:p w:rsidR="00DE3D75" w:rsidRPr="00DE3D75" w:rsidRDefault="00DE3D75" w:rsidP="00DE3D7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(n = 205)</w:t>
            </w:r>
          </w:p>
        </w:tc>
      </w:tr>
      <w:tr w:rsidR="00DE3D75" w:rsidRPr="00DE3D75" w:rsidTr="0026429E">
        <w:tc>
          <w:tcPr>
            <w:tcW w:w="14170" w:type="dxa"/>
            <w:gridSpan w:val="5"/>
            <w:shd w:val="clear" w:color="auto" w:fill="auto"/>
          </w:tcPr>
          <w:p w:rsidR="00DE3D75" w:rsidRPr="00DE3D75" w:rsidRDefault="00DE3D75" w:rsidP="00DE3D75">
            <w:pPr>
              <w:spacing w:before="60" w:after="60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Patients who achieved mean</w:t>
            </w: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br/>
              <w:t>reliever use, n (%)</w:t>
            </w:r>
          </w:p>
        </w:tc>
      </w:tr>
      <w:tr w:rsidR="00DE3D75" w:rsidRPr="00DE3D75" w:rsidTr="0026429E"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ind w:left="426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&lt;1 occasion/day 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303 (66.2)</w:t>
            </w:r>
            <w:r w:rsidRPr="00DE3D75">
              <w:rPr>
                <w:rFonts w:ascii="Calibri" w:eastAsia="Times New Roman" w:hAnsi="Calibri" w:cs="Times New Roman"/>
                <w:sz w:val="20"/>
                <w:szCs w:val="20"/>
                <w:lang w:val="it-IT" w:eastAsia="en-GB"/>
              </w:rPr>
              <w:t>†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215 (46.9)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103 (51.2)</w:t>
            </w:r>
            <w:r w:rsidRPr="00DE3D75">
              <w:rPr>
                <w:rFonts w:ascii="Calibri" w:eastAsia="Times New Roman" w:hAnsi="Calibri" w:cs="Times New Roman"/>
                <w:sz w:val="20"/>
                <w:szCs w:val="20"/>
                <w:lang w:val="it-IT" w:eastAsia="en-GB"/>
              </w:rPr>
              <w:t>†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54 (26.3)</w:t>
            </w:r>
          </w:p>
        </w:tc>
      </w:tr>
      <w:tr w:rsidR="00DE3D75" w:rsidRPr="00DE3D75" w:rsidTr="0026429E"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ind w:left="426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&lt;0.5 occasion/day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227 (49.6)</w:t>
            </w:r>
            <w:r w:rsidRPr="00DE3D75">
              <w:rPr>
                <w:rFonts w:ascii="Calibri" w:eastAsia="Times New Roman" w:hAnsi="Calibri" w:cs="Times New Roman"/>
                <w:sz w:val="20"/>
                <w:szCs w:val="20"/>
                <w:lang w:val="it-IT" w:eastAsia="en-GB"/>
              </w:rPr>
              <w:t>†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149 (32.5)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72 (35.8)</w:t>
            </w:r>
            <w:r w:rsidRPr="00DE3D75">
              <w:rPr>
                <w:rFonts w:ascii="Calibri" w:eastAsia="Times New Roman" w:hAnsi="Calibri" w:cs="Times New Roman"/>
                <w:sz w:val="20"/>
                <w:szCs w:val="20"/>
                <w:lang w:val="it-IT" w:eastAsia="en-GB"/>
              </w:rPr>
              <w:t>†</w:t>
            </w:r>
          </w:p>
        </w:tc>
        <w:tc>
          <w:tcPr>
            <w:tcW w:w="2834" w:type="dxa"/>
            <w:shd w:val="clear" w:color="auto" w:fill="auto"/>
          </w:tcPr>
          <w:p w:rsidR="00DE3D75" w:rsidRPr="00DE3D75" w:rsidRDefault="00DE3D75" w:rsidP="00DE3D75">
            <w:pPr>
              <w:spacing w:before="60" w:after="60" w:line="48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DE3D7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29 (14.2)</w:t>
            </w:r>
          </w:p>
        </w:tc>
      </w:tr>
    </w:tbl>
    <w:p w:rsidR="00DE3D75" w:rsidRPr="00DE3D75" w:rsidRDefault="00DE3D75" w:rsidP="00DE3D75">
      <w:pPr>
        <w:spacing w:before="60" w:after="60" w:line="480" w:lineRule="auto"/>
        <w:rPr>
          <w:rFonts w:ascii="Calibri" w:eastAsia="Times New Roman" w:hAnsi="Calibri" w:cs="Times New Roman"/>
          <w:sz w:val="20"/>
          <w:lang w:eastAsia="en-GB"/>
        </w:rPr>
      </w:pPr>
      <w:r w:rsidRPr="00DE3D75">
        <w:rPr>
          <w:rFonts w:ascii="Calibri" w:eastAsia="Times New Roman" w:hAnsi="Calibri" w:cs="Times New Roman"/>
          <w:sz w:val="20"/>
          <w:lang w:eastAsia="en-GB"/>
        </w:rPr>
        <w:t>* Patients with baseline reliever use ≥1 occasions/day comprise those from both the 1–2 and &gt;2 occasions/day baseline reliever use subgroups.</w:t>
      </w:r>
    </w:p>
    <w:p w:rsidR="00DE3D75" w:rsidRPr="00DE3D75" w:rsidRDefault="00DE3D75" w:rsidP="00DE3D75">
      <w:pPr>
        <w:spacing w:before="60" w:after="60" w:line="480" w:lineRule="auto"/>
        <w:rPr>
          <w:rFonts w:ascii="Calibri" w:eastAsia="Times New Roman" w:hAnsi="Calibri" w:cs="Times New Roman"/>
          <w:lang w:eastAsia="en-GB"/>
        </w:rPr>
      </w:pPr>
      <w:r w:rsidRPr="00DE3D75">
        <w:rPr>
          <w:rFonts w:ascii="Calibri" w:eastAsia="Times New Roman" w:hAnsi="Calibri" w:cs="Times New Roman"/>
          <w:sz w:val="20"/>
          <w:szCs w:val="20"/>
          <w:lang w:eastAsia="en-GB"/>
        </w:rPr>
        <w:t>† p&lt;0.0001 for BUD/FORM MRT versus fixed-dose BUD.</w:t>
      </w:r>
    </w:p>
    <w:p w:rsidR="00192226" w:rsidRDefault="00DE3D75" w:rsidP="00DE3D75">
      <w:pPr>
        <w:spacing w:before="60" w:after="60" w:line="480" w:lineRule="auto"/>
      </w:pPr>
      <w:r w:rsidRPr="00DE3D75">
        <w:rPr>
          <w:rFonts w:ascii="Calibri" w:eastAsia="Times New Roman" w:hAnsi="Calibri" w:cs="Times New Roman"/>
          <w:sz w:val="20"/>
          <w:lang w:eastAsia="en-GB"/>
        </w:rPr>
        <w:t>BUD, budesonide; FORM, formoterol; MRT, maintenance and reliever therapy.</w:t>
      </w:r>
    </w:p>
    <w:sectPr w:rsidR="00192226" w:rsidSect="004A52EF">
      <w:pgSz w:w="16834" w:h="11909" w:orient="landscape" w:code="9"/>
      <w:pgMar w:top="1797" w:right="1440" w:bottom="1797" w:left="1440" w:header="709" w:footer="709" w:gutter="0"/>
      <w:cols w:space="708"/>
      <w:docGrid w:linePitch="2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75"/>
    <w:rsid w:val="00017678"/>
    <w:rsid w:val="000760E9"/>
    <w:rsid w:val="00121A02"/>
    <w:rsid w:val="00257C1E"/>
    <w:rsid w:val="00290996"/>
    <w:rsid w:val="0029509A"/>
    <w:rsid w:val="002B0A48"/>
    <w:rsid w:val="002E68C6"/>
    <w:rsid w:val="005311F1"/>
    <w:rsid w:val="0055082A"/>
    <w:rsid w:val="005965A8"/>
    <w:rsid w:val="007F66A9"/>
    <w:rsid w:val="00824AC1"/>
    <w:rsid w:val="00945FEF"/>
    <w:rsid w:val="009C5DCC"/>
    <w:rsid w:val="00A25F6F"/>
    <w:rsid w:val="00A67496"/>
    <w:rsid w:val="00C031DF"/>
    <w:rsid w:val="00C36307"/>
    <w:rsid w:val="00C4644F"/>
    <w:rsid w:val="00C8073D"/>
    <w:rsid w:val="00CB7E3A"/>
    <w:rsid w:val="00CD0481"/>
    <w:rsid w:val="00DE3D75"/>
    <w:rsid w:val="00E077E4"/>
    <w:rsid w:val="00E53567"/>
    <w:rsid w:val="00E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8C6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8C6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8C6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E68C6"/>
    <w:rPr>
      <w:rFonts w:ascii="Calibri" w:eastAsiaTheme="majorEastAsia" w:hAnsi="Calibri" w:cstheme="majorBidi"/>
      <w:b/>
      <w:bCs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8C6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8C6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8C6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E68C6"/>
    <w:rPr>
      <w:rFonts w:ascii="Calibri" w:eastAsiaTheme="majorEastAsia" w:hAnsi="Calibri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inScience</dc:creator>
  <cp:lastModifiedBy>Agir, Junalie</cp:lastModifiedBy>
  <cp:revision>3</cp:revision>
  <dcterms:created xsi:type="dcterms:W3CDTF">2017-01-31T11:16:00Z</dcterms:created>
  <dcterms:modified xsi:type="dcterms:W3CDTF">2017-04-07T00:46:00Z</dcterms:modified>
</cp:coreProperties>
</file>