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C1C3B9" w14:textId="2CBB027E" w:rsidR="0059410B" w:rsidRPr="00B97A8C" w:rsidRDefault="0059410B" w:rsidP="00E25208">
      <w:pPr>
        <w:spacing w:line="480" w:lineRule="auto"/>
        <w:rPr>
          <w:rFonts w:asciiTheme="majorHAnsi" w:hAnsiTheme="majorHAnsi" w:cs="Times New Roman"/>
          <w:b/>
          <w:sz w:val="32"/>
          <w:szCs w:val="32"/>
        </w:rPr>
      </w:pPr>
      <w:r w:rsidRPr="00B97A8C">
        <w:rPr>
          <w:rFonts w:asciiTheme="majorHAnsi" w:hAnsiTheme="majorHAnsi" w:cs="Times New Roman"/>
          <w:b/>
        </w:rPr>
        <w:t>Supplementary appendix</w:t>
      </w:r>
    </w:p>
    <w:p w14:paraId="107E6E9F" w14:textId="77777777" w:rsidR="0059410B" w:rsidRPr="00B97A8C" w:rsidRDefault="0059410B" w:rsidP="0059410B">
      <w:pPr>
        <w:spacing w:line="480" w:lineRule="auto"/>
        <w:rPr>
          <w:rFonts w:asciiTheme="majorHAnsi" w:hAnsiTheme="majorHAnsi" w:cs="Times New Roman"/>
          <w:b/>
          <w:sz w:val="20"/>
          <w:szCs w:val="20"/>
        </w:rPr>
      </w:pPr>
      <w:r w:rsidRPr="00B97A8C">
        <w:rPr>
          <w:rFonts w:asciiTheme="majorHAnsi" w:hAnsiTheme="majorHAnsi" w:cs="Times New Roman"/>
          <w:b/>
          <w:sz w:val="20"/>
          <w:szCs w:val="20"/>
        </w:rPr>
        <w:t>Pulmonary function tests:</w:t>
      </w:r>
    </w:p>
    <w:p w14:paraId="5D667824" w14:textId="77777777" w:rsidR="0059410B" w:rsidRP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t xml:space="preserve">Pulmonary function tests were analyzed if performed within 3 months of the corresponding HRCT scan. Spirometry (Jaeger Master screen PFT, Carefusion Ltd., Warwick, UK), plethysmographic lung volumes (Jaeger Master screen Body, Carefusion Ltd., Warwick, UK), and diffusion capacity for carbon monoxide (DLco) (Jaeger Master screen PFT, Carefusion Ltd., Warwick. UK) were used to measure pulmonary function according to established protocols </w:t>
      </w:r>
      <w:hyperlink w:anchor="_ENREF_1" w:tooltip="Quanjer, 1993 #7891" w:history="1">
        <w:r w:rsidR="0053340B" w:rsidRPr="00B97A8C">
          <w:rPr>
            <w:rFonts w:asciiTheme="majorHAnsi" w:hAnsiTheme="majorHAnsi" w:cs="Times New Roman"/>
            <w:sz w:val="20"/>
            <w:szCs w:val="20"/>
          </w:rPr>
          <w:fldChar w:fldCharType="begin"/>
        </w:r>
        <w:r w:rsidR="0053340B" w:rsidRPr="00B97A8C">
          <w:rPr>
            <w:rFonts w:asciiTheme="majorHAnsi" w:hAnsiTheme="majorHAnsi" w:cs="Times New Roman"/>
            <w:sz w:val="20"/>
            <w:szCs w:val="20"/>
          </w:rPr>
          <w:instrText xml:space="preserve"> ADDIN EN.CITE &lt;EndNote&gt;&lt;Cite&gt;&lt;Author&gt;Quanjer&lt;/Author&gt;&lt;Year&gt;1993&lt;/Year&gt;&lt;RecNum&gt;7891&lt;/RecNum&gt;&lt;DisplayText&gt;&lt;style face="superscript"&gt;1&lt;/style&gt;&lt;/DisplayText&gt;&lt;record&gt;&lt;rec-number&gt;7891&lt;/rec-number&gt;&lt;foreign-keys&gt;&lt;key app="EN" db-id="wzxw9vza5wewrueww0dx5t0od2rprfsr559t"&gt;7891&lt;/key&gt;&lt;/foreign-keys&gt;&lt;ref-type name="Journal Article"&gt;17&lt;/ref-type&gt;&lt;contributors&gt;&lt;authors&gt;&lt;author&gt;Quanjer, P. H.&lt;/author&gt;&lt;/authors&gt;&lt;/contributors&gt;&lt;titles&gt;&lt;title&gt;Standardized lung function testing&lt;/title&gt;&lt;secondary-title&gt;Eur Respir J - Suppl&lt;/secondary-title&gt;&lt;/titles&gt;&lt;periodical&gt;&lt;full-title&gt;Eur Respir J - Suppl&lt;/full-title&gt;&lt;/periodical&gt;&lt;pages&gt;1-100&lt;/pages&gt;&lt;volume&gt;6&lt;/volume&gt;&lt;reprint-edition&gt;NOT IN FILE&lt;/reprint-edition&gt;&lt;keywords&gt;&lt;keyword&gt;LFT&lt;/keyword&gt;&lt;keyword&gt;Lung&lt;/keyword&gt;&lt;keyword&gt;normal&lt;/keyword&gt;&lt;keyword&gt;Physiology&lt;/keyword&gt;&lt;keyword&gt;Quantitation&lt;/keyword&gt;&lt;/keywords&gt;&lt;dates&gt;&lt;year&gt;1993&lt;/year&gt;&lt;/dates&gt;&lt;urls&gt;&lt;/urls&gt;&lt;/record&gt;&lt;/Cite&gt;&lt;/EndNote&gt;</w:instrText>
        </w:r>
        <w:r w:rsidR="0053340B" w:rsidRPr="00B97A8C">
          <w:rPr>
            <w:rFonts w:asciiTheme="majorHAnsi" w:hAnsiTheme="majorHAnsi" w:cs="Times New Roman"/>
            <w:sz w:val="20"/>
            <w:szCs w:val="20"/>
          </w:rPr>
          <w:fldChar w:fldCharType="separate"/>
        </w:r>
        <w:r w:rsidR="0053340B" w:rsidRPr="00B97A8C">
          <w:rPr>
            <w:rFonts w:asciiTheme="majorHAnsi" w:hAnsiTheme="majorHAnsi" w:cs="Times New Roman"/>
            <w:noProof/>
            <w:sz w:val="20"/>
            <w:szCs w:val="20"/>
            <w:vertAlign w:val="superscript"/>
          </w:rPr>
          <w:t>1</w:t>
        </w:r>
        <w:r w:rsidR="0053340B" w:rsidRPr="00B97A8C">
          <w:rPr>
            <w:rFonts w:asciiTheme="majorHAnsi" w:hAnsiTheme="majorHAnsi" w:cs="Times New Roman"/>
            <w:sz w:val="20"/>
            <w:szCs w:val="20"/>
          </w:rPr>
          <w:fldChar w:fldCharType="end"/>
        </w:r>
      </w:hyperlink>
      <w:r w:rsidRPr="00B97A8C">
        <w:rPr>
          <w:rFonts w:asciiTheme="majorHAnsi" w:hAnsiTheme="majorHAnsi" w:cs="Times New Roman"/>
          <w:sz w:val="20"/>
          <w:szCs w:val="20"/>
        </w:rPr>
        <w:t>.Parameters assessed included: forced expiratory volume in one second (FEV</w:t>
      </w:r>
      <w:r w:rsidRPr="00B97A8C">
        <w:rPr>
          <w:rFonts w:asciiTheme="majorHAnsi" w:hAnsiTheme="majorHAnsi" w:cs="Times New Roman"/>
          <w:sz w:val="20"/>
          <w:szCs w:val="20"/>
          <w:vertAlign w:val="subscript"/>
        </w:rPr>
        <w:t>1</w:t>
      </w:r>
      <w:r w:rsidRPr="00B97A8C">
        <w:rPr>
          <w:rFonts w:asciiTheme="majorHAnsi" w:hAnsiTheme="majorHAnsi" w:cs="Times New Roman"/>
          <w:sz w:val="20"/>
          <w:szCs w:val="20"/>
        </w:rPr>
        <w:t>), forced vital capacity (FVC), total lung capacity (TLC), carbon monoxide transfer coefficient (Kco), and single breath carbon monoxide diffusing capacity corrected for hemoglobin concentration (DLco). Pulmonary function tests results were expressed as percent predicted values using the patient’s age, sex, race, and height. The composite physiological index (CPI) was calculated using the formula: 91·0 - (0·65 x % predicted DLco) - (0·53 x % predicted FVC) + (0·34 x % predicted FEV</w:t>
      </w:r>
      <w:r w:rsidRPr="00B97A8C">
        <w:rPr>
          <w:rFonts w:asciiTheme="majorHAnsi" w:hAnsiTheme="majorHAnsi" w:cs="Times New Roman"/>
          <w:sz w:val="20"/>
          <w:szCs w:val="20"/>
          <w:vertAlign w:val="subscript"/>
        </w:rPr>
        <w:t>1</w:t>
      </w:r>
      <w:r w:rsidRPr="00B97A8C">
        <w:rPr>
          <w:rFonts w:asciiTheme="majorHAnsi" w:hAnsiTheme="majorHAnsi" w:cs="Times New Roman"/>
          <w:sz w:val="20"/>
          <w:szCs w:val="20"/>
        </w:rPr>
        <w:t xml:space="preserve">) </w:t>
      </w:r>
      <w:hyperlink w:anchor="_ENREF_2" w:tooltip="Wells, 2003 #10399" w:history="1">
        <w:r w:rsidR="0053340B" w:rsidRPr="00B97A8C">
          <w:rPr>
            <w:rFonts w:asciiTheme="majorHAnsi" w:hAnsiTheme="majorHAnsi" w:cs="Times New Roman"/>
            <w:sz w:val="20"/>
            <w:szCs w:val="20"/>
          </w:rPr>
          <w:fldChar w:fldCharType="begin"/>
        </w:r>
        <w:r w:rsidR="0053340B" w:rsidRPr="00B97A8C">
          <w:rPr>
            <w:rFonts w:asciiTheme="majorHAnsi" w:hAnsiTheme="majorHAnsi" w:cs="Times New Roman"/>
            <w:sz w:val="20"/>
            <w:szCs w:val="20"/>
          </w:rPr>
          <w:instrText xml:space="preserve"> ADDIN EN.CITE &lt;EndNote&gt;&lt;Cite&gt;&lt;Author&gt;Wells&lt;/Author&gt;&lt;Year&gt;2003&lt;/Year&gt;&lt;RecNum&gt;10399&lt;/RecNum&gt;&lt;DisplayText&gt;&lt;style face="superscript"&gt;2&lt;/style&gt;&lt;/DisplayText&gt;&lt;record&gt;&lt;rec-number&gt;10399&lt;/rec-number&gt;&lt;foreign-keys&gt;&lt;key app="EN" db-id="wzxw9vza5wewrueww0dx5t0od2rprfsr559t"&gt;10399&lt;/key&gt;&lt;/foreign-keys&gt;&lt;ref-type name="Journal Article"&gt;17&lt;/ref-type&gt;&lt;contributors&gt;&lt;authors&gt;&lt;author&gt;Wells, A. U.&lt;/author&gt;&lt;author&gt;Desai, S. R.&lt;/author&gt;&lt;author&gt;Rubens, M. B.&lt;/author&gt;&lt;author&gt;Goh, N. S.&lt;/author&gt;&lt;author&gt;Cramer, D.&lt;/author&gt;&lt;author&gt;Nicholson, A. G.&lt;/author&gt;&lt;author&gt;Colby, T. V.&lt;/author&gt;&lt;author&gt;Du Bois, R. M.&lt;/author&gt;&lt;author&gt;Hansell, D. M.&lt;/author&gt;&lt;/authors&gt;&lt;/contributors&gt;&lt;auth-address&gt;Department of Radiology, Royal Brompton Hospital, Interstitial Lung Disease Unit, Emmanuel Kaye Building, Manresa Road, Chelsea, London SW6 LR6, UK. a.wells@rbh.nthames.nhs.uk&lt;/auth-address&gt;&lt;titles&gt;&lt;title&gt;Idiopathic pulmonary fibrosis: a composite physiologic index derived from disease extent observed by computed tomography&lt;/title&gt;&lt;secondary-title&gt;American Journal of Respiratory and Critical Care Medicine&lt;/secondary-title&gt;&lt;/titles&gt;&lt;periodical&gt;&lt;full-title&gt;American Journal of Respiratory and Critical Care Medicine&lt;/full-title&gt;&lt;abbr-1&gt;Am. J. Respir. Crit. Care Med.&lt;/abbr-1&gt;&lt;abbr-2&gt;Am J Respir Crit Care Med&lt;/abbr-2&gt;&lt;abbr-3&gt;American Journal of Respiratory &amp;amp; Critical Care Medicine&lt;/abbr-3&gt;&lt;/periodical&gt;&lt;pages&gt;962-969&lt;/pages&gt;&lt;volume&gt;167&lt;/volume&gt;&lt;reprint-edition&gt;NOT IN FILE&lt;/reprint-edition&gt;&lt;keywords&gt;&lt;keyword&gt;Carbon Monoxide&lt;/keyword&gt;&lt;keyword&gt;Clinical&lt;/keyword&gt;&lt;keyword&gt;CT&lt;/keyword&gt;&lt;keyword&gt;diagnosis&lt;/keyword&gt;&lt;keyword&gt;Emphysema&lt;/keyword&gt;&lt;keyword&gt;Fibrosis&lt;/keyword&gt;&lt;keyword&gt;Lung&lt;/keyword&gt;&lt;keyword&gt;mortality&lt;/keyword&gt;&lt;keyword&gt;Patients&lt;/keyword&gt;&lt;keyword&gt;Pneumonia&lt;/keyword&gt;&lt;keyword&gt;pulmonary&lt;/keyword&gt;&lt;keyword&gt;Pulmonary Fibrosis&lt;/keyword&gt;&lt;keyword&gt;Quantitation&lt;/keyword&gt;&lt;keyword&gt;radiology&lt;/keyword&gt;&lt;/keywords&gt;&lt;dates&gt;&lt;year&gt;2003&lt;/year&gt;&lt;/dates&gt;&lt;urls&gt;&lt;/urls&gt;&lt;/record&gt;&lt;/Cite&gt;&lt;/EndNote&gt;</w:instrText>
        </w:r>
        <w:r w:rsidR="0053340B" w:rsidRPr="00B97A8C">
          <w:rPr>
            <w:rFonts w:asciiTheme="majorHAnsi" w:hAnsiTheme="majorHAnsi" w:cs="Times New Roman"/>
            <w:sz w:val="20"/>
            <w:szCs w:val="20"/>
          </w:rPr>
          <w:fldChar w:fldCharType="separate"/>
        </w:r>
        <w:r w:rsidR="0053340B" w:rsidRPr="00B97A8C">
          <w:rPr>
            <w:rFonts w:asciiTheme="majorHAnsi" w:hAnsiTheme="majorHAnsi" w:cs="Times New Roman"/>
            <w:noProof/>
            <w:sz w:val="20"/>
            <w:szCs w:val="20"/>
            <w:vertAlign w:val="superscript"/>
          </w:rPr>
          <w:t>2</w:t>
        </w:r>
        <w:r w:rsidR="0053340B" w:rsidRPr="00B97A8C">
          <w:rPr>
            <w:rFonts w:asciiTheme="majorHAnsi" w:hAnsiTheme="majorHAnsi" w:cs="Times New Roman"/>
            <w:sz w:val="20"/>
            <w:szCs w:val="20"/>
          </w:rPr>
          <w:fldChar w:fldCharType="end"/>
        </w:r>
      </w:hyperlink>
      <w:r w:rsidRPr="00B97A8C">
        <w:rPr>
          <w:rFonts w:asciiTheme="majorHAnsi" w:hAnsiTheme="majorHAnsi" w:cs="Times New Roman"/>
          <w:sz w:val="20"/>
          <w:szCs w:val="20"/>
        </w:rPr>
        <w:t>.</w:t>
      </w:r>
    </w:p>
    <w:p w14:paraId="3F1BE7A0" w14:textId="77777777" w:rsidR="0059410B" w:rsidRPr="00B97A8C" w:rsidRDefault="0059410B" w:rsidP="0059410B">
      <w:pPr>
        <w:spacing w:line="480" w:lineRule="auto"/>
        <w:rPr>
          <w:rFonts w:asciiTheme="majorHAnsi" w:hAnsiTheme="majorHAnsi" w:cs="Times New Roman"/>
          <w:sz w:val="20"/>
          <w:szCs w:val="20"/>
        </w:rPr>
      </w:pPr>
    </w:p>
    <w:p w14:paraId="2C91CA34" w14:textId="77777777" w:rsidR="0059410B" w:rsidRPr="00B97A8C" w:rsidRDefault="0059410B" w:rsidP="0059410B">
      <w:pPr>
        <w:spacing w:line="480" w:lineRule="auto"/>
        <w:rPr>
          <w:rFonts w:asciiTheme="majorHAnsi" w:hAnsiTheme="majorHAnsi" w:cs="Times New Roman"/>
          <w:b/>
          <w:sz w:val="20"/>
          <w:szCs w:val="20"/>
        </w:rPr>
      </w:pPr>
      <w:r w:rsidRPr="00B97A8C">
        <w:rPr>
          <w:rFonts w:asciiTheme="majorHAnsi" w:hAnsiTheme="majorHAnsi" w:cs="Times New Roman"/>
          <w:b/>
          <w:sz w:val="20"/>
          <w:szCs w:val="20"/>
        </w:rPr>
        <w:t>Echocardiography</w:t>
      </w:r>
    </w:p>
    <w:p w14:paraId="70070800" w14:textId="77777777" w:rsidR="0059410B" w:rsidRP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t>Right ventricular systolic pressure was calculated using the modified Bernoulli equation and was considered to be equal to the transtricuspid gradient + right atrial pressure, where the transtricuspid gradient = 4V</w:t>
      </w:r>
      <w:r w:rsidRPr="00B97A8C">
        <w:rPr>
          <w:rFonts w:asciiTheme="majorHAnsi" w:hAnsiTheme="majorHAnsi" w:cs="Times New Roman"/>
          <w:sz w:val="20"/>
          <w:szCs w:val="20"/>
          <w:vertAlign w:val="superscript"/>
        </w:rPr>
        <w:t>2</w:t>
      </w:r>
      <w:r w:rsidRPr="00B97A8C">
        <w:rPr>
          <w:rFonts w:asciiTheme="majorHAnsi" w:hAnsiTheme="majorHAnsi" w:cs="Times New Roman"/>
          <w:sz w:val="20"/>
          <w:szCs w:val="20"/>
        </w:rPr>
        <w:t xml:space="preserve"> (where v is equal to the peak velocity of tricuspid regurgitation in meters per second).</w:t>
      </w:r>
      <w:hyperlink w:anchor="_ENREF_3" w:tooltip="Yock, 1984 #11343" w:history="1">
        <w:r w:rsidR="0053340B" w:rsidRPr="00B97A8C">
          <w:rPr>
            <w:rFonts w:asciiTheme="majorHAnsi" w:hAnsiTheme="majorHAnsi" w:cs="Times New Roman"/>
            <w:sz w:val="20"/>
            <w:szCs w:val="20"/>
          </w:rPr>
          <w:fldChar w:fldCharType="begin"/>
        </w:r>
        <w:r w:rsidR="0053340B" w:rsidRPr="00B97A8C">
          <w:rPr>
            <w:rFonts w:asciiTheme="majorHAnsi" w:hAnsiTheme="majorHAnsi" w:cs="Times New Roman"/>
            <w:sz w:val="20"/>
            <w:szCs w:val="20"/>
          </w:rPr>
          <w:instrText xml:space="preserve"> ADDIN EN.CITE &lt;EndNote&gt;&lt;Cite&gt;&lt;Author&gt;Yock&lt;/Author&gt;&lt;Year&gt;1984&lt;/Year&gt;&lt;RecNum&gt;11343&lt;/RecNum&gt;&lt;DisplayText&gt;&lt;style face="superscript"&gt;3&lt;/style&gt;&lt;/DisplayText&gt;&lt;record&gt;&lt;rec-number&gt;11343&lt;/rec-number&gt;&lt;foreign-keys&gt;&lt;key app="EN" db-id="wzxw9vza5wewrueww0dx5t0od2rprfsr559t"&gt;11343&lt;/key&gt;&lt;/foreign-keys&gt;&lt;ref-type name="Journal Article"&gt;17&lt;/ref-type&gt;&lt;contributors&gt;&lt;authors&gt;&lt;author&gt;Yock, P G&lt;/author&gt;&lt;author&gt;Popp, R L&lt;/author&gt;&lt;/authors&gt;&lt;/contributors&gt;&lt;titles&gt;&lt;title&gt;Noninvasive estimation of right ventricular systolic pressure by Doppler ultrasound in patients with tricuspid regurgitation&lt;/title&gt;&lt;secondary-title&gt;Circulation&lt;/secondary-title&gt;&lt;/titles&gt;&lt;periodical&gt;&lt;full-title&gt;Circulation&lt;/full-title&gt;&lt;abbr-1&gt;Circulation&lt;/abbr-1&gt;&lt;abbr-2&gt;Circulation&lt;/abbr-2&gt;&lt;/periodical&gt;&lt;pages&gt;657-62&lt;/pages&gt;&lt;volume&gt;70&lt;/volume&gt;&lt;number&gt;4&lt;/number&gt;&lt;dates&gt;&lt;year&gt;1984&lt;/year&gt;&lt;/dates&gt;&lt;urls&gt;&lt;related-urls&gt;&lt;url&gt;http://circ.ahajournals.org/content/70/4/657.abstract&lt;/url&gt;&lt;/related-urls&gt;&lt;/urls&gt;&lt;electronic-resource-num&gt;10.1161/01.cir.70.4.657&lt;/electronic-resource-num&gt;&lt;/record&gt;&lt;/Cite&gt;&lt;/EndNote&gt;</w:instrText>
        </w:r>
        <w:r w:rsidR="0053340B" w:rsidRPr="00B97A8C">
          <w:rPr>
            <w:rFonts w:asciiTheme="majorHAnsi" w:hAnsiTheme="majorHAnsi" w:cs="Times New Roman"/>
            <w:sz w:val="20"/>
            <w:szCs w:val="20"/>
          </w:rPr>
          <w:fldChar w:fldCharType="separate"/>
        </w:r>
        <w:r w:rsidR="0053340B" w:rsidRPr="00B97A8C">
          <w:rPr>
            <w:rFonts w:asciiTheme="majorHAnsi" w:hAnsiTheme="majorHAnsi" w:cs="Times New Roman"/>
            <w:noProof/>
            <w:sz w:val="20"/>
            <w:szCs w:val="20"/>
            <w:vertAlign w:val="superscript"/>
          </w:rPr>
          <w:t>3</w:t>
        </w:r>
        <w:r w:rsidR="0053340B" w:rsidRPr="00B97A8C">
          <w:rPr>
            <w:rFonts w:asciiTheme="majorHAnsi" w:hAnsiTheme="majorHAnsi" w:cs="Times New Roman"/>
            <w:sz w:val="20"/>
            <w:szCs w:val="20"/>
          </w:rPr>
          <w:fldChar w:fldCharType="end"/>
        </w:r>
      </w:hyperlink>
      <w:r w:rsidRPr="00B97A8C">
        <w:rPr>
          <w:rFonts w:asciiTheme="majorHAnsi" w:hAnsiTheme="majorHAnsi" w:cs="Times New Roman"/>
          <w:sz w:val="20"/>
          <w:szCs w:val="20"/>
        </w:rPr>
        <w:t xml:space="preserve"> The right atrial pressure was calculated as 5mmHg unless there were indications of functional impairment. A threshold of &gt;50mmHg was considered to represent pulmonary hypertension. </w:t>
      </w:r>
      <w:hyperlink w:anchor="_ENREF_4" w:tooltip="Bossone, 2013 #11342" w:history="1">
        <w:r w:rsidR="0053340B" w:rsidRPr="00B97A8C">
          <w:rPr>
            <w:rFonts w:asciiTheme="majorHAnsi" w:hAnsiTheme="majorHAnsi" w:cs="Times New Roman"/>
            <w:sz w:val="20"/>
            <w:szCs w:val="20"/>
          </w:rPr>
          <w:fldChar w:fldCharType="begin"/>
        </w:r>
        <w:r w:rsidR="0053340B" w:rsidRPr="00B97A8C">
          <w:rPr>
            <w:rFonts w:asciiTheme="majorHAnsi" w:hAnsiTheme="majorHAnsi" w:cs="Times New Roman"/>
            <w:sz w:val="20"/>
            <w:szCs w:val="20"/>
          </w:rPr>
          <w:instrText xml:space="preserve"> ADDIN EN.CITE &lt;EndNote&gt;&lt;Cite&gt;&lt;Author&gt;Bossone&lt;/Author&gt;&lt;Year&gt;2013&lt;/Year&gt;&lt;RecNum&gt;11342&lt;/RecNum&gt;&lt;DisplayText&gt;&lt;style face="superscript"&gt;4&lt;/style&gt;&lt;/DisplayText&gt;&lt;record&gt;&lt;rec-number&gt;11342&lt;/rec-number&gt;&lt;foreign-keys&gt;&lt;key app="EN" db-id="wzxw9vza5wewrueww0dx5t0od2rprfsr559t"&gt;11342&lt;/key&gt;&lt;/foreign-keys&gt;&lt;ref-type name="Journal Article"&gt;17&lt;/ref-type&gt;&lt;contributors&gt;&lt;authors&gt;&lt;author&gt;Bossone, Eduardo&lt;/author&gt;&lt;author&gt;D’Andrea, Antonello&lt;/author&gt;&lt;author&gt;D’Alto, Michele&lt;/author&gt;&lt;author&gt;Citro, Rodolfo&lt;/author&gt;&lt;author&gt;Argiento, Paola&lt;/author&gt;&lt;author&gt;Ferrara, Francesco&lt;/author&gt;&lt;author&gt;Cittadini, Antonio&lt;/author&gt;&lt;author&gt;Rubenfire, Melvyn&lt;/author&gt;&lt;author&gt;Naeije, Robert&lt;/author&gt;&lt;/authors&gt;&lt;/contributors&gt;&lt;titles&gt;&lt;title&gt;Echocardiography in pulmonary arterial hypertension: from diagnosis to prognosis&lt;/title&gt;&lt;secondary-title&gt;Journal of the American Society of Echocardiography&lt;/secondary-title&gt;&lt;/titles&gt;&lt;periodical&gt;&lt;full-title&gt;Journal of the American Society of Echocardiography&lt;/full-title&gt;&lt;abbr-1&gt;J. Am. Soc. Echocardiogr.&lt;/abbr-1&gt;&lt;abbr-2&gt;J Am Soc Echocardiogr&lt;/abbr-2&gt;&lt;/periodical&gt;&lt;pages&gt;1-14&lt;/pages&gt;&lt;volume&gt;26&lt;/volume&gt;&lt;number&gt;1&lt;/number&gt;&lt;dates&gt;&lt;year&gt;2013&lt;/year&gt;&lt;/dates&gt;&lt;publisher&gt;Elsevier&lt;/publisher&gt;&lt;isbn&gt;0894-7317&lt;/isbn&gt;&lt;urls&gt;&lt;related-urls&gt;&lt;url&gt;http://dx.doi.org/10.1016/j.echo.2012.10.009&lt;/url&gt;&lt;/related-urls&gt;&lt;/urls&gt;&lt;electronic-resource-num&gt;10.1016/j.echo.2012.10.009&lt;/electronic-resource-num&gt;&lt;access-date&gt;2016/01/24&lt;/access-date&gt;&lt;/record&gt;&lt;/Cite&gt;&lt;/EndNote&gt;</w:instrText>
        </w:r>
        <w:r w:rsidR="0053340B" w:rsidRPr="00B97A8C">
          <w:rPr>
            <w:rFonts w:asciiTheme="majorHAnsi" w:hAnsiTheme="majorHAnsi" w:cs="Times New Roman"/>
            <w:sz w:val="20"/>
            <w:szCs w:val="20"/>
          </w:rPr>
          <w:fldChar w:fldCharType="separate"/>
        </w:r>
        <w:r w:rsidR="0053340B" w:rsidRPr="00B97A8C">
          <w:rPr>
            <w:rFonts w:asciiTheme="majorHAnsi" w:hAnsiTheme="majorHAnsi" w:cs="Times New Roman"/>
            <w:noProof/>
            <w:sz w:val="20"/>
            <w:szCs w:val="20"/>
            <w:vertAlign w:val="superscript"/>
          </w:rPr>
          <w:t>4</w:t>
        </w:r>
        <w:r w:rsidR="0053340B" w:rsidRPr="00B97A8C">
          <w:rPr>
            <w:rFonts w:asciiTheme="majorHAnsi" w:hAnsiTheme="majorHAnsi" w:cs="Times New Roman"/>
            <w:sz w:val="20"/>
            <w:szCs w:val="20"/>
          </w:rPr>
          <w:fldChar w:fldCharType="end"/>
        </w:r>
      </w:hyperlink>
    </w:p>
    <w:p w14:paraId="58CAE368" w14:textId="77777777" w:rsidR="0059410B" w:rsidRPr="00B97A8C" w:rsidRDefault="0059410B" w:rsidP="0059410B">
      <w:pPr>
        <w:spacing w:line="480" w:lineRule="auto"/>
        <w:rPr>
          <w:rFonts w:asciiTheme="majorHAnsi" w:hAnsiTheme="majorHAnsi" w:cs="Times New Roman"/>
          <w:sz w:val="20"/>
          <w:szCs w:val="20"/>
        </w:rPr>
      </w:pPr>
    </w:p>
    <w:p w14:paraId="7A82ECE9" w14:textId="77777777" w:rsidR="0059410B" w:rsidRPr="00B97A8C" w:rsidRDefault="0059410B" w:rsidP="0059410B">
      <w:pPr>
        <w:spacing w:line="480" w:lineRule="auto"/>
        <w:rPr>
          <w:rFonts w:asciiTheme="majorHAnsi" w:hAnsiTheme="majorHAnsi" w:cs="Times New Roman"/>
          <w:b/>
          <w:sz w:val="20"/>
          <w:szCs w:val="20"/>
        </w:rPr>
      </w:pPr>
      <w:r w:rsidRPr="00B97A8C">
        <w:rPr>
          <w:rFonts w:asciiTheme="majorHAnsi" w:hAnsiTheme="majorHAnsi" w:cs="Times New Roman"/>
          <w:b/>
          <w:sz w:val="20"/>
          <w:szCs w:val="20"/>
        </w:rPr>
        <w:t>CT protocol</w:t>
      </w:r>
    </w:p>
    <w:p w14:paraId="0BC7A893" w14:textId="77777777" w:rsidR="0059410B" w:rsidRP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t xml:space="preserve">The CT scans were obtained using a 64-slice multiple detector CT scanner (Somatom Sensation 64, Siemens, Erlangen, Germany) or a 4-slice multiple detector CT scanner (Siemens Volume Zoom, Siemens, Erlangen, Germany. To satisfy requirements for processing by the CALIPER algorithm, all scans were reconstructed using a high spatial frequency, B70 kernel (Siemens, Munich, Germany). All patients were scanned from lung apices to bases, supine, at full inspiration, with 1.0mm section thicknesses using a peak voltage of 120kVp with tube current modulation. Images were viewed at </w:t>
      </w:r>
      <w:r w:rsidRPr="00B97A8C">
        <w:rPr>
          <w:rFonts w:asciiTheme="majorHAnsi" w:hAnsiTheme="majorHAnsi" w:cs="Times New Roman"/>
          <w:sz w:val="20"/>
          <w:szCs w:val="20"/>
        </w:rPr>
        <w:lastRenderedPageBreak/>
        <w:t>window settings optimized for the assessment of the lung parenchyma (width 1500 H.U.; level -500 H.U.).</w:t>
      </w:r>
    </w:p>
    <w:p w14:paraId="059AC1AF" w14:textId="77777777" w:rsidR="0059410B" w:rsidRPr="00B97A8C" w:rsidRDefault="0059410B" w:rsidP="0059410B">
      <w:pPr>
        <w:spacing w:line="480" w:lineRule="auto"/>
        <w:rPr>
          <w:rFonts w:asciiTheme="majorHAnsi" w:hAnsiTheme="majorHAnsi" w:cs="Times New Roman"/>
          <w:sz w:val="20"/>
          <w:szCs w:val="20"/>
        </w:rPr>
      </w:pPr>
    </w:p>
    <w:p w14:paraId="1D05057B" w14:textId="77777777" w:rsidR="0059410B" w:rsidRPr="00B97A8C" w:rsidRDefault="0059410B" w:rsidP="0059410B">
      <w:pPr>
        <w:spacing w:line="480" w:lineRule="auto"/>
        <w:rPr>
          <w:rFonts w:asciiTheme="majorHAnsi" w:hAnsiTheme="majorHAnsi" w:cs="Times New Roman"/>
          <w:b/>
          <w:sz w:val="20"/>
          <w:szCs w:val="20"/>
        </w:rPr>
      </w:pPr>
      <w:r w:rsidRPr="00B97A8C">
        <w:rPr>
          <w:rFonts w:asciiTheme="majorHAnsi" w:hAnsiTheme="majorHAnsi" w:cs="Times New Roman"/>
          <w:b/>
          <w:sz w:val="20"/>
          <w:szCs w:val="20"/>
        </w:rPr>
        <w:t>CALIPER CT evaluation</w:t>
      </w:r>
    </w:p>
    <w:p w14:paraId="64B00E48" w14:textId="77777777" w:rsidR="0059410B" w:rsidRP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t xml:space="preserve">Data processing: Initial data processing steps involved extraction of the lung from the surrounding thoracic structures and segmentation into upper, middle and lower zones. Lung segmentation was performed with an adaptive density-based morphological approach </w:t>
      </w:r>
      <w:hyperlink w:anchor="_ENREF_5" w:tooltip="Hu, 2001 #11087" w:history="1">
        <w:r w:rsidR="0053340B" w:rsidRPr="00B97A8C">
          <w:rPr>
            <w:rFonts w:asciiTheme="majorHAnsi" w:hAnsiTheme="majorHAnsi" w:cs="Times New Roman"/>
            <w:sz w:val="20"/>
            <w:szCs w:val="20"/>
          </w:rPr>
          <w:fldChar w:fldCharType="begin">
            <w:fldData xml:space="preserve">PEVuZE5vdGU+PENpdGU+PEF1dGhvcj5IdTwvQXV0aG9yPjxZZWFyPjIwMDE8L1llYXI+PFJlY051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</w:fldData>
          </w:fldChar>
        </w:r>
        <w:r w:rsidR="0053340B" w:rsidRPr="00B97A8C">
          <w:rPr>
            <w:rFonts w:asciiTheme="majorHAnsi" w:hAnsiTheme="majorHAnsi" w:cs="Times New Roman"/>
            <w:sz w:val="20"/>
            <w:szCs w:val="20"/>
          </w:rPr>
          <w:instrText xml:space="preserve"> ADDIN EN.CITE </w:instrText>
        </w:r>
        <w:r w:rsidR="0053340B" w:rsidRPr="00B97A8C">
          <w:rPr>
            <w:rFonts w:asciiTheme="majorHAnsi" w:hAnsiTheme="majorHAnsi" w:cs="Times New Roman"/>
            <w:sz w:val="20"/>
            <w:szCs w:val="20"/>
          </w:rPr>
          <w:fldChar w:fldCharType="begin">
            <w:fldData xml:space="preserve">PEVuZE5vdGU+PENpdGU+PEF1dGhvcj5IdTwvQXV0aG9yPjxZZWFyPjIwMDE8L1llYXI+PFJlY051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</w:fldData>
          </w:fldChar>
        </w:r>
        <w:r w:rsidR="0053340B" w:rsidRPr="00B97A8C">
          <w:rPr>
            <w:rFonts w:asciiTheme="majorHAnsi" w:hAnsiTheme="majorHAnsi" w:cs="Times New Roman"/>
            <w:sz w:val="20"/>
            <w:szCs w:val="20"/>
          </w:rPr>
          <w:instrText xml:space="preserve"> ADDIN EN.CITE.DATA </w:instrText>
        </w:r>
        <w:r w:rsidR="0053340B" w:rsidRPr="00B97A8C">
          <w:rPr>
            <w:rFonts w:asciiTheme="majorHAnsi" w:hAnsiTheme="majorHAnsi" w:cs="Times New Roman"/>
            <w:sz w:val="20"/>
            <w:szCs w:val="20"/>
          </w:rPr>
        </w:r>
        <w:r w:rsidR="0053340B" w:rsidRPr="00B97A8C">
          <w:rPr>
            <w:rFonts w:asciiTheme="majorHAnsi" w:hAnsiTheme="majorHAnsi" w:cs="Times New Roman"/>
            <w:sz w:val="20"/>
            <w:szCs w:val="20"/>
          </w:rPr>
          <w:fldChar w:fldCharType="end"/>
        </w:r>
        <w:r w:rsidR="0053340B" w:rsidRPr="00B97A8C">
          <w:rPr>
            <w:rFonts w:asciiTheme="majorHAnsi" w:hAnsiTheme="majorHAnsi" w:cs="Times New Roman"/>
            <w:sz w:val="20"/>
            <w:szCs w:val="20"/>
          </w:rPr>
        </w:r>
        <w:r w:rsidR="0053340B" w:rsidRPr="00B97A8C">
          <w:rPr>
            <w:rFonts w:asciiTheme="majorHAnsi" w:hAnsiTheme="majorHAnsi" w:cs="Times New Roman"/>
            <w:sz w:val="20"/>
            <w:szCs w:val="20"/>
          </w:rPr>
          <w:fldChar w:fldCharType="separate"/>
        </w:r>
        <w:r w:rsidR="0053340B" w:rsidRPr="00B97A8C">
          <w:rPr>
            <w:rFonts w:asciiTheme="majorHAnsi" w:hAnsiTheme="majorHAnsi" w:cs="Times New Roman"/>
            <w:noProof/>
            <w:sz w:val="20"/>
            <w:szCs w:val="20"/>
            <w:vertAlign w:val="superscript"/>
          </w:rPr>
          <w:t>5</w:t>
        </w:r>
        <w:r w:rsidR="0053340B" w:rsidRPr="00B97A8C">
          <w:rPr>
            <w:rFonts w:asciiTheme="majorHAnsi" w:hAnsiTheme="majorHAnsi" w:cs="Times New Roman"/>
            <w:sz w:val="20"/>
            <w:szCs w:val="20"/>
          </w:rPr>
          <w:fldChar w:fldCharType="end"/>
        </w:r>
      </w:hyperlink>
      <w:r w:rsidRPr="00B97A8C">
        <w:rPr>
          <w:rFonts w:asciiTheme="majorHAnsi" w:hAnsiTheme="majorHAnsi" w:cs="Times New Roman"/>
          <w:sz w:val="20"/>
          <w:szCs w:val="20"/>
        </w:rPr>
        <w:t xml:space="preserve"> whilst airway segmentation involved iterative three-dimensional region growing, density thresholding (thresholds including -950HU and -960HU) and connected components analysis. Pulmonary vessels were extracted using optimized multi-scale tubular structure enhancement filters </w:t>
      </w:r>
      <w:hyperlink w:anchor="_ENREF_6" w:tooltip="Shikata, 2009 #11224" w:history="1">
        <w:r w:rsidR="0053340B" w:rsidRPr="00B97A8C">
          <w:rPr>
            <w:rFonts w:asciiTheme="majorHAnsi" w:hAnsiTheme="majorHAnsi" w:cs="Times New Roman"/>
            <w:sz w:val="20"/>
            <w:szCs w:val="20"/>
          </w:rPr>
          <w:fldChar w:fldCharType="begin"/>
        </w:r>
        <w:r w:rsidR="0053340B" w:rsidRPr="00B97A8C">
          <w:rPr>
            <w:rFonts w:asciiTheme="majorHAnsi" w:hAnsiTheme="majorHAnsi" w:cs="Times New Roman"/>
            <w:sz w:val="20"/>
            <w:szCs w:val="20"/>
          </w:rPr>
          <w:instrText xml:space="preserve"> ADDIN EN.CITE &lt;EndNote&gt;&lt;Cite&gt;&lt;Author&gt;Shikata&lt;/Author&gt;&lt;Year&gt;2009&lt;/Year&gt;&lt;RecNum&gt;11224&lt;/RecNum&gt;&lt;DisplayText&gt;&lt;style face="superscript"&gt;6&lt;/style&gt;&lt;/DisplayText&gt;&lt;record&gt;&lt;rec-number&gt;11224&lt;/rec-number&gt;&lt;foreign-keys&gt;&lt;key app="EN" db-id="wzxw9vza5wewrueww0dx5t0od2rprfsr559t"&gt;11224&lt;/key&gt;&lt;/foreign-keys&gt;&lt;ref-type name="Journal Article"&gt;17&lt;/ref-type&gt;&lt;contributors&gt;&lt;authors&gt;&lt;author&gt;Shikata, Hidenori&lt;/author&gt;&lt;author&gt;McLennan, Geoffrey&lt;/author&gt;&lt;author&gt;Hoffman, Eric A.&lt;/author&gt;&lt;author&gt;Sonka, Milan&lt;/author&gt;&lt;/authors&gt;&lt;/contributors&gt;&lt;titles&gt;&lt;title&gt;Segmentation of pulmonary vascular trees from thoracic 3D CT images&lt;/title&gt;&lt;secondary-title&gt;Int J Biomed Imaging&lt;/secondary-title&gt;&lt;/titles&gt;&lt;periodical&gt;&lt;full-title&gt;Int J Biomed Imaging&lt;/full-title&gt;&lt;/periodical&gt;&lt;pages&gt;11&lt;/pages&gt;&lt;dates&gt;&lt;year&gt;2009&lt;/year&gt;&lt;/dates&gt;&lt;urls&gt;&lt;related-urls&gt;&lt;url&gt;http://dx.doi.org/10.1155/2009/636240&lt;/url&gt;&lt;/related-urls&gt;&lt;/urls&gt;&lt;custom7&gt;636240&lt;/custom7&gt;&lt;electronic-resource-num&gt;10.1155/2009/636240&lt;/electronic-resource-num&gt;&lt;/record&gt;&lt;/Cite&gt;&lt;/EndNote&gt;</w:instrText>
        </w:r>
        <w:r w:rsidR="0053340B" w:rsidRPr="00B97A8C">
          <w:rPr>
            <w:rFonts w:asciiTheme="majorHAnsi" w:hAnsiTheme="majorHAnsi" w:cs="Times New Roman"/>
            <w:sz w:val="20"/>
            <w:szCs w:val="20"/>
          </w:rPr>
          <w:fldChar w:fldCharType="separate"/>
        </w:r>
        <w:r w:rsidR="0053340B" w:rsidRPr="00B97A8C">
          <w:rPr>
            <w:rFonts w:asciiTheme="majorHAnsi" w:hAnsiTheme="majorHAnsi" w:cs="Times New Roman"/>
            <w:noProof/>
            <w:sz w:val="20"/>
            <w:szCs w:val="20"/>
            <w:vertAlign w:val="superscript"/>
          </w:rPr>
          <w:t>6</w:t>
        </w:r>
        <w:r w:rsidR="0053340B" w:rsidRPr="00B97A8C">
          <w:rPr>
            <w:rFonts w:asciiTheme="majorHAnsi" w:hAnsiTheme="majorHAnsi" w:cs="Times New Roman"/>
            <w:sz w:val="20"/>
            <w:szCs w:val="20"/>
          </w:rPr>
          <w:fldChar w:fldCharType="end"/>
        </w:r>
      </w:hyperlink>
      <w:r w:rsidRPr="00B97A8C">
        <w:rPr>
          <w:rFonts w:asciiTheme="majorHAnsi" w:hAnsiTheme="majorHAnsi" w:cs="Times New Roman"/>
          <w:sz w:val="20"/>
          <w:szCs w:val="20"/>
        </w:rPr>
        <w:t xml:space="preserve">. </w:t>
      </w:r>
    </w:p>
    <w:p w14:paraId="5120CEC0" w14:textId="77777777" w:rsidR="0059410B" w:rsidRPr="00B97A8C" w:rsidRDefault="0059410B" w:rsidP="0059410B">
      <w:pPr>
        <w:spacing w:line="480" w:lineRule="auto"/>
        <w:rPr>
          <w:rFonts w:asciiTheme="majorHAnsi" w:hAnsiTheme="majorHAnsi" w:cs="Times New Roman"/>
          <w:sz w:val="20"/>
          <w:szCs w:val="20"/>
        </w:rPr>
      </w:pPr>
    </w:p>
    <w:p w14:paraId="72A8797C" w14:textId="77777777" w:rsidR="0059410B" w:rsidRP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t>Parenchymal tissue type classification was applied to 15x15x15 voxel volume units using texture analysis, computer vision-based image understanding of volumetric histogram signature mapping features and 3D morphology</w:t>
      </w:r>
      <w:hyperlink w:anchor="_ENREF_7" w:tooltip="Bartholmai, 2013 #11225" w:history="1">
        <w:r w:rsidR="0053340B" w:rsidRPr="00B97A8C">
          <w:rPr>
            <w:rFonts w:asciiTheme="majorHAnsi" w:hAnsiTheme="majorHAnsi" w:cs="Times New Roman"/>
            <w:sz w:val="20"/>
            <w:szCs w:val="20"/>
          </w:rPr>
          <w:fldChar w:fldCharType="begin"/>
        </w:r>
        <w:r w:rsidR="0053340B" w:rsidRPr="00B97A8C">
          <w:rPr>
            <w:rFonts w:asciiTheme="majorHAnsi" w:hAnsiTheme="majorHAnsi" w:cs="Times New Roman"/>
            <w:sz w:val="20"/>
            <w:szCs w:val="20"/>
          </w:rPr>
          <w:instrText xml:space="preserve"> ADDIN EN.CITE &lt;EndNote&gt;&lt;Cite&gt;&lt;Author&gt;Bartholmai&lt;/Author&gt;&lt;Year&gt;2013&lt;/Year&gt;&lt;RecNum&gt;11225&lt;/RecNum&gt;&lt;DisplayText&gt;&lt;style face="superscript"&gt;7&lt;/style&gt;&lt;/DisplayText&gt;&lt;record&gt;&lt;rec-number&gt;11225&lt;/rec-number&gt;&lt;foreign-keys&gt;&lt;key app="EN" db-id="wzxw9vza5wewrueww0dx5t0od2rprfsr559t"&gt;11225&lt;/key&gt;&lt;/foreign-keys&gt;&lt;ref-type name="Journal Article"&gt;17&lt;/ref-type&gt;&lt;contributors&gt;&lt;authors&gt;&lt;author&gt;Bartholmai, Brian J.&lt;/author&gt;&lt;author&gt;Raghunath, Sushravya&lt;/author&gt;&lt;author&gt;Karwoski, Ronald A.&lt;/author&gt;&lt;author&gt;Moua, Teng&lt;/author&gt;&lt;author&gt;Rajagopalan, Srinivasan&lt;/author&gt;&lt;author&gt;Maldonado, Fabien&lt;/author&gt;&lt;author&gt;Decker, Paul A.&lt;/author&gt;&lt;author&gt;Robb, Richard A.&lt;/author&gt;&lt;/authors&gt;&lt;/contributors&gt;&lt;titles&gt;&lt;title&gt;Quantitative CT imaging of interstitial lung diseases&lt;/title&gt;&lt;secondary-title&gt;Journal of Thoracic Imaging&lt;/secondary-title&gt;&lt;/titles&gt;&lt;periodical&gt;&lt;full-title&gt;Journal of Thoracic Imaging&lt;/full-title&gt;&lt;abbr-1&gt;J. Thorac. Imaging&lt;/abbr-1&gt;&lt;abbr-2&gt;J Thorac Imaging&lt;/abbr-2&gt;&lt;/periodical&gt;&lt;pages&gt;298-307&lt;/pages&gt;&lt;volume&gt;28&lt;/volume&gt;&lt;number&gt;5&lt;/number&gt;&lt;dates&gt;&lt;year&gt;2013&lt;/year&gt;&lt;/dates&gt;&lt;isbn&gt;0883-5993&amp;#xD;1536-0237&lt;/isbn&gt;&lt;urls&gt;&lt;related-urls&gt;&lt;url&gt;http://www.ncbi.nlm.nih.gov/pmc/articles/PMC3850512/&lt;/url&gt;&lt;/related-urls&gt;&lt;/urls&gt;&lt;remote-database-name&gt;PMC&lt;/remote-database-name&gt;&lt;/record&gt;&lt;/Cite&gt;&lt;/EndNote&gt;</w:instrText>
        </w:r>
        <w:r w:rsidR="0053340B" w:rsidRPr="00B97A8C">
          <w:rPr>
            <w:rFonts w:asciiTheme="majorHAnsi" w:hAnsiTheme="majorHAnsi" w:cs="Times New Roman"/>
            <w:sz w:val="20"/>
            <w:szCs w:val="20"/>
          </w:rPr>
          <w:fldChar w:fldCharType="separate"/>
        </w:r>
        <w:r w:rsidR="0053340B" w:rsidRPr="00B97A8C">
          <w:rPr>
            <w:rFonts w:asciiTheme="majorHAnsi" w:hAnsiTheme="majorHAnsi" w:cs="Times New Roman"/>
            <w:noProof/>
            <w:sz w:val="20"/>
            <w:szCs w:val="20"/>
            <w:vertAlign w:val="superscript"/>
          </w:rPr>
          <w:t>7</w:t>
        </w:r>
        <w:r w:rsidR="0053340B" w:rsidRPr="00B97A8C">
          <w:rPr>
            <w:rFonts w:asciiTheme="majorHAnsi" w:hAnsiTheme="majorHAnsi" w:cs="Times New Roman"/>
            <w:sz w:val="20"/>
            <w:szCs w:val="20"/>
          </w:rPr>
          <w:fldChar w:fldCharType="end"/>
        </w:r>
      </w:hyperlink>
      <w:r w:rsidRPr="00B97A8C">
        <w:rPr>
          <w:rFonts w:asciiTheme="majorHAnsi" w:hAnsiTheme="majorHAnsi" w:cs="Times New Roman"/>
          <w:sz w:val="20"/>
          <w:szCs w:val="20"/>
        </w:rPr>
        <w:t xml:space="preserve">. The CALIPER tool was trained by sub-specialty thoracic radiologist consensus assessment of pathologically confirmed datasets </w:t>
      </w:r>
      <w:r w:rsidRPr="00B97A8C">
        <w:rPr>
          <w:rFonts w:asciiTheme="majorHAnsi" w:hAnsiTheme="majorHAnsi" w:cs="Times New Roman"/>
          <w:sz w:val="20"/>
          <w:szCs w:val="20"/>
        </w:rPr>
        <w:fldChar w:fldCharType="begin">
          <w:fldData xml:space="preserve">PEVuZE5vdGU+PENpdGU+PEF1dGhvcj5CYXJ0aG9sbWFpPC9BdXRob3I+PFllYXI+MjAxMzwvWWVh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</w:fldData>
        </w:fldChar>
      </w:r>
      <w:r w:rsidR="0053340B" w:rsidRPr="00B97A8C">
        <w:rPr>
          <w:rFonts w:asciiTheme="majorHAnsi" w:hAnsiTheme="majorHAnsi" w:cs="Times New Roman"/>
          <w:sz w:val="20"/>
          <w:szCs w:val="20"/>
        </w:rPr>
        <w:instrText xml:space="preserve"> ADDIN EN.CITE </w:instrText>
      </w:r>
      <w:r w:rsidR="0053340B" w:rsidRPr="00B97A8C">
        <w:rPr>
          <w:rFonts w:asciiTheme="majorHAnsi" w:hAnsiTheme="majorHAnsi" w:cs="Times New Roman"/>
          <w:sz w:val="20"/>
          <w:szCs w:val="20"/>
        </w:rPr>
        <w:fldChar w:fldCharType="begin">
          <w:fldData xml:space="preserve">PEVuZE5vdGU+PENpdGU+PEF1dGhvcj5CYXJ0aG9sbWFpPC9BdXRob3I+PFllYXI+MjAxMzwvWWVh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</w:fldData>
        </w:fldChar>
      </w:r>
      <w:r w:rsidR="0053340B" w:rsidRPr="00B97A8C">
        <w:rPr>
          <w:rFonts w:asciiTheme="majorHAnsi" w:hAnsiTheme="majorHAnsi" w:cs="Times New Roman"/>
          <w:sz w:val="20"/>
          <w:szCs w:val="20"/>
        </w:rPr>
        <w:instrText xml:space="preserve"> ADDIN EN.CITE.DATA </w:instrText>
      </w:r>
      <w:r w:rsidR="0053340B" w:rsidRPr="00B97A8C">
        <w:rPr>
          <w:rFonts w:asciiTheme="majorHAnsi" w:hAnsiTheme="majorHAnsi" w:cs="Times New Roman"/>
          <w:sz w:val="20"/>
          <w:szCs w:val="20"/>
        </w:rPr>
      </w:r>
      <w:r w:rsidR="0053340B" w:rsidRPr="00B97A8C">
        <w:rPr>
          <w:rFonts w:asciiTheme="majorHAnsi" w:hAnsiTheme="majorHAnsi" w:cs="Times New Roman"/>
          <w:sz w:val="20"/>
          <w:szCs w:val="20"/>
        </w:rPr>
        <w:fldChar w:fldCharType="end"/>
      </w:r>
      <w:r w:rsidRPr="00B97A8C">
        <w:rPr>
          <w:rFonts w:asciiTheme="majorHAnsi" w:hAnsiTheme="majorHAnsi" w:cs="Times New Roman"/>
          <w:sz w:val="20"/>
          <w:szCs w:val="20"/>
        </w:rPr>
      </w:r>
      <w:r w:rsidRPr="00B97A8C">
        <w:rPr>
          <w:rFonts w:asciiTheme="majorHAnsi" w:hAnsiTheme="majorHAnsi" w:cs="Times New Roman"/>
          <w:sz w:val="20"/>
          <w:szCs w:val="20"/>
        </w:rPr>
        <w:fldChar w:fldCharType="separate"/>
      </w:r>
      <w:hyperlink w:anchor="_ENREF_7" w:tooltip="Bartholmai, 2013 #11225" w:history="1">
        <w:r w:rsidR="0053340B" w:rsidRPr="00B97A8C">
          <w:rPr>
            <w:rFonts w:asciiTheme="majorHAnsi" w:hAnsiTheme="majorHAnsi" w:cs="Times New Roman"/>
            <w:noProof/>
            <w:sz w:val="20"/>
            <w:szCs w:val="20"/>
            <w:vertAlign w:val="superscript"/>
          </w:rPr>
          <w:t>7</w:t>
        </w:r>
      </w:hyperlink>
      <w:r w:rsidR="0053340B" w:rsidRPr="00B97A8C">
        <w:rPr>
          <w:rFonts w:asciiTheme="majorHAnsi" w:hAnsiTheme="majorHAnsi" w:cs="Times New Roman"/>
          <w:noProof/>
          <w:sz w:val="20"/>
          <w:szCs w:val="20"/>
          <w:vertAlign w:val="superscript"/>
        </w:rPr>
        <w:t xml:space="preserve">, </w:t>
      </w:r>
      <w:hyperlink w:anchor="_ENREF_8" w:tooltip="Maldonado, 2014 #11090" w:history="1">
        <w:r w:rsidR="0053340B" w:rsidRPr="00B97A8C">
          <w:rPr>
            <w:rFonts w:asciiTheme="majorHAnsi" w:hAnsiTheme="majorHAnsi" w:cs="Times New Roman"/>
            <w:noProof/>
            <w:sz w:val="20"/>
            <w:szCs w:val="20"/>
            <w:vertAlign w:val="superscript"/>
          </w:rPr>
          <w:t>8</w:t>
        </w:r>
      </w:hyperlink>
      <w:r w:rsidRPr="00B97A8C">
        <w:rPr>
          <w:rFonts w:asciiTheme="majorHAnsi" w:hAnsiTheme="majorHAnsi" w:cs="Times New Roman"/>
          <w:sz w:val="20"/>
          <w:szCs w:val="20"/>
        </w:rPr>
        <w:fldChar w:fldCharType="end"/>
      </w:r>
      <w:r w:rsidRPr="00B97A8C">
        <w:rPr>
          <w:rFonts w:asciiTheme="majorHAnsi" w:hAnsiTheme="majorHAnsi" w:cs="Times New Roman"/>
          <w:sz w:val="20"/>
          <w:szCs w:val="20"/>
        </w:rPr>
        <w:t>.</w:t>
      </w:r>
    </w:p>
    <w:p w14:paraId="44496CCD" w14:textId="77777777" w:rsidR="0059410B" w:rsidRPr="00B97A8C" w:rsidRDefault="0059410B" w:rsidP="0059410B">
      <w:pPr>
        <w:spacing w:line="480" w:lineRule="auto"/>
        <w:rPr>
          <w:rFonts w:asciiTheme="majorHAnsi" w:hAnsiTheme="majorHAnsi" w:cs="Times New Roman"/>
          <w:sz w:val="20"/>
          <w:szCs w:val="20"/>
        </w:rPr>
      </w:pPr>
    </w:p>
    <w:p w14:paraId="4FDFDDE5" w14:textId="77777777" w:rsidR="0059410B" w:rsidRPr="00B97A8C" w:rsidRDefault="0059410B" w:rsidP="0059410B">
      <w:pPr>
        <w:spacing w:line="480" w:lineRule="auto"/>
        <w:rPr>
          <w:rFonts w:asciiTheme="majorHAnsi" w:hAnsiTheme="majorHAnsi" w:cs="Times New Roman"/>
          <w:b/>
          <w:sz w:val="20"/>
          <w:szCs w:val="20"/>
        </w:rPr>
      </w:pPr>
      <w:r w:rsidRPr="00B97A8C">
        <w:rPr>
          <w:rFonts w:asciiTheme="majorHAnsi" w:hAnsiTheme="majorHAnsi" w:cs="Times New Roman"/>
          <w:b/>
          <w:sz w:val="20"/>
          <w:szCs w:val="20"/>
        </w:rPr>
        <w:t>Visual CT evaluation</w:t>
      </w:r>
    </w:p>
    <w:p w14:paraId="5A5089D5" w14:textId="77777777" w:rsidR="0059410B" w:rsidRP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t xml:space="preserve">CTs were visually scored on a lobar basis using a continuous scale. The total interstitial lung disease (ILD) extent was initially estimated to the nearest 5%, then sub-classified into four patterns: reticular pattern, ground glass opacification, honeycombing and consolidation, using definitions from the Fleischner Society glossary of terms for thoracic imaging </w:t>
      </w:r>
      <w:hyperlink w:anchor="_ENREF_9" w:tooltip="Hansell, 2008 #3709" w:history="1">
        <w:r w:rsidR="0053340B" w:rsidRPr="00B97A8C">
          <w:rPr>
            <w:rFonts w:asciiTheme="majorHAnsi" w:hAnsiTheme="majorHAnsi" w:cs="Times New Roman"/>
            <w:sz w:val="20"/>
            <w:szCs w:val="20"/>
          </w:rPr>
          <w:fldChar w:fldCharType="begin"/>
        </w:r>
        <w:r w:rsidR="0053340B" w:rsidRPr="00B97A8C">
          <w:rPr>
            <w:rFonts w:asciiTheme="majorHAnsi" w:hAnsiTheme="majorHAnsi" w:cs="Times New Roman"/>
            <w:sz w:val="20"/>
            <w:szCs w:val="20"/>
          </w:rPr>
          <w:instrText xml:space="preserve"> ADDIN EN.CITE &lt;EndNote&gt;&lt;Cite&gt;&lt;Author&gt;Hansell&lt;/Author&gt;&lt;Year&gt;2008&lt;/Year&gt;&lt;RecNum&gt;3709&lt;/RecNum&gt;&lt;DisplayText&gt;&lt;style face="superscript"&gt;9&lt;/style&gt;&lt;/DisplayText&gt;&lt;record&gt;&lt;rec-number&gt;3709&lt;/rec-number&gt;&lt;foreign-keys&gt;&lt;key app="EN" db-id="wzxw9vza5wewrueww0dx5t0od2rprfsr559t"&gt;3709&lt;/key&gt;&lt;/foreign-keys&gt;&lt;ref-type name="Journal Article"&gt;17&lt;/ref-type&gt;&lt;contributors&gt;&lt;authors&gt;&lt;author&gt;Hansell, D. M.&lt;/author&gt;&lt;author&gt;Bankier, A. A.&lt;/author&gt;&lt;author&gt;MacMahon, H.&lt;/author&gt;&lt;author&gt;McLoud, T. C.&lt;/author&gt;&lt;author&gt;Müller, N. L.&lt;/author&gt;&lt;author&gt;Remy, J.&lt;/author&gt;&lt;/authors&gt;&lt;/contributors&gt;&lt;auth-address&gt;Department of Radiology, Royal Brompton Hospital, Sydney Street, London SW3 6NP, United Kingdom. d.hansell@rbht.nhs.uk&lt;/auth-address&gt;&lt;titles&gt;&lt;title&gt;Fleischner Society: glossary of terms for thoracic imaging&lt;/title&gt;&lt;secondary-title&gt;Radiology&lt;/secondary-title&gt;&lt;/titles&gt;&lt;periodical&gt;&lt;full-title&gt;Radiology&lt;/full-title&gt;&lt;abbr-1&gt;Radiology&lt;/abbr-1&gt;&lt;abbr-2&gt;Radiology&lt;/abbr-2&gt;&lt;/periodical&gt;&lt;pages&gt;697-722&lt;/pages&gt;&lt;volume&gt;246&lt;/volume&gt;&lt;number&gt;3&lt;/number&gt;&lt;reprint-edition&gt;NOT IN FILE&lt;/reprint-edition&gt;&lt;keywords&gt;&lt;keyword&gt;CT&lt;/keyword&gt;&lt;keyword&gt;Humans&lt;/keyword&gt;&lt;keyword&gt;radiography&lt;/keyword&gt;&lt;keyword&gt;Radiography,Thoracic&lt;/keyword&gt;&lt;keyword&gt;radiology&lt;/keyword&gt;&lt;keyword&gt;Societies,Medical&lt;/keyword&gt;&lt;keyword&gt;Terminology as Topic&lt;/keyword&gt;&lt;keyword&gt;Thoracic&lt;/keyword&gt;&lt;keyword&gt;Tomography,X-Ray Computed&lt;/keyword&gt;&lt;/keywords&gt;&lt;dates&gt;&lt;year&gt;2008&lt;/year&gt;&lt;/dates&gt;&lt;urls&gt;&lt;related-urls&gt;&lt;url&gt;PM:18195376&lt;/url&gt;&lt;/related-urls&gt;&lt;/urls&gt;&lt;/record&gt;&lt;/Cite&gt;&lt;/EndNote&gt;</w:instrText>
        </w:r>
        <w:r w:rsidR="0053340B" w:rsidRPr="00B97A8C">
          <w:rPr>
            <w:rFonts w:asciiTheme="majorHAnsi" w:hAnsiTheme="majorHAnsi" w:cs="Times New Roman"/>
            <w:sz w:val="20"/>
            <w:szCs w:val="20"/>
          </w:rPr>
          <w:fldChar w:fldCharType="separate"/>
        </w:r>
        <w:r w:rsidR="0053340B" w:rsidRPr="00B97A8C">
          <w:rPr>
            <w:rFonts w:asciiTheme="majorHAnsi" w:hAnsiTheme="majorHAnsi" w:cs="Times New Roman"/>
            <w:noProof/>
            <w:sz w:val="20"/>
            <w:szCs w:val="20"/>
            <w:vertAlign w:val="superscript"/>
          </w:rPr>
          <w:t>9</w:t>
        </w:r>
        <w:r w:rsidR="0053340B" w:rsidRPr="00B97A8C">
          <w:rPr>
            <w:rFonts w:asciiTheme="majorHAnsi" w:hAnsiTheme="majorHAnsi" w:cs="Times New Roman"/>
            <w:sz w:val="20"/>
            <w:szCs w:val="20"/>
          </w:rPr>
          <w:fldChar w:fldCharType="end"/>
        </w:r>
      </w:hyperlink>
      <w:r w:rsidRPr="00B97A8C">
        <w:rPr>
          <w:rFonts w:asciiTheme="majorHAnsi" w:hAnsiTheme="majorHAnsi" w:cs="Times New Roman"/>
          <w:sz w:val="20"/>
          <w:szCs w:val="20"/>
        </w:rPr>
        <w:t>. To derive a lobar percentage for each parenchymal pattern, the total lobar ILD extent was multiplied by individual lobar parenchymal pattern extents and divided by 100. Furthermore, the percentage (to the nearest 5%) of each lobe that contained mosaicism (decreased attenuation component) or emphysema was recorded.</w:t>
      </w:r>
    </w:p>
    <w:p w14:paraId="5EC4A2F1" w14:textId="77777777" w:rsidR="0059410B" w:rsidRPr="00B97A8C" w:rsidRDefault="0059410B" w:rsidP="0059410B">
      <w:pPr>
        <w:spacing w:line="480" w:lineRule="auto"/>
        <w:rPr>
          <w:rFonts w:asciiTheme="majorHAnsi" w:hAnsiTheme="majorHAnsi" w:cs="Times New Roman"/>
          <w:sz w:val="20"/>
          <w:szCs w:val="20"/>
        </w:rPr>
      </w:pPr>
    </w:p>
    <w:p w14:paraId="38ABED57" w14:textId="77777777" w:rsidR="0059410B" w:rsidRP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t xml:space="preserve">The individual lobar percentages of each parenchymal pattern were summed for each radiologist and divided by six to create an averaged lobar score per pattern, per scorer per case. </w:t>
      </w:r>
    </w:p>
    <w:p w14:paraId="36BCEAC3" w14:textId="77777777" w:rsidR="0059410B" w:rsidRPr="00B97A8C" w:rsidRDefault="0059410B" w:rsidP="0059410B">
      <w:pPr>
        <w:spacing w:line="480" w:lineRule="auto"/>
        <w:rPr>
          <w:rFonts w:asciiTheme="majorHAnsi" w:hAnsiTheme="majorHAnsi" w:cs="Times New Roman"/>
          <w:sz w:val="20"/>
          <w:szCs w:val="20"/>
        </w:rPr>
      </w:pPr>
    </w:p>
    <w:p w14:paraId="0887119C" w14:textId="77777777" w:rsidR="0059410B" w:rsidRP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t xml:space="preserve">Traction bronchiectasis, as defined in the Fleischner society glossary of terms </w:t>
      </w:r>
      <w:hyperlink w:anchor="_ENREF_26" w:tooltip="Hansell, 2008 #3709" w:history="1"/>
      <w:hyperlink w:anchor="_ENREF_9" w:tooltip="Hansell, 2008 #3709" w:history="1">
        <w:r w:rsidR="0053340B" w:rsidRPr="00B97A8C">
          <w:rPr>
            <w:rFonts w:asciiTheme="majorHAnsi" w:hAnsiTheme="majorHAnsi" w:cs="Times New Roman"/>
            <w:sz w:val="20"/>
            <w:szCs w:val="20"/>
          </w:rPr>
          <w:fldChar w:fldCharType="begin"/>
        </w:r>
        <w:r w:rsidR="0053340B" w:rsidRPr="00B97A8C">
          <w:rPr>
            <w:rFonts w:asciiTheme="majorHAnsi" w:hAnsiTheme="majorHAnsi" w:cs="Times New Roman"/>
            <w:sz w:val="20"/>
            <w:szCs w:val="20"/>
          </w:rPr>
          <w:instrText xml:space="preserve"> ADDIN EN.CITE &lt;EndNote&gt;&lt;Cite&gt;&lt;Author&gt;Hansell&lt;/Author&gt;&lt;Year&gt;2008&lt;/Year&gt;&lt;RecNum&gt;3709&lt;/RecNum&gt;&lt;DisplayText&gt;&lt;style face="superscript"&gt;9&lt;/style&gt;&lt;/DisplayText&gt;&lt;record&gt;&lt;rec-number&gt;3709&lt;/rec-number&gt;&lt;foreign-keys&gt;&lt;key app="EN" db-id="wzxw9vza5wewrueww0dx5t0od2rprfsr559t"&gt;3709&lt;/key&gt;&lt;/foreign-keys&gt;&lt;ref-type name="Journal Article"&gt;17&lt;/ref-type&gt;&lt;contributors&gt;&lt;authors&gt;&lt;author&gt;Hansell, D. M.&lt;/author&gt;&lt;author&gt;Bankier, A. A.&lt;/author&gt;&lt;author&gt;MacMahon, H.&lt;/author&gt;&lt;author&gt;McLoud, T. C.&lt;/author&gt;&lt;author&gt;Müller, N. L.&lt;/author&gt;&lt;author&gt;Remy, J.&lt;/author&gt;&lt;/authors&gt;&lt;/contributors&gt;&lt;auth-address&gt;Department of Radiology, Royal Brompton Hospital, Sydney Street, London SW3 6NP, United Kingdom. d.hansell@rbht.nhs.uk&lt;/auth-address&gt;&lt;titles&gt;&lt;title&gt;Fleischner Society: glossary of terms for thoracic imaging&lt;/title&gt;&lt;secondary-title&gt;Radiology&lt;/secondary-title&gt;&lt;/titles&gt;&lt;periodical&gt;&lt;full-title&gt;Radiology&lt;/full-title&gt;&lt;abbr-1&gt;Radiology&lt;/abbr-1&gt;&lt;abbr-2&gt;Radiology&lt;/abbr-2&gt;&lt;/periodical&gt;&lt;pages&gt;697-722&lt;/pages&gt;&lt;volume&gt;246&lt;/volume&gt;&lt;number&gt;3&lt;/number&gt;&lt;reprint-edition&gt;NOT IN FILE&lt;/reprint-edition&gt;&lt;keywords&gt;&lt;keyword&gt;CT&lt;/keyword&gt;&lt;keyword&gt;Humans&lt;/keyword&gt;&lt;keyword&gt;radiography&lt;/keyword&gt;&lt;keyword&gt;Radiography,Thoracic&lt;/keyword&gt;&lt;keyword&gt;radiology&lt;/keyword&gt;&lt;keyword&gt;Societies,Medical&lt;/keyword&gt;&lt;keyword&gt;Terminology as Topic&lt;/keyword&gt;&lt;keyword&gt;Thoracic&lt;/keyword&gt;&lt;keyword&gt;Tomography,X-Ray Computed&lt;/keyword&gt;&lt;/keywords&gt;&lt;dates&gt;&lt;year&gt;2008&lt;/year&gt;&lt;/dates&gt;&lt;urls&gt;&lt;related-urls&gt;&lt;url&gt;PM:18195376&lt;/url&gt;&lt;/related-urls&gt;&lt;/urls&gt;&lt;/record&gt;&lt;/Cite&gt;&lt;/EndNote&gt;</w:instrText>
        </w:r>
        <w:r w:rsidR="0053340B" w:rsidRPr="00B97A8C">
          <w:rPr>
            <w:rFonts w:asciiTheme="majorHAnsi" w:hAnsiTheme="majorHAnsi" w:cs="Times New Roman"/>
            <w:sz w:val="20"/>
            <w:szCs w:val="20"/>
          </w:rPr>
          <w:fldChar w:fldCharType="separate"/>
        </w:r>
        <w:r w:rsidR="0053340B" w:rsidRPr="00B97A8C">
          <w:rPr>
            <w:rFonts w:asciiTheme="majorHAnsi" w:hAnsiTheme="majorHAnsi" w:cs="Times New Roman"/>
            <w:noProof/>
            <w:sz w:val="20"/>
            <w:szCs w:val="20"/>
            <w:vertAlign w:val="superscript"/>
          </w:rPr>
          <w:t>9</w:t>
        </w:r>
        <w:r w:rsidR="0053340B" w:rsidRPr="00B97A8C">
          <w:rPr>
            <w:rFonts w:asciiTheme="majorHAnsi" w:hAnsiTheme="majorHAnsi" w:cs="Times New Roman"/>
            <w:sz w:val="20"/>
            <w:szCs w:val="20"/>
          </w:rPr>
          <w:fldChar w:fldCharType="end"/>
        </w:r>
      </w:hyperlink>
      <w:r w:rsidRPr="00B97A8C">
        <w:rPr>
          <w:rFonts w:asciiTheme="majorHAnsi" w:hAnsiTheme="majorHAnsi" w:cs="Times New Roman"/>
          <w:sz w:val="20"/>
          <w:szCs w:val="20"/>
        </w:rPr>
        <w:t xml:space="preserve">, was assigned with a categorical “severity” score that took into account the average degree of airway dilatation within areas of fibrosis as well as the extent of dilatation throughout the lobe and was given a gestalt score of: none=0, mild=1, moderate=2, severe=3. </w:t>
      </w:r>
    </w:p>
    <w:p w14:paraId="40BB4E2F" w14:textId="77777777" w:rsidR="0059410B" w:rsidRPr="00B97A8C" w:rsidRDefault="0059410B" w:rsidP="0059410B">
      <w:pPr>
        <w:spacing w:line="480" w:lineRule="auto"/>
        <w:rPr>
          <w:rFonts w:asciiTheme="majorHAnsi" w:hAnsiTheme="majorHAnsi" w:cs="Times New Roman"/>
          <w:sz w:val="20"/>
          <w:szCs w:val="20"/>
        </w:rPr>
      </w:pPr>
    </w:p>
    <w:p w14:paraId="6CB349F9" w14:textId="77777777" w:rsidR="0059410B" w:rsidRP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t>An initial training dataset of 15 non-study cases was used to identify pre-existing biases. The scores of the test cases were reviewed by a third radiologist (JJ) and the most widely discrepant results were discussed with the two study scorers prior to the scoring of the study CTs.</w:t>
      </w:r>
    </w:p>
    <w:p w14:paraId="3529BAB0" w14:textId="77777777" w:rsidR="0059410B" w:rsidRPr="00B97A8C" w:rsidRDefault="0059410B" w:rsidP="0059410B">
      <w:pPr>
        <w:spacing w:line="480" w:lineRule="auto"/>
        <w:rPr>
          <w:rFonts w:asciiTheme="majorHAnsi" w:hAnsiTheme="majorHAnsi" w:cs="Times New Roman"/>
          <w:sz w:val="20"/>
          <w:szCs w:val="20"/>
        </w:rPr>
      </w:pPr>
    </w:p>
    <w:p w14:paraId="79E30ACD" w14:textId="77777777" w:rsid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t>The identification of discrepancies and skewing of CT scores between scorers was derived by evaluating distribution curves of the differences between radiologist scores for each parenchymal pattern. The most disparate 5% (two standard deviations) of values had a consensus derived by the two scorers with knowledge of the previous scores. If a single parenchymal subtype extent was changed at consensus, the other parameters were modified, following CT review, to retain an overall 100% for the sum of the four parenchymal subtypes. Similarly, if the lobar percentages of total interstitial disease, emphysema or mosaicism varied, the other two parameter extents were rescored.</w:t>
      </w:r>
    </w:p>
    <w:p w14:paraId="3D5403BC" w14:textId="77777777" w:rsidR="00B97A8C" w:rsidRDefault="00B97A8C" w:rsidP="0059410B">
      <w:pPr>
        <w:spacing w:line="480" w:lineRule="auto"/>
        <w:rPr>
          <w:rFonts w:asciiTheme="majorHAnsi" w:hAnsiTheme="majorHAnsi" w:cs="Times New Roman"/>
          <w:sz w:val="20"/>
          <w:szCs w:val="20"/>
        </w:rPr>
      </w:pPr>
    </w:p>
    <w:p w14:paraId="29E35B3A" w14:textId="77777777" w:rsidR="00B97A8C" w:rsidRPr="00B97A8C" w:rsidRDefault="00B97A8C" w:rsidP="00B97A8C">
      <w:pPr>
        <w:spacing w:line="480" w:lineRule="auto"/>
        <w:rPr>
          <w:rFonts w:asciiTheme="majorHAnsi" w:hAnsiTheme="majorHAnsi" w:cs="Times New Roman"/>
          <w:b/>
          <w:sz w:val="20"/>
          <w:szCs w:val="20"/>
        </w:rPr>
      </w:pPr>
      <w:r w:rsidRPr="00B97A8C">
        <w:rPr>
          <w:rFonts w:asciiTheme="majorHAnsi" w:hAnsiTheme="majorHAnsi" w:cs="Times New Roman"/>
          <w:b/>
          <w:sz w:val="20"/>
          <w:szCs w:val="20"/>
        </w:rPr>
        <w:t>Analysis using a</w:t>
      </w:r>
      <w:r>
        <w:rPr>
          <w:rFonts w:asciiTheme="majorHAnsi" w:hAnsiTheme="majorHAnsi" w:cs="Times New Roman"/>
          <w:b/>
          <w:sz w:val="20"/>
          <w:szCs w:val="20"/>
        </w:rPr>
        <w:t>n</w:t>
      </w:r>
      <w:r w:rsidRPr="00B97A8C">
        <w:rPr>
          <w:rFonts w:asciiTheme="majorHAnsi" w:hAnsiTheme="majorHAnsi" w:cs="Times New Roman"/>
          <w:b/>
          <w:sz w:val="20"/>
          <w:szCs w:val="20"/>
        </w:rPr>
        <w:t xml:space="preserve"> </w:t>
      </w:r>
      <w:r w:rsidRPr="00B97A8C">
        <w:rPr>
          <w:rFonts w:asciiTheme="majorHAnsi" w:hAnsiTheme="majorHAnsi"/>
          <w:b/>
          <w:sz w:val="20"/>
          <w:szCs w:val="20"/>
        </w:rPr>
        <w:t>FVC</w:t>
      </w:r>
      <w:r w:rsidRPr="00B97A8C">
        <w:rPr>
          <w:rFonts w:ascii="Calibri" w:hAnsi="Calibri"/>
          <w:b/>
          <w:sz w:val="20"/>
          <w:szCs w:val="20"/>
        </w:rPr>
        <w:t>≥</w:t>
      </w:r>
      <w:r w:rsidRPr="00B97A8C">
        <w:rPr>
          <w:rFonts w:asciiTheme="majorHAnsi" w:hAnsiTheme="majorHAnsi"/>
          <w:b/>
          <w:sz w:val="20"/>
          <w:szCs w:val="20"/>
        </w:rPr>
        <w:t>50% predicted threshold</w:t>
      </w:r>
    </w:p>
    <w:p w14:paraId="122F8EF9" w14:textId="77777777" w:rsidR="00B97A8C" w:rsidRPr="00B97A8C" w:rsidRDefault="00B97A8C" w:rsidP="00B97A8C">
      <w:pPr>
        <w:spacing w:line="480" w:lineRule="auto"/>
        <w:rPr>
          <w:rFonts w:asciiTheme="majorHAnsi" w:hAnsiTheme="majorHAnsi"/>
          <w:sz w:val="20"/>
          <w:szCs w:val="20"/>
        </w:rPr>
      </w:pPr>
      <w:r>
        <w:rPr>
          <w:rFonts w:asciiTheme="majorHAnsi" w:hAnsiTheme="majorHAnsi"/>
          <w:sz w:val="20"/>
          <w:szCs w:val="20"/>
        </w:rPr>
        <w:t>When t</w:t>
      </w:r>
      <w:r w:rsidRPr="00B97A8C">
        <w:rPr>
          <w:rFonts w:asciiTheme="majorHAnsi" w:hAnsiTheme="majorHAnsi"/>
          <w:sz w:val="20"/>
          <w:szCs w:val="20"/>
        </w:rPr>
        <w:t xml:space="preserve">he same PVV threshold of 6·5% </w:t>
      </w:r>
      <w:r>
        <w:rPr>
          <w:rFonts w:asciiTheme="majorHAnsi" w:hAnsiTheme="majorHAnsi"/>
          <w:sz w:val="20"/>
          <w:szCs w:val="20"/>
        </w:rPr>
        <w:t xml:space="preserve">was examined in CHP patients deemed to have end stage disease using </w:t>
      </w:r>
      <w:r w:rsidRPr="00B97A8C">
        <w:rPr>
          <w:rFonts w:asciiTheme="majorHAnsi" w:hAnsiTheme="majorHAnsi"/>
          <w:sz w:val="20"/>
          <w:szCs w:val="20"/>
        </w:rPr>
        <w:t>a</w:t>
      </w:r>
      <w:r>
        <w:rPr>
          <w:rFonts w:asciiTheme="majorHAnsi" w:hAnsiTheme="majorHAnsi"/>
          <w:sz w:val="20"/>
          <w:szCs w:val="20"/>
        </w:rPr>
        <w:t>n</w:t>
      </w:r>
      <w:r w:rsidRPr="00B97A8C">
        <w:rPr>
          <w:rFonts w:asciiTheme="majorHAnsi" w:hAnsiTheme="majorHAnsi"/>
          <w:sz w:val="20"/>
          <w:szCs w:val="20"/>
        </w:rPr>
        <w:t xml:space="preserve"> FVC</w:t>
      </w:r>
      <w:r w:rsidRPr="00B97A8C">
        <w:rPr>
          <w:rFonts w:ascii="Calibri" w:hAnsi="Calibri"/>
          <w:sz w:val="20"/>
          <w:szCs w:val="20"/>
        </w:rPr>
        <w:t>≥</w:t>
      </w:r>
      <w:r w:rsidRPr="00B97A8C">
        <w:rPr>
          <w:rFonts w:asciiTheme="majorHAnsi" w:hAnsiTheme="majorHAnsi"/>
          <w:sz w:val="20"/>
          <w:szCs w:val="20"/>
        </w:rPr>
        <w:t>50% predicted threshold</w:t>
      </w:r>
      <w:r>
        <w:rPr>
          <w:rFonts w:asciiTheme="majorHAnsi" w:hAnsiTheme="majorHAnsi"/>
          <w:sz w:val="20"/>
          <w:szCs w:val="20"/>
        </w:rPr>
        <w:t>, the results were similar to those identified with a PaO</w:t>
      </w:r>
      <w:r>
        <w:rPr>
          <w:rFonts w:asciiTheme="majorHAnsi" w:hAnsiTheme="majorHAnsi"/>
          <w:sz w:val="20"/>
          <w:szCs w:val="20"/>
          <w:vertAlign w:val="subscript"/>
        </w:rPr>
        <w:t>2</w:t>
      </w:r>
      <w:r>
        <w:rPr>
          <w:rFonts w:asciiTheme="majorHAnsi" w:hAnsiTheme="majorHAnsi"/>
          <w:sz w:val="20"/>
          <w:szCs w:val="20"/>
        </w:rPr>
        <w:t xml:space="preserve"> threshold </w:t>
      </w:r>
      <w:r>
        <w:rPr>
          <w:rFonts w:ascii="Calibri" w:hAnsi="Calibri"/>
          <w:sz w:val="20"/>
          <w:szCs w:val="20"/>
        </w:rPr>
        <w:t>≥</w:t>
      </w:r>
      <w:r>
        <w:rPr>
          <w:rFonts w:asciiTheme="majorHAnsi" w:hAnsiTheme="majorHAnsi"/>
          <w:sz w:val="20"/>
          <w:szCs w:val="20"/>
        </w:rPr>
        <w:t xml:space="preserve">7.5kPa. A </w:t>
      </w:r>
      <w:r w:rsidRPr="00B97A8C">
        <w:rPr>
          <w:rFonts w:asciiTheme="majorHAnsi" w:hAnsiTheme="majorHAnsi"/>
          <w:sz w:val="20"/>
          <w:szCs w:val="20"/>
        </w:rPr>
        <w:t>PVV threshold of 6·</w:t>
      </w:r>
      <w:r>
        <w:rPr>
          <w:rFonts w:asciiTheme="majorHAnsi" w:hAnsiTheme="majorHAnsi"/>
          <w:sz w:val="20"/>
          <w:szCs w:val="20"/>
        </w:rPr>
        <w:t>5%</w:t>
      </w:r>
      <w:r w:rsidRPr="00B97A8C">
        <w:rPr>
          <w:rFonts w:asciiTheme="majorHAnsi" w:hAnsiTheme="majorHAnsi"/>
          <w:sz w:val="20"/>
          <w:szCs w:val="20"/>
        </w:rPr>
        <w:t xml:space="preserve"> demonstrated an IPF-like outcome in CHP patients identified as being non end-stage disease using a FVC</w:t>
      </w:r>
      <w:r w:rsidRPr="00B97A8C">
        <w:rPr>
          <w:rFonts w:ascii="Calibri" w:hAnsi="Calibri"/>
          <w:sz w:val="20"/>
          <w:szCs w:val="20"/>
        </w:rPr>
        <w:t>≥</w:t>
      </w:r>
      <w:r w:rsidRPr="00B97A8C">
        <w:rPr>
          <w:rFonts w:asciiTheme="majorHAnsi" w:hAnsiTheme="majorHAnsi"/>
          <w:sz w:val="20"/>
          <w:szCs w:val="20"/>
        </w:rPr>
        <w:t>50% predicted threshold: mean survival=37.4</w:t>
      </w:r>
      <w:r w:rsidRPr="00B97A8C">
        <w:rPr>
          <w:rFonts w:ascii="Calibri" w:hAnsi="Calibri"/>
          <w:sz w:val="20"/>
          <w:szCs w:val="20"/>
        </w:rPr>
        <w:t>±</w:t>
      </w:r>
      <w:r w:rsidRPr="00B97A8C">
        <w:rPr>
          <w:rFonts w:asciiTheme="majorHAnsi" w:hAnsiTheme="majorHAnsi"/>
          <w:sz w:val="20"/>
          <w:szCs w:val="20"/>
        </w:rPr>
        <w:t>8.3 months (n=11/103; 11%)[Supplementary Figure 1]. Again, when compared to the IPF population with a FVC</w:t>
      </w:r>
      <w:r w:rsidRPr="00B97A8C">
        <w:rPr>
          <w:rFonts w:ascii="Calibri" w:hAnsi="Calibri"/>
          <w:sz w:val="20"/>
          <w:szCs w:val="20"/>
        </w:rPr>
        <w:t>≥</w:t>
      </w:r>
      <w:r w:rsidRPr="00B97A8C">
        <w:rPr>
          <w:rFonts w:asciiTheme="majorHAnsi" w:hAnsiTheme="majorHAnsi"/>
          <w:sz w:val="20"/>
          <w:szCs w:val="20"/>
        </w:rPr>
        <w:t>50% predicted threshold, no statistically significant difference between Kaplan Meier survival curves was identified on comparison of the IPF and poor-outcome CHP groups when using a PVV threshold of 6·5% (Log rank test p=0·68)[Supplementary Figure 2].</w:t>
      </w:r>
    </w:p>
    <w:p w14:paraId="79C58745" w14:textId="77777777" w:rsidR="00B97A8C" w:rsidRDefault="00B97A8C" w:rsidP="0059410B">
      <w:pPr>
        <w:spacing w:line="480" w:lineRule="auto"/>
        <w:rPr>
          <w:rFonts w:asciiTheme="majorHAnsi" w:hAnsiTheme="majorHAnsi" w:cs="Times New Roman"/>
          <w:sz w:val="20"/>
          <w:szCs w:val="20"/>
        </w:rPr>
      </w:pPr>
    </w:p>
    <w:p w14:paraId="1CEBB4B3" w14:textId="16224F97" w:rsidR="0059410B" w:rsidRDefault="0059410B" w:rsidP="0059410B">
      <w:pPr>
        <w:spacing w:line="480" w:lineRule="auto"/>
        <w:rPr>
          <w:rFonts w:asciiTheme="majorHAnsi" w:hAnsiTheme="majorHAnsi"/>
          <w:sz w:val="20"/>
          <w:szCs w:val="20"/>
        </w:rPr>
      </w:pPr>
      <w:r w:rsidRPr="00B97A8C">
        <w:rPr>
          <w:rFonts w:asciiTheme="majorHAnsi" w:hAnsiTheme="majorHAnsi"/>
          <w:sz w:val="20"/>
          <w:szCs w:val="20"/>
        </w:rPr>
        <w:br w:type="page"/>
      </w:r>
    </w:p>
    <w:p w14:paraId="37693EC2" w14:textId="5E0A5CFD" w:rsidR="00E25208" w:rsidRPr="001E62ED" w:rsidRDefault="001E62ED" w:rsidP="001E62ED">
      <w:pPr>
        <w:spacing w:line="480" w:lineRule="auto"/>
        <w:jc w:val="center"/>
        <w:rPr>
          <w:rFonts w:asciiTheme="majorHAnsi" w:hAnsiTheme="majorHAnsi" w:cs="Times New Roman"/>
        </w:rPr>
      </w:pPr>
      <w:r w:rsidRPr="001E62ED">
        <w:rPr>
          <w:rFonts w:asciiTheme="majorHAnsi" w:hAnsiTheme="majorHAnsi" w:cs="Times New Roman"/>
        </w:rPr>
        <w:t>Single determination standard deviation for visual CT scores</w:t>
      </w:r>
    </w:p>
    <w:tbl>
      <w:tblPr>
        <w:tblStyle w:val="TableGrid"/>
        <w:tblW w:w="0" w:type="auto"/>
        <w:jc w:val="center"/>
        <w:tblLook w:val="04A0" w:firstRow="1" w:lastRow="0" w:firstColumn="1" w:lastColumn="0" w:noHBand="0" w:noVBand="1"/>
      </w:tblPr>
      <w:tblGrid>
        <w:gridCol w:w="4077"/>
        <w:gridCol w:w="1051"/>
        <w:gridCol w:w="2834"/>
      </w:tblGrid>
      <w:tr w:rsidR="0059410B" w:rsidRPr="00B97A8C" w14:paraId="3A874120" w14:textId="77777777" w:rsidTr="0059410B">
        <w:trPr>
          <w:jc w:val="center"/>
        </w:trPr>
        <w:tc>
          <w:tcPr>
            <w:tcW w:w="4077" w:type="dxa"/>
            <w:tcBorders>
              <w:top w:val="single" w:sz="24" w:space="0" w:color="auto"/>
              <w:left w:val="nil"/>
              <w:bottom w:val="single" w:sz="24" w:space="0" w:color="auto"/>
              <w:right w:val="nil"/>
            </w:tcBorders>
          </w:tcPr>
          <w:p w14:paraId="19800ACD" w14:textId="77777777" w:rsidR="0059410B" w:rsidRPr="00B97A8C" w:rsidRDefault="0059410B" w:rsidP="0059410B">
            <w:pPr>
              <w:rPr>
                <w:rFonts w:asciiTheme="majorHAnsi" w:hAnsiTheme="majorHAnsi" w:cs="Times New Roman"/>
                <w:b/>
                <w:sz w:val="20"/>
                <w:szCs w:val="20"/>
              </w:rPr>
            </w:pPr>
            <w:r w:rsidRPr="00B97A8C">
              <w:rPr>
                <w:rFonts w:asciiTheme="majorHAnsi" w:hAnsiTheme="majorHAnsi" w:cs="Times New Roman"/>
                <w:b/>
                <w:sz w:val="20"/>
                <w:szCs w:val="20"/>
              </w:rPr>
              <w:t>Visual CT Variable (n = 129)</w:t>
            </w:r>
          </w:p>
          <w:p w14:paraId="602B10CB" w14:textId="77777777" w:rsidR="0059410B" w:rsidRPr="00B97A8C" w:rsidRDefault="0059410B" w:rsidP="0059410B">
            <w:pPr>
              <w:rPr>
                <w:rFonts w:asciiTheme="majorHAnsi" w:hAnsiTheme="majorHAnsi" w:cs="Times New Roman"/>
                <w:b/>
                <w:sz w:val="20"/>
                <w:szCs w:val="20"/>
              </w:rPr>
            </w:pPr>
          </w:p>
        </w:tc>
        <w:tc>
          <w:tcPr>
            <w:tcW w:w="1051" w:type="dxa"/>
            <w:tcBorders>
              <w:top w:val="single" w:sz="24" w:space="0" w:color="auto"/>
              <w:left w:val="nil"/>
              <w:bottom w:val="single" w:sz="24" w:space="0" w:color="auto"/>
              <w:right w:val="nil"/>
            </w:tcBorders>
          </w:tcPr>
          <w:p w14:paraId="6F303008" w14:textId="77777777" w:rsidR="0059410B" w:rsidRPr="00B97A8C" w:rsidRDefault="0059410B" w:rsidP="0059410B">
            <w:pPr>
              <w:rPr>
                <w:rFonts w:asciiTheme="majorHAnsi" w:hAnsiTheme="majorHAnsi" w:cs="Times New Roman"/>
                <w:b/>
                <w:sz w:val="20"/>
                <w:szCs w:val="20"/>
              </w:rPr>
            </w:pPr>
          </w:p>
        </w:tc>
        <w:tc>
          <w:tcPr>
            <w:tcW w:w="2834" w:type="dxa"/>
            <w:tcBorders>
              <w:top w:val="single" w:sz="24" w:space="0" w:color="auto"/>
              <w:left w:val="nil"/>
              <w:bottom w:val="single" w:sz="24" w:space="0" w:color="auto"/>
              <w:right w:val="nil"/>
            </w:tcBorders>
          </w:tcPr>
          <w:p w14:paraId="26AF9F84" w14:textId="77777777" w:rsidR="0059410B" w:rsidRPr="00B97A8C" w:rsidRDefault="0059410B" w:rsidP="0059410B">
            <w:pPr>
              <w:rPr>
                <w:rFonts w:asciiTheme="majorHAnsi" w:hAnsiTheme="majorHAnsi" w:cs="Times New Roman"/>
                <w:b/>
                <w:sz w:val="20"/>
                <w:szCs w:val="20"/>
              </w:rPr>
            </w:pPr>
            <w:r w:rsidRPr="00B97A8C">
              <w:rPr>
                <w:rFonts w:asciiTheme="majorHAnsi" w:hAnsiTheme="majorHAnsi" w:cs="Times New Roman"/>
                <w:b/>
                <w:sz w:val="20"/>
                <w:szCs w:val="20"/>
              </w:rPr>
              <w:t>Single determination standard deviation</w:t>
            </w:r>
          </w:p>
        </w:tc>
      </w:tr>
      <w:tr w:rsidR="0059410B" w:rsidRPr="00B97A8C" w14:paraId="163DB1A9" w14:textId="77777777" w:rsidTr="0059410B">
        <w:trPr>
          <w:jc w:val="center"/>
        </w:trPr>
        <w:tc>
          <w:tcPr>
            <w:tcW w:w="4077" w:type="dxa"/>
            <w:tcBorders>
              <w:top w:val="single" w:sz="24" w:space="0" w:color="auto"/>
              <w:left w:val="nil"/>
              <w:bottom w:val="nil"/>
              <w:right w:val="nil"/>
            </w:tcBorders>
          </w:tcPr>
          <w:p w14:paraId="71DA4EF9"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CT Interstitial lung disease extent</w:t>
            </w:r>
          </w:p>
        </w:tc>
        <w:tc>
          <w:tcPr>
            <w:tcW w:w="1051" w:type="dxa"/>
            <w:tcBorders>
              <w:top w:val="single" w:sz="24" w:space="0" w:color="auto"/>
              <w:left w:val="nil"/>
              <w:bottom w:val="nil"/>
              <w:right w:val="nil"/>
            </w:tcBorders>
          </w:tcPr>
          <w:p w14:paraId="5F14AB4E" w14:textId="77777777" w:rsidR="0059410B" w:rsidRPr="00B97A8C" w:rsidRDefault="0059410B" w:rsidP="0059410B">
            <w:pPr>
              <w:spacing w:line="276" w:lineRule="auto"/>
              <w:rPr>
                <w:rFonts w:asciiTheme="majorHAnsi" w:hAnsiTheme="majorHAnsi" w:cs="Times New Roman"/>
                <w:sz w:val="16"/>
                <w:szCs w:val="16"/>
              </w:rPr>
            </w:pPr>
          </w:p>
        </w:tc>
        <w:tc>
          <w:tcPr>
            <w:tcW w:w="2834" w:type="dxa"/>
            <w:tcBorders>
              <w:top w:val="single" w:sz="24" w:space="0" w:color="auto"/>
              <w:left w:val="nil"/>
              <w:bottom w:val="nil"/>
              <w:right w:val="nil"/>
            </w:tcBorders>
          </w:tcPr>
          <w:p w14:paraId="36FCAB20"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11·95</w:t>
            </w:r>
          </w:p>
        </w:tc>
      </w:tr>
      <w:tr w:rsidR="0059410B" w:rsidRPr="00B97A8C" w14:paraId="157A6B3C" w14:textId="77777777" w:rsidTr="0059410B">
        <w:trPr>
          <w:jc w:val="center"/>
        </w:trPr>
        <w:tc>
          <w:tcPr>
            <w:tcW w:w="4077" w:type="dxa"/>
            <w:tcBorders>
              <w:top w:val="nil"/>
              <w:left w:val="nil"/>
              <w:bottom w:val="nil"/>
              <w:right w:val="nil"/>
            </w:tcBorders>
          </w:tcPr>
          <w:p w14:paraId="57D55B5D"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CT Ground glass density </w:t>
            </w:r>
          </w:p>
        </w:tc>
        <w:tc>
          <w:tcPr>
            <w:tcW w:w="1051" w:type="dxa"/>
            <w:tcBorders>
              <w:top w:val="nil"/>
              <w:left w:val="nil"/>
              <w:bottom w:val="nil"/>
              <w:right w:val="nil"/>
            </w:tcBorders>
          </w:tcPr>
          <w:p w14:paraId="2F1ED6C1" w14:textId="77777777" w:rsidR="0059410B" w:rsidRPr="00B97A8C" w:rsidRDefault="0059410B" w:rsidP="0059410B">
            <w:pPr>
              <w:spacing w:line="276" w:lineRule="auto"/>
              <w:rPr>
                <w:rFonts w:asciiTheme="majorHAnsi" w:hAnsiTheme="majorHAnsi" w:cs="Times New Roman"/>
                <w:sz w:val="16"/>
                <w:szCs w:val="16"/>
              </w:rPr>
            </w:pPr>
          </w:p>
        </w:tc>
        <w:tc>
          <w:tcPr>
            <w:tcW w:w="2834" w:type="dxa"/>
            <w:tcBorders>
              <w:top w:val="nil"/>
              <w:left w:val="nil"/>
              <w:bottom w:val="nil"/>
              <w:right w:val="nil"/>
            </w:tcBorders>
          </w:tcPr>
          <w:p w14:paraId="4D216708"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13·53</w:t>
            </w:r>
          </w:p>
        </w:tc>
      </w:tr>
      <w:tr w:rsidR="0059410B" w:rsidRPr="00B97A8C" w14:paraId="5BF16C02" w14:textId="77777777" w:rsidTr="0059410B">
        <w:trPr>
          <w:jc w:val="center"/>
        </w:trPr>
        <w:tc>
          <w:tcPr>
            <w:tcW w:w="4077" w:type="dxa"/>
            <w:tcBorders>
              <w:top w:val="nil"/>
              <w:left w:val="nil"/>
              <w:bottom w:val="nil"/>
              <w:right w:val="nil"/>
            </w:tcBorders>
          </w:tcPr>
          <w:p w14:paraId="1470A1A9"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CT Reticulation </w:t>
            </w:r>
          </w:p>
        </w:tc>
        <w:tc>
          <w:tcPr>
            <w:tcW w:w="1051" w:type="dxa"/>
            <w:tcBorders>
              <w:top w:val="nil"/>
              <w:left w:val="nil"/>
              <w:bottom w:val="nil"/>
              <w:right w:val="nil"/>
            </w:tcBorders>
          </w:tcPr>
          <w:p w14:paraId="3FF68119" w14:textId="77777777" w:rsidR="0059410B" w:rsidRPr="00B97A8C" w:rsidRDefault="0059410B" w:rsidP="0059410B">
            <w:pPr>
              <w:spacing w:line="276" w:lineRule="auto"/>
              <w:rPr>
                <w:rFonts w:asciiTheme="majorHAnsi" w:hAnsiTheme="majorHAnsi" w:cs="Times New Roman"/>
                <w:sz w:val="16"/>
                <w:szCs w:val="16"/>
              </w:rPr>
            </w:pPr>
          </w:p>
        </w:tc>
        <w:tc>
          <w:tcPr>
            <w:tcW w:w="2834" w:type="dxa"/>
            <w:tcBorders>
              <w:top w:val="nil"/>
              <w:left w:val="nil"/>
              <w:bottom w:val="nil"/>
              <w:right w:val="nil"/>
            </w:tcBorders>
          </w:tcPr>
          <w:p w14:paraId="6EC37877"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  6·33</w:t>
            </w:r>
          </w:p>
        </w:tc>
      </w:tr>
      <w:tr w:rsidR="0059410B" w:rsidRPr="00B97A8C" w14:paraId="22E6534F" w14:textId="77777777" w:rsidTr="0059410B">
        <w:trPr>
          <w:jc w:val="center"/>
        </w:trPr>
        <w:tc>
          <w:tcPr>
            <w:tcW w:w="4077" w:type="dxa"/>
            <w:tcBorders>
              <w:top w:val="nil"/>
              <w:left w:val="nil"/>
              <w:bottom w:val="nil"/>
              <w:right w:val="nil"/>
            </w:tcBorders>
          </w:tcPr>
          <w:p w14:paraId="57C96F74"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CT Honeycombing </w:t>
            </w:r>
          </w:p>
        </w:tc>
        <w:tc>
          <w:tcPr>
            <w:tcW w:w="1051" w:type="dxa"/>
            <w:tcBorders>
              <w:top w:val="nil"/>
              <w:left w:val="nil"/>
              <w:bottom w:val="nil"/>
              <w:right w:val="nil"/>
            </w:tcBorders>
          </w:tcPr>
          <w:p w14:paraId="65C5901A" w14:textId="77777777" w:rsidR="0059410B" w:rsidRPr="00B97A8C" w:rsidRDefault="0059410B" w:rsidP="0059410B">
            <w:pPr>
              <w:spacing w:line="276" w:lineRule="auto"/>
              <w:rPr>
                <w:rFonts w:asciiTheme="majorHAnsi" w:hAnsiTheme="majorHAnsi" w:cs="Times New Roman"/>
                <w:sz w:val="16"/>
                <w:szCs w:val="16"/>
              </w:rPr>
            </w:pPr>
          </w:p>
        </w:tc>
        <w:tc>
          <w:tcPr>
            <w:tcW w:w="2834" w:type="dxa"/>
            <w:tcBorders>
              <w:top w:val="nil"/>
              <w:left w:val="nil"/>
              <w:bottom w:val="nil"/>
              <w:right w:val="nil"/>
            </w:tcBorders>
          </w:tcPr>
          <w:p w14:paraId="673622EA"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  1·46</w:t>
            </w:r>
          </w:p>
        </w:tc>
      </w:tr>
      <w:tr w:rsidR="0059410B" w:rsidRPr="00B97A8C" w14:paraId="22EDF0E4" w14:textId="77777777" w:rsidTr="0059410B">
        <w:trPr>
          <w:jc w:val="center"/>
        </w:trPr>
        <w:tc>
          <w:tcPr>
            <w:tcW w:w="4077" w:type="dxa"/>
            <w:tcBorders>
              <w:top w:val="nil"/>
              <w:left w:val="nil"/>
              <w:bottom w:val="nil"/>
              <w:right w:val="nil"/>
            </w:tcBorders>
          </w:tcPr>
          <w:p w14:paraId="7916D18A"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CT Consolidation</w:t>
            </w:r>
          </w:p>
        </w:tc>
        <w:tc>
          <w:tcPr>
            <w:tcW w:w="1051" w:type="dxa"/>
            <w:tcBorders>
              <w:top w:val="nil"/>
              <w:left w:val="nil"/>
              <w:bottom w:val="nil"/>
              <w:right w:val="nil"/>
            </w:tcBorders>
          </w:tcPr>
          <w:p w14:paraId="7B71A526" w14:textId="77777777" w:rsidR="0059410B" w:rsidRPr="00B97A8C" w:rsidRDefault="0059410B" w:rsidP="0059410B">
            <w:pPr>
              <w:spacing w:line="276" w:lineRule="auto"/>
              <w:rPr>
                <w:rFonts w:asciiTheme="majorHAnsi" w:hAnsiTheme="majorHAnsi" w:cs="Times New Roman"/>
                <w:sz w:val="16"/>
                <w:szCs w:val="16"/>
              </w:rPr>
            </w:pPr>
          </w:p>
        </w:tc>
        <w:tc>
          <w:tcPr>
            <w:tcW w:w="2834" w:type="dxa"/>
            <w:tcBorders>
              <w:top w:val="nil"/>
              <w:left w:val="nil"/>
              <w:bottom w:val="nil"/>
              <w:right w:val="nil"/>
            </w:tcBorders>
          </w:tcPr>
          <w:p w14:paraId="51D9931F"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  2·25</w:t>
            </w:r>
          </w:p>
        </w:tc>
      </w:tr>
      <w:tr w:rsidR="0059410B" w:rsidRPr="00B97A8C" w14:paraId="56DAC50F" w14:textId="77777777" w:rsidTr="0059410B">
        <w:trPr>
          <w:jc w:val="center"/>
        </w:trPr>
        <w:tc>
          <w:tcPr>
            <w:tcW w:w="4077" w:type="dxa"/>
            <w:tcBorders>
              <w:top w:val="nil"/>
              <w:left w:val="nil"/>
              <w:bottom w:val="nil"/>
              <w:right w:val="nil"/>
            </w:tcBorders>
          </w:tcPr>
          <w:p w14:paraId="1D3F327F"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CT Total emphysema </w:t>
            </w:r>
          </w:p>
        </w:tc>
        <w:tc>
          <w:tcPr>
            <w:tcW w:w="1051" w:type="dxa"/>
            <w:tcBorders>
              <w:top w:val="nil"/>
              <w:left w:val="nil"/>
              <w:bottom w:val="nil"/>
              <w:right w:val="nil"/>
            </w:tcBorders>
          </w:tcPr>
          <w:p w14:paraId="1C80F98C" w14:textId="77777777" w:rsidR="0059410B" w:rsidRPr="00B97A8C" w:rsidRDefault="0059410B" w:rsidP="0059410B">
            <w:pPr>
              <w:spacing w:line="276" w:lineRule="auto"/>
              <w:rPr>
                <w:rFonts w:asciiTheme="majorHAnsi" w:hAnsiTheme="majorHAnsi" w:cs="Times New Roman"/>
                <w:sz w:val="16"/>
                <w:szCs w:val="16"/>
              </w:rPr>
            </w:pPr>
          </w:p>
        </w:tc>
        <w:tc>
          <w:tcPr>
            <w:tcW w:w="2834" w:type="dxa"/>
            <w:tcBorders>
              <w:top w:val="nil"/>
              <w:left w:val="nil"/>
              <w:bottom w:val="nil"/>
              <w:right w:val="nil"/>
            </w:tcBorders>
          </w:tcPr>
          <w:p w14:paraId="1AF2274F"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  3·46</w:t>
            </w:r>
          </w:p>
        </w:tc>
      </w:tr>
      <w:tr w:rsidR="0059410B" w:rsidRPr="00B97A8C" w14:paraId="7919ADA9" w14:textId="77777777" w:rsidTr="0059410B">
        <w:trPr>
          <w:jc w:val="center"/>
        </w:trPr>
        <w:tc>
          <w:tcPr>
            <w:tcW w:w="4077" w:type="dxa"/>
            <w:tcBorders>
              <w:top w:val="nil"/>
              <w:left w:val="nil"/>
              <w:bottom w:val="nil"/>
              <w:right w:val="nil"/>
            </w:tcBorders>
          </w:tcPr>
          <w:p w14:paraId="21C6B59B"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CT Mosaic attenuation </w:t>
            </w:r>
          </w:p>
        </w:tc>
        <w:tc>
          <w:tcPr>
            <w:tcW w:w="1051" w:type="dxa"/>
            <w:tcBorders>
              <w:top w:val="nil"/>
              <w:left w:val="nil"/>
              <w:bottom w:val="nil"/>
              <w:right w:val="nil"/>
            </w:tcBorders>
          </w:tcPr>
          <w:p w14:paraId="5F31B706" w14:textId="77777777" w:rsidR="0059410B" w:rsidRPr="00B97A8C" w:rsidRDefault="0059410B" w:rsidP="0059410B">
            <w:pPr>
              <w:spacing w:line="276" w:lineRule="auto"/>
              <w:rPr>
                <w:rFonts w:asciiTheme="majorHAnsi" w:hAnsiTheme="majorHAnsi" w:cs="Times New Roman"/>
                <w:sz w:val="16"/>
                <w:szCs w:val="16"/>
              </w:rPr>
            </w:pPr>
          </w:p>
        </w:tc>
        <w:tc>
          <w:tcPr>
            <w:tcW w:w="2834" w:type="dxa"/>
            <w:tcBorders>
              <w:top w:val="nil"/>
              <w:left w:val="nil"/>
              <w:bottom w:val="nil"/>
              <w:right w:val="nil"/>
            </w:tcBorders>
          </w:tcPr>
          <w:p w14:paraId="11475878"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  4·13</w:t>
            </w:r>
          </w:p>
        </w:tc>
      </w:tr>
      <w:tr w:rsidR="0059410B" w:rsidRPr="00B97A8C" w14:paraId="0F94CEA6" w14:textId="77777777" w:rsidTr="0059410B">
        <w:trPr>
          <w:jc w:val="center"/>
        </w:trPr>
        <w:tc>
          <w:tcPr>
            <w:tcW w:w="4077" w:type="dxa"/>
            <w:tcBorders>
              <w:top w:val="nil"/>
              <w:left w:val="nil"/>
              <w:bottom w:val="single" w:sz="24" w:space="0" w:color="auto"/>
              <w:right w:val="nil"/>
            </w:tcBorders>
          </w:tcPr>
          <w:p w14:paraId="692823D4"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CT Traction bronchiectasis severity</w:t>
            </w:r>
          </w:p>
        </w:tc>
        <w:tc>
          <w:tcPr>
            <w:tcW w:w="1051" w:type="dxa"/>
            <w:tcBorders>
              <w:top w:val="nil"/>
              <w:left w:val="nil"/>
              <w:bottom w:val="single" w:sz="24" w:space="0" w:color="auto"/>
              <w:right w:val="nil"/>
            </w:tcBorders>
          </w:tcPr>
          <w:p w14:paraId="43F36A89" w14:textId="77777777" w:rsidR="0059410B" w:rsidRPr="00B97A8C" w:rsidRDefault="0059410B" w:rsidP="0059410B">
            <w:pPr>
              <w:spacing w:line="276" w:lineRule="auto"/>
              <w:rPr>
                <w:rFonts w:asciiTheme="majorHAnsi" w:hAnsiTheme="majorHAnsi" w:cs="Times New Roman"/>
                <w:sz w:val="16"/>
                <w:szCs w:val="16"/>
              </w:rPr>
            </w:pPr>
          </w:p>
        </w:tc>
        <w:tc>
          <w:tcPr>
            <w:tcW w:w="2834" w:type="dxa"/>
            <w:tcBorders>
              <w:top w:val="nil"/>
              <w:left w:val="nil"/>
              <w:bottom w:val="single" w:sz="24" w:space="0" w:color="auto"/>
              <w:right w:val="nil"/>
            </w:tcBorders>
          </w:tcPr>
          <w:p w14:paraId="6C4AE089" w14:textId="77777777" w:rsidR="0059410B" w:rsidRPr="00B97A8C" w:rsidRDefault="0059410B" w:rsidP="0059410B">
            <w:pPr>
              <w:spacing w:line="276" w:lineRule="auto"/>
              <w:rPr>
                <w:rFonts w:asciiTheme="majorHAnsi" w:hAnsiTheme="majorHAnsi" w:cs="Times New Roman"/>
                <w:sz w:val="16"/>
                <w:szCs w:val="16"/>
              </w:rPr>
            </w:pPr>
            <w:r w:rsidRPr="00B97A8C">
              <w:rPr>
                <w:rFonts w:asciiTheme="majorHAnsi" w:hAnsiTheme="majorHAnsi" w:cs="Times New Roman"/>
                <w:sz w:val="16"/>
                <w:szCs w:val="16"/>
              </w:rPr>
              <w:t xml:space="preserve">  1·46</w:t>
            </w:r>
          </w:p>
        </w:tc>
      </w:tr>
    </w:tbl>
    <w:p w14:paraId="5AC878EA" w14:textId="77777777" w:rsidR="0059410B" w:rsidRPr="00B97A8C" w:rsidRDefault="0059410B" w:rsidP="0059410B">
      <w:pPr>
        <w:rPr>
          <w:rFonts w:asciiTheme="majorHAnsi" w:hAnsiTheme="majorHAnsi" w:cs="Times New Roman"/>
          <w:sz w:val="20"/>
          <w:szCs w:val="20"/>
        </w:rPr>
      </w:pPr>
    </w:p>
    <w:p w14:paraId="57D39534" w14:textId="77777777" w:rsidR="0059410B"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b/>
          <w:sz w:val="20"/>
          <w:szCs w:val="20"/>
        </w:rPr>
        <w:t>Supplementary Table 1</w:t>
      </w:r>
      <w:r w:rsidRPr="00B97A8C">
        <w:rPr>
          <w:rFonts w:asciiTheme="majorHAnsi" w:hAnsiTheme="majorHAnsi" w:cs="Times New Roman"/>
          <w:sz w:val="20"/>
          <w:szCs w:val="20"/>
        </w:rPr>
        <w:t>. Single determination standard deviation for visual CT scores. CT=computed tomography.</w:t>
      </w:r>
    </w:p>
    <w:p w14:paraId="14DDE1D5" w14:textId="77777777" w:rsidR="004C0A6E" w:rsidRPr="00B97A8C" w:rsidRDefault="004C0A6E" w:rsidP="0059410B">
      <w:pPr>
        <w:spacing w:line="480" w:lineRule="auto"/>
        <w:rPr>
          <w:rFonts w:asciiTheme="majorHAnsi" w:hAnsiTheme="majorHAnsi" w:cs="Times New Roman"/>
          <w:sz w:val="20"/>
          <w:szCs w:val="20"/>
        </w:rPr>
      </w:pPr>
    </w:p>
    <w:p w14:paraId="41FADC14" w14:textId="4E9E2FAC" w:rsidR="001E62ED" w:rsidRDefault="001E62ED">
      <w:pPr>
        <w:rPr>
          <w:rFonts w:asciiTheme="majorHAnsi" w:hAnsiTheme="majorHAnsi" w:cs="Times New Roman"/>
          <w:b/>
        </w:rPr>
      </w:pPr>
      <w:r>
        <w:rPr>
          <w:rFonts w:asciiTheme="majorHAnsi" w:hAnsiTheme="majorHAnsi" w:cs="Times New Roman"/>
          <w:b/>
        </w:rPr>
        <w:br w:type="page"/>
      </w:r>
    </w:p>
    <w:p w14:paraId="4B4260BC" w14:textId="35AA8753" w:rsidR="001E62ED" w:rsidRDefault="001E62ED" w:rsidP="001E62ED">
      <w:pPr>
        <w:spacing w:line="480" w:lineRule="auto"/>
        <w:jc w:val="center"/>
        <w:rPr>
          <w:rFonts w:asciiTheme="majorHAnsi" w:hAnsiTheme="majorHAnsi" w:cs="Times New Roman"/>
          <w:b/>
        </w:rPr>
      </w:pPr>
      <w:r w:rsidRPr="001E62ED">
        <w:rPr>
          <w:rFonts w:asciiTheme="majorHAnsi" w:hAnsiTheme="majorHAnsi" w:cs="Times New Roman"/>
        </w:rPr>
        <w:t xml:space="preserve">Multivariate Cox analyses comparing pulmonary vessel volume (PVV) with </w:t>
      </w:r>
      <w:r w:rsidRPr="001E62ED">
        <w:rPr>
          <w:rFonts w:asciiTheme="majorHAnsi" w:hAnsiTheme="majorHAnsi" w:cs="Times New Roman"/>
        </w:rPr>
        <w:t xml:space="preserve">functional indices </w:t>
      </w:r>
      <w:r w:rsidRPr="001E62ED">
        <w:rPr>
          <w:rFonts w:asciiTheme="majorHAnsi" w:hAnsiTheme="majorHAnsi" w:cs="Times New Roman"/>
        </w:rPr>
        <w:t>as predictors of outcome</w:t>
      </w:r>
    </w:p>
    <w:tbl>
      <w:tblPr>
        <w:tblStyle w:val="TableGrid"/>
        <w:tblW w:w="8080" w:type="dxa"/>
        <w:tblInd w:w="108" w:type="dxa"/>
        <w:tblLook w:val="04A0" w:firstRow="1" w:lastRow="0" w:firstColumn="1" w:lastColumn="0" w:noHBand="0" w:noVBand="1"/>
      </w:tblPr>
      <w:tblGrid>
        <w:gridCol w:w="1985"/>
        <w:gridCol w:w="1276"/>
        <w:gridCol w:w="992"/>
        <w:gridCol w:w="1134"/>
        <w:gridCol w:w="1559"/>
        <w:gridCol w:w="1134"/>
      </w:tblGrid>
      <w:tr w:rsidR="000449AB" w:rsidRPr="00653221" w14:paraId="5ED89EB6" w14:textId="77777777" w:rsidTr="00E25208">
        <w:trPr>
          <w:trHeight w:val="347"/>
        </w:trPr>
        <w:tc>
          <w:tcPr>
            <w:tcW w:w="1985" w:type="dxa"/>
            <w:vMerge w:val="restart"/>
            <w:tcBorders>
              <w:top w:val="single" w:sz="24" w:space="0" w:color="auto"/>
              <w:left w:val="nil"/>
              <w:right w:val="nil"/>
            </w:tcBorders>
          </w:tcPr>
          <w:p w14:paraId="757FCD27" w14:textId="77777777" w:rsidR="000449AB" w:rsidRPr="00653221" w:rsidRDefault="000449AB" w:rsidP="000449AB">
            <w:pPr>
              <w:rPr>
                <w:rFonts w:asciiTheme="majorHAnsi" w:hAnsiTheme="majorHAnsi"/>
              </w:rPr>
            </w:pPr>
          </w:p>
        </w:tc>
        <w:tc>
          <w:tcPr>
            <w:tcW w:w="1276" w:type="dxa"/>
            <w:vMerge w:val="restart"/>
            <w:tcBorders>
              <w:top w:val="single" w:sz="24" w:space="0" w:color="auto"/>
              <w:left w:val="nil"/>
              <w:right w:val="nil"/>
            </w:tcBorders>
          </w:tcPr>
          <w:p w14:paraId="42EE3B7E" w14:textId="77777777" w:rsidR="000449AB" w:rsidRPr="00653221" w:rsidRDefault="000449AB" w:rsidP="000449AB">
            <w:pPr>
              <w:rPr>
                <w:rFonts w:asciiTheme="majorHAnsi" w:hAnsiTheme="majorHAnsi"/>
              </w:rPr>
            </w:pPr>
            <w:r w:rsidRPr="00653221">
              <w:rPr>
                <w:rFonts w:asciiTheme="majorHAnsi" w:hAnsiTheme="majorHAnsi"/>
              </w:rPr>
              <w:t>Number of patients</w:t>
            </w:r>
          </w:p>
        </w:tc>
        <w:tc>
          <w:tcPr>
            <w:tcW w:w="992" w:type="dxa"/>
            <w:vMerge w:val="restart"/>
            <w:tcBorders>
              <w:top w:val="single" w:sz="24" w:space="0" w:color="auto"/>
              <w:left w:val="nil"/>
              <w:right w:val="nil"/>
            </w:tcBorders>
          </w:tcPr>
          <w:p w14:paraId="486D2105" w14:textId="77777777" w:rsidR="000449AB" w:rsidRPr="00653221" w:rsidRDefault="000449AB" w:rsidP="000449AB">
            <w:pPr>
              <w:rPr>
                <w:rFonts w:asciiTheme="majorHAnsi" w:hAnsiTheme="majorHAnsi"/>
              </w:rPr>
            </w:pPr>
            <w:r w:rsidRPr="00653221">
              <w:rPr>
                <w:rFonts w:asciiTheme="majorHAnsi" w:hAnsiTheme="majorHAnsi"/>
              </w:rPr>
              <w:t>Hazard ratio</w:t>
            </w:r>
          </w:p>
        </w:tc>
        <w:tc>
          <w:tcPr>
            <w:tcW w:w="1134" w:type="dxa"/>
            <w:vMerge w:val="restart"/>
            <w:tcBorders>
              <w:top w:val="single" w:sz="24" w:space="0" w:color="auto"/>
              <w:left w:val="nil"/>
              <w:right w:val="nil"/>
            </w:tcBorders>
          </w:tcPr>
          <w:p w14:paraId="1D98AB43" w14:textId="77777777" w:rsidR="000449AB" w:rsidRPr="00653221" w:rsidRDefault="000449AB" w:rsidP="000449AB">
            <w:pPr>
              <w:rPr>
                <w:rFonts w:asciiTheme="majorHAnsi" w:hAnsiTheme="majorHAnsi"/>
              </w:rPr>
            </w:pPr>
            <w:r w:rsidRPr="00653221">
              <w:rPr>
                <w:rFonts w:asciiTheme="majorHAnsi" w:hAnsiTheme="majorHAnsi"/>
              </w:rPr>
              <w:t>P Value</w:t>
            </w:r>
          </w:p>
        </w:tc>
        <w:tc>
          <w:tcPr>
            <w:tcW w:w="2693" w:type="dxa"/>
            <w:gridSpan w:val="2"/>
            <w:tcBorders>
              <w:top w:val="single" w:sz="24" w:space="0" w:color="auto"/>
              <w:left w:val="nil"/>
              <w:bottom w:val="nil"/>
              <w:right w:val="nil"/>
            </w:tcBorders>
          </w:tcPr>
          <w:p w14:paraId="04EEF924" w14:textId="77777777" w:rsidR="000449AB" w:rsidRPr="00653221" w:rsidRDefault="000449AB" w:rsidP="000449AB">
            <w:pPr>
              <w:jc w:val="center"/>
              <w:rPr>
                <w:rFonts w:asciiTheme="majorHAnsi" w:hAnsiTheme="majorHAnsi"/>
              </w:rPr>
            </w:pPr>
            <w:r w:rsidRPr="00653221">
              <w:rPr>
                <w:rFonts w:asciiTheme="majorHAnsi" w:hAnsiTheme="majorHAnsi"/>
              </w:rPr>
              <w:t>95.0% Confidence Interval</w:t>
            </w:r>
          </w:p>
        </w:tc>
      </w:tr>
      <w:tr w:rsidR="000449AB" w:rsidRPr="00653221" w14:paraId="1F684B72" w14:textId="77777777" w:rsidTr="00E25208">
        <w:trPr>
          <w:trHeight w:val="336"/>
        </w:trPr>
        <w:tc>
          <w:tcPr>
            <w:tcW w:w="1985" w:type="dxa"/>
            <w:vMerge/>
            <w:tcBorders>
              <w:top w:val="single" w:sz="4" w:space="0" w:color="auto"/>
              <w:left w:val="nil"/>
              <w:bottom w:val="single" w:sz="24" w:space="0" w:color="auto"/>
              <w:right w:val="nil"/>
            </w:tcBorders>
          </w:tcPr>
          <w:p w14:paraId="374D94A5" w14:textId="77777777" w:rsidR="000449AB" w:rsidRPr="00653221" w:rsidRDefault="000449AB" w:rsidP="000449AB">
            <w:pPr>
              <w:rPr>
                <w:rFonts w:asciiTheme="majorHAnsi" w:hAnsiTheme="majorHAnsi"/>
              </w:rPr>
            </w:pPr>
          </w:p>
        </w:tc>
        <w:tc>
          <w:tcPr>
            <w:tcW w:w="1276" w:type="dxa"/>
            <w:vMerge/>
            <w:tcBorders>
              <w:top w:val="single" w:sz="4" w:space="0" w:color="auto"/>
              <w:left w:val="nil"/>
              <w:bottom w:val="single" w:sz="24" w:space="0" w:color="auto"/>
              <w:right w:val="nil"/>
            </w:tcBorders>
          </w:tcPr>
          <w:p w14:paraId="364C4054" w14:textId="77777777" w:rsidR="000449AB" w:rsidRPr="00653221" w:rsidRDefault="000449AB" w:rsidP="000449AB">
            <w:pPr>
              <w:rPr>
                <w:rFonts w:asciiTheme="majorHAnsi" w:hAnsiTheme="majorHAnsi"/>
              </w:rPr>
            </w:pPr>
          </w:p>
        </w:tc>
        <w:tc>
          <w:tcPr>
            <w:tcW w:w="992" w:type="dxa"/>
            <w:vMerge/>
            <w:tcBorders>
              <w:top w:val="single" w:sz="4" w:space="0" w:color="auto"/>
              <w:left w:val="nil"/>
              <w:bottom w:val="single" w:sz="24" w:space="0" w:color="auto"/>
              <w:right w:val="nil"/>
            </w:tcBorders>
          </w:tcPr>
          <w:p w14:paraId="264CADCF" w14:textId="77777777" w:rsidR="000449AB" w:rsidRPr="00653221" w:rsidRDefault="000449AB" w:rsidP="000449AB">
            <w:pPr>
              <w:rPr>
                <w:rFonts w:asciiTheme="majorHAnsi" w:hAnsiTheme="majorHAnsi"/>
              </w:rPr>
            </w:pPr>
          </w:p>
        </w:tc>
        <w:tc>
          <w:tcPr>
            <w:tcW w:w="1134" w:type="dxa"/>
            <w:vMerge/>
            <w:tcBorders>
              <w:top w:val="single" w:sz="4" w:space="0" w:color="auto"/>
              <w:left w:val="nil"/>
              <w:bottom w:val="single" w:sz="24" w:space="0" w:color="auto"/>
              <w:right w:val="nil"/>
            </w:tcBorders>
          </w:tcPr>
          <w:p w14:paraId="66B4A920" w14:textId="77777777" w:rsidR="000449AB" w:rsidRPr="00653221" w:rsidRDefault="000449AB" w:rsidP="000449AB">
            <w:pPr>
              <w:rPr>
                <w:rFonts w:asciiTheme="majorHAnsi" w:hAnsiTheme="majorHAnsi"/>
              </w:rPr>
            </w:pPr>
          </w:p>
        </w:tc>
        <w:tc>
          <w:tcPr>
            <w:tcW w:w="1559" w:type="dxa"/>
            <w:tcBorders>
              <w:top w:val="nil"/>
              <w:left w:val="nil"/>
              <w:bottom w:val="single" w:sz="24" w:space="0" w:color="auto"/>
              <w:right w:val="nil"/>
            </w:tcBorders>
          </w:tcPr>
          <w:p w14:paraId="3BC9230B" w14:textId="77777777" w:rsidR="000449AB" w:rsidRPr="00653221" w:rsidRDefault="000449AB" w:rsidP="000449AB">
            <w:pPr>
              <w:rPr>
                <w:rFonts w:asciiTheme="majorHAnsi" w:hAnsiTheme="majorHAnsi"/>
              </w:rPr>
            </w:pPr>
            <w:r w:rsidRPr="00653221">
              <w:rPr>
                <w:rFonts w:asciiTheme="majorHAnsi" w:hAnsiTheme="majorHAnsi"/>
              </w:rPr>
              <w:t>Lower</w:t>
            </w:r>
          </w:p>
        </w:tc>
        <w:tc>
          <w:tcPr>
            <w:tcW w:w="1134" w:type="dxa"/>
            <w:tcBorders>
              <w:top w:val="nil"/>
              <w:left w:val="nil"/>
              <w:bottom w:val="single" w:sz="24" w:space="0" w:color="auto"/>
              <w:right w:val="nil"/>
            </w:tcBorders>
          </w:tcPr>
          <w:p w14:paraId="2E521E7C" w14:textId="77777777" w:rsidR="000449AB" w:rsidRPr="00653221" w:rsidRDefault="000449AB" w:rsidP="000449AB">
            <w:pPr>
              <w:rPr>
                <w:rFonts w:asciiTheme="majorHAnsi" w:hAnsiTheme="majorHAnsi"/>
              </w:rPr>
            </w:pPr>
            <w:r w:rsidRPr="00653221">
              <w:rPr>
                <w:rFonts w:asciiTheme="majorHAnsi" w:hAnsiTheme="majorHAnsi"/>
              </w:rPr>
              <w:t>Upper</w:t>
            </w:r>
          </w:p>
        </w:tc>
      </w:tr>
      <w:tr w:rsidR="000449AB" w:rsidRPr="00C0329C" w14:paraId="2DD25269" w14:textId="77777777" w:rsidTr="00E25208">
        <w:tc>
          <w:tcPr>
            <w:tcW w:w="1985" w:type="dxa"/>
            <w:tcBorders>
              <w:top w:val="single" w:sz="24" w:space="0" w:color="auto"/>
              <w:left w:val="nil"/>
              <w:bottom w:val="nil"/>
              <w:right w:val="nil"/>
            </w:tcBorders>
          </w:tcPr>
          <w:p w14:paraId="7F232A6E" w14:textId="56416A8F" w:rsidR="000449AB" w:rsidRPr="00680448" w:rsidRDefault="000449AB" w:rsidP="000449AB">
            <w:pPr>
              <w:rPr>
                <w:rFonts w:asciiTheme="majorHAnsi" w:hAnsiTheme="majorHAnsi"/>
              </w:rPr>
            </w:pPr>
            <w:r w:rsidRPr="00680448">
              <w:rPr>
                <w:rFonts w:asciiTheme="majorHAnsi" w:hAnsiTheme="majorHAnsi"/>
              </w:rPr>
              <w:t xml:space="preserve">CALIPER </w:t>
            </w:r>
            <w:r>
              <w:rPr>
                <w:rFonts w:asciiTheme="majorHAnsi" w:hAnsiTheme="majorHAnsi"/>
              </w:rPr>
              <w:t>PVV</w:t>
            </w:r>
          </w:p>
        </w:tc>
        <w:tc>
          <w:tcPr>
            <w:tcW w:w="1276" w:type="dxa"/>
            <w:tcBorders>
              <w:top w:val="single" w:sz="24" w:space="0" w:color="auto"/>
              <w:left w:val="nil"/>
              <w:bottom w:val="nil"/>
              <w:right w:val="nil"/>
            </w:tcBorders>
          </w:tcPr>
          <w:p w14:paraId="031FABE3" w14:textId="56D9F380" w:rsidR="000449AB" w:rsidRPr="00680448" w:rsidRDefault="000449AB" w:rsidP="000449AB">
            <w:pPr>
              <w:rPr>
                <w:rFonts w:asciiTheme="majorHAnsi" w:hAnsiTheme="majorHAnsi"/>
              </w:rPr>
            </w:pPr>
            <w:r>
              <w:rPr>
                <w:rFonts w:asciiTheme="majorHAnsi" w:hAnsiTheme="majorHAnsi"/>
              </w:rPr>
              <w:t>11</w:t>
            </w:r>
            <w:r w:rsidR="004C0A6E">
              <w:rPr>
                <w:rFonts w:asciiTheme="majorHAnsi" w:hAnsiTheme="majorHAnsi"/>
              </w:rPr>
              <w:t>2</w:t>
            </w:r>
          </w:p>
        </w:tc>
        <w:tc>
          <w:tcPr>
            <w:tcW w:w="992" w:type="dxa"/>
            <w:tcBorders>
              <w:top w:val="single" w:sz="24" w:space="0" w:color="auto"/>
              <w:left w:val="nil"/>
              <w:bottom w:val="nil"/>
              <w:right w:val="nil"/>
            </w:tcBorders>
          </w:tcPr>
          <w:p w14:paraId="7111C28F" w14:textId="057CA272" w:rsidR="000449AB" w:rsidRPr="00680448" w:rsidRDefault="004C0A6E" w:rsidP="000449AB">
            <w:pPr>
              <w:rPr>
                <w:rFonts w:asciiTheme="majorHAnsi" w:hAnsiTheme="majorHAnsi"/>
              </w:rPr>
            </w:pPr>
            <w:r>
              <w:rPr>
                <w:rFonts w:asciiTheme="majorHAnsi" w:hAnsiTheme="majorHAnsi"/>
              </w:rPr>
              <w:t>1.77</w:t>
            </w:r>
          </w:p>
        </w:tc>
        <w:tc>
          <w:tcPr>
            <w:tcW w:w="1134" w:type="dxa"/>
            <w:tcBorders>
              <w:top w:val="single" w:sz="24" w:space="0" w:color="auto"/>
              <w:left w:val="nil"/>
              <w:bottom w:val="nil"/>
              <w:right w:val="nil"/>
            </w:tcBorders>
          </w:tcPr>
          <w:p w14:paraId="5161D067" w14:textId="3C6839C2" w:rsidR="000449AB" w:rsidRPr="00680448" w:rsidRDefault="004C0A6E" w:rsidP="000449AB">
            <w:pPr>
              <w:rPr>
                <w:rFonts w:asciiTheme="majorHAnsi" w:hAnsiTheme="majorHAnsi"/>
              </w:rPr>
            </w:pPr>
            <w:r>
              <w:rPr>
                <w:rFonts w:asciiTheme="majorHAnsi" w:hAnsiTheme="majorHAnsi"/>
              </w:rPr>
              <w:t>&lt;0.0001</w:t>
            </w:r>
          </w:p>
        </w:tc>
        <w:tc>
          <w:tcPr>
            <w:tcW w:w="1559" w:type="dxa"/>
            <w:tcBorders>
              <w:top w:val="single" w:sz="24" w:space="0" w:color="auto"/>
              <w:left w:val="nil"/>
              <w:bottom w:val="nil"/>
              <w:right w:val="nil"/>
            </w:tcBorders>
          </w:tcPr>
          <w:p w14:paraId="3084D1EA" w14:textId="5B230755" w:rsidR="000449AB" w:rsidRPr="00680448" w:rsidRDefault="004C0A6E" w:rsidP="000449AB">
            <w:pPr>
              <w:rPr>
                <w:rFonts w:asciiTheme="majorHAnsi" w:hAnsiTheme="majorHAnsi"/>
              </w:rPr>
            </w:pPr>
            <w:r>
              <w:rPr>
                <w:rFonts w:asciiTheme="majorHAnsi" w:hAnsiTheme="majorHAnsi"/>
              </w:rPr>
              <w:t>1.35</w:t>
            </w:r>
          </w:p>
        </w:tc>
        <w:tc>
          <w:tcPr>
            <w:tcW w:w="1134" w:type="dxa"/>
            <w:tcBorders>
              <w:top w:val="single" w:sz="24" w:space="0" w:color="auto"/>
              <w:left w:val="nil"/>
              <w:bottom w:val="nil"/>
              <w:right w:val="nil"/>
            </w:tcBorders>
          </w:tcPr>
          <w:p w14:paraId="7275D752" w14:textId="0E5736D6" w:rsidR="000449AB" w:rsidRPr="00680448" w:rsidRDefault="004C0A6E" w:rsidP="000449AB">
            <w:pPr>
              <w:rPr>
                <w:rFonts w:asciiTheme="majorHAnsi" w:hAnsiTheme="majorHAnsi"/>
              </w:rPr>
            </w:pPr>
            <w:r>
              <w:rPr>
                <w:rFonts w:asciiTheme="majorHAnsi" w:hAnsiTheme="majorHAnsi"/>
              </w:rPr>
              <w:t>2.31</w:t>
            </w:r>
          </w:p>
        </w:tc>
      </w:tr>
      <w:tr w:rsidR="000449AB" w:rsidRPr="00C0329C" w14:paraId="641095FC" w14:textId="77777777" w:rsidTr="00E25208">
        <w:tc>
          <w:tcPr>
            <w:tcW w:w="1985" w:type="dxa"/>
            <w:tcBorders>
              <w:top w:val="nil"/>
              <w:left w:val="nil"/>
              <w:bottom w:val="dashSmallGap" w:sz="4" w:space="0" w:color="auto"/>
              <w:right w:val="nil"/>
            </w:tcBorders>
          </w:tcPr>
          <w:p w14:paraId="78B05617" w14:textId="6B0E072A" w:rsidR="000449AB" w:rsidRPr="00680448" w:rsidRDefault="000449AB" w:rsidP="000449AB">
            <w:pPr>
              <w:rPr>
                <w:rFonts w:asciiTheme="majorHAnsi" w:hAnsiTheme="majorHAnsi"/>
              </w:rPr>
            </w:pPr>
            <w:r>
              <w:rPr>
                <w:rFonts w:asciiTheme="majorHAnsi" w:hAnsiTheme="majorHAnsi"/>
              </w:rPr>
              <w:t>FVC</w:t>
            </w:r>
          </w:p>
        </w:tc>
        <w:tc>
          <w:tcPr>
            <w:tcW w:w="1276" w:type="dxa"/>
            <w:tcBorders>
              <w:top w:val="nil"/>
              <w:left w:val="nil"/>
              <w:bottom w:val="dashSmallGap" w:sz="4" w:space="0" w:color="auto"/>
              <w:right w:val="nil"/>
            </w:tcBorders>
          </w:tcPr>
          <w:p w14:paraId="1FE3A94B" w14:textId="20844AF9" w:rsidR="000449AB" w:rsidRPr="00680448" w:rsidRDefault="000449AB" w:rsidP="000449AB">
            <w:pPr>
              <w:rPr>
                <w:rFonts w:asciiTheme="majorHAnsi" w:hAnsiTheme="majorHAnsi"/>
              </w:rPr>
            </w:pPr>
            <w:r w:rsidRPr="00680448">
              <w:rPr>
                <w:rFonts w:asciiTheme="majorHAnsi" w:hAnsiTheme="majorHAnsi"/>
              </w:rPr>
              <w:t>1</w:t>
            </w:r>
            <w:r>
              <w:rPr>
                <w:rFonts w:asciiTheme="majorHAnsi" w:hAnsiTheme="majorHAnsi"/>
              </w:rPr>
              <w:t>1</w:t>
            </w:r>
            <w:r w:rsidR="004C0A6E">
              <w:rPr>
                <w:rFonts w:asciiTheme="majorHAnsi" w:hAnsiTheme="majorHAnsi"/>
              </w:rPr>
              <w:t>2</w:t>
            </w:r>
          </w:p>
        </w:tc>
        <w:tc>
          <w:tcPr>
            <w:tcW w:w="992" w:type="dxa"/>
            <w:tcBorders>
              <w:top w:val="nil"/>
              <w:left w:val="nil"/>
              <w:bottom w:val="dashSmallGap" w:sz="4" w:space="0" w:color="auto"/>
              <w:right w:val="nil"/>
            </w:tcBorders>
          </w:tcPr>
          <w:p w14:paraId="7BE25C50" w14:textId="77777777" w:rsidR="000449AB" w:rsidRPr="00680448" w:rsidRDefault="000449AB" w:rsidP="000449AB">
            <w:pPr>
              <w:rPr>
                <w:rFonts w:asciiTheme="majorHAnsi" w:hAnsiTheme="majorHAnsi"/>
              </w:rPr>
            </w:pPr>
            <w:r>
              <w:rPr>
                <w:rFonts w:asciiTheme="majorHAnsi" w:hAnsiTheme="majorHAnsi"/>
              </w:rPr>
              <w:t>1·</w:t>
            </w:r>
            <w:r w:rsidRPr="00680448">
              <w:rPr>
                <w:rFonts w:asciiTheme="majorHAnsi" w:hAnsiTheme="majorHAnsi"/>
              </w:rPr>
              <w:t>02</w:t>
            </w:r>
          </w:p>
        </w:tc>
        <w:tc>
          <w:tcPr>
            <w:tcW w:w="1134" w:type="dxa"/>
            <w:tcBorders>
              <w:top w:val="nil"/>
              <w:left w:val="nil"/>
              <w:bottom w:val="dashSmallGap" w:sz="4" w:space="0" w:color="auto"/>
              <w:right w:val="nil"/>
            </w:tcBorders>
          </w:tcPr>
          <w:p w14:paraId="35FC6080" w14:textId="551C5EA8" w:rsidR="000449AB" w:rsidRPr="00680448" w:rsidRDefault="000449AB" w:rsidP="000449AB">
            <w:pPr>
              <w:rPr>
                <w:rFonts w:asciiTheme="majorHAnsi" w:hAnsiTheme="majorHAnsi"/>
              </w:rPr>
            </w:pPr>
            <w:r>
              <w:rPr>
                <w:rFonts w:asciiTheme="majorHAnsi" w:hAnsiTheme="majorHAnsi"/>
              </w:rPr>
              <w:t xml:space="preserve">  0·</w:t>
            </w:r>
            <w:r w:rsidR="004C0A6E">
              <w:rPr>
                <w:rFonts w:asciiTheme="majorHAnsi" w:hAnsiTheme="majorHAnsi"/>
              </w:rPr>
              <w:t>2</w:t>
            </w:r>
            <w:r w:rsidRPr="00680448">
              <w:rPr>
                <w:rFonts w:asciiTheme="majorHAnsi" w:hAnsiTheme="majorHAnsi"/>
              </w:rPr>
              <w:t>1</w:t>
            </w:r>
          </w:p>
        </w:tc>
        <w:tc>
          <w:tcPr>
            <w:tcW w:w="1559" w:type="dxa"/>
            <w:tcBorders>
              <w:top w:val="nil"/>
              <w:left w:val="nil"/>
              <w:bottom w:val="dashSmallGap" w:sz="4" w:space="0" w:color="auto"/>
              <w:right w:val="nil"/>
            </w:tcBorders>
          </w:tcPr>
          <w:p w14:paraId="2E0ED6A8" w14:textId="06A55451" w:rsidR="000449AB" w:rsidRPr="00680448" w:rsidRDefault="004C0A6E" w:rsidP="000449AB">
            <w:pPr>
              <w:rPr>
                <w:rFonts w:asciiTheme="majorHAnsi" w:hAnsiTheme="majorHAnsi"/>
              </w:rPr>
            </w:pPr>
            <w:r>
              <w:rPr>
                <w:rFonts w:asciiTheme="majorHAnsi" w:hAnsiTheme="majorHAnsi"/>
              </w:rPr>
              <w:t>0.99</w:t>
            </w:r>
          </w:p>
        </w:tc>
        <w:tc>
          <w:tcPr>
            <w:tcW w:w="1134" w:type="dxa"/>
            <w:tcBorders>
              <w:top w:val="nil"/>
              <w:left w:val="nil"/>
              <w:bottom w:val="dashSmallGap" w:sz="4" w:space="0" w:color="auto"/>
              <w:right w:val="nil"/>
            </w:tcBorders>
          </w:tcPr>
          <w:p w14:paraId="0A4DC1CD" w14:textId="17EB6926" w:rsidR="000449AB" w:rsidRPr="00680448" w:rsidRDefault="000449AB" w:rsidP="000449AB">
            <w:pPr>
              <w:rPr>
                <w:rFonts w:asciiTheme="majorHAnsi" w:hAnsiTheme="majorHAnsi"/>
              </w:rPr>
            </w:pPr>
            <w:r>
              <w:rPr>
                <w:rFonts w:asciiTheme="majorHAnsi" w:hAnsiTheme="majorHAnsi"/>
              </w:rPr>
              <w:t>1·</w:t>
            </w:r>
            <w:r w:rsidR="004C0A6E">
              <w:rPr>
                <w:rFonts w:asciiTheme="majorHAnsi" w:hAnsiTheme="majorHAnsi"/>
              </w:rPr>
              <w:t>04</w:t>
            </w:r>
          </w:p>
        </w:tc>
      </w:tr>
      <w:tr w:rsidR="000449AB" w:rsidRPr="00C0329C" w14:paraId="1CA31689" w14:textId="77777777" w:rsidTr="00E25208">
        <w:tc>
          <w:tcPr>
            <w:tcW w:w="1985" w:type="dxa"/>
            <w:tcBorders>
              <w:top w:val="dashSmallGap" w:sz="4" w:space="0" w:color="auto"/>
              <w:left w:val="nil"/>
              <w:bottom w:val="nil"/>
              <w:right w:val="nil"/>
            </w:tcBorders>
          </w:tcPr>
          <w:p w14:paraId="6B56CD72" w14:textId="554877D4" w:rsidR="000449AB" w:rsidRPr="00680448" w:rsidRDefault="000449AB" w:rsidP="000449AB">
            <w:pPr>
              <w:rPr>
                <w:rFonts w:asciiTheme="majorHAnsi" w:hAnsiTheme="majorHAnsi"/>
              </w:rPr>
            </w:pPr>
            <w:r w:rsidRPr="00680448">
              <w:rPr>
                <w:rFonts w:asciiTheme="majorHAnsi" w:hAnsiTheme="majorHAnsi"/>
              </w:rPr>
              <w:t xml:space="preserve">CALIPER </w:t>
            </w:r>
            <w:r>
              <w:rPr>
                <w:rFonts w:asciiTheme="majorHAnsi" w:hAnsiTheme="majorHAnsi"/>
              </w:rPr>
              <w:t>PVV</w:t>
            </w:r>
          </w:p>
        </w:tc>
        <w:tc>
          <w:tcPr>
            <w:tcW w:w="1276" w:type="dxa"/>
            <w:tcBorders>
              <w:top w:val="dashSmallGap" w:sz="4" w:space="0" w:color="auto"/>
              <w:left w:val="nil"/>
              <w:bottom w:val="nil"/>
              <w:right w:val="nil"/>
            </w:tcBorders>
          </w:tcPr>
          <w:p w14:paraId="7C1473A4" w14:textId="54158E54" w:rsidR="000449AB" w:rsidRPr="00680448" w:rsidRDefault="000449AB" w:rsidP="000449AB">
            <w:pPr>
              <w:rPr>
                <w:rFonts w:asciiTheme="majorHAnsi" w:hAnsiTheme="majorHAnsi"/>
              </w:rPr>
            </w:pPr>
            <w:r w:rsidRPr="00680448">
              <w:rPr>
                <w:rFonts w:asciiTheme="majorHAnsi" w:hAnsiTheme="majorHAnsi"/>
              </w:rPr>
              <w:t>1</w:t>
            </w:r>
            <w:r w:rsidR="004C0A6E">
              <w:rPr>
                <w:rFonts w:asciiTheme="majorHAnsi" w:hAnsiTheme="majorHAnsi"/>
              </w:rPr>
              <w:t>09</w:t>
            </w:r>
          </w:p>
        </w:tc>
        <w:tc>
          <w:tcPr>
            <w:tcW w:w="992" w:type="dxa"/>
            <w:tcBorders>
              <w:top w:val="dashSmallGap" w:sz="4" w:space="0" w:color="auto"/>
              <w:left w:val="nil"/>
              <w:bottom w:val="nil"/>
              <w:right w:val="nil"/>
            </w:tcBorders>
          </w:tcPr>
          <w:p w14:paraId="37A543B4" w14:textId="43B0EFF8" w:rsidR="000449AB" w:rsidRPr="00680448" w:rsidRDefault="000449AB" w:rsidP="000449AB">
            <w:pPr>
              <w:rPr>
                <w:rFonts w:asciiTheme="majorHAnsi" w:hAnsiTheme="majorHAnsi"/>
              </w:rPr>
            </w:pPr>
            <w:r>
              <w:rPr>
                <w:rFonts w:asciiTheme="majorHAnsi" w:hAnsiTheme="majorHAnsi"/>
              </w:rPr>
              <w:t>1·</w:t>
            </w:r>
            <w:r w:rsidR="004C0A6E">
              <w:rPr>
                <w:rFonts w:asciiTheme="majorHAnsi" w:hAnsiTheme="majorHAnsi"/>
              </w:rPr>
              <w:t>40</w:t>
            </w:r>
          </w:p>
        </w:tc>
        <w:tc>
          <w:tcPr>
            <w:tcW w:w="1134" w:type="dxa"/>
            <w:tcBorders>
              <w:top w:val="dashSmallGap" w:sz="4" w:space="0" w:color="auto"/>
              <w:left w:val="nil"/>
              <w:bottom w:val="nil"/>
              <w:right w:val="nil"/>
            </w:tcBorders>
          </w:tcPr>
          <w:p w14:paraId="5A23243C" w14:textId="181F89BF" w:rsidR="000449AB" w:rsidRPr="00680448" w:rsidRDefault="004C0A6E" w:rsidP="004C0A6E">
            <w:pPr>
              <w:rPr>
                <w:rFonts w:asciiTheme="majorHAnsi" w:hAnsiTheme="majorHAnsi"/>
              </w:rPr>
            </w:pPr>
            <w:r>
              <w:rPr>
                <w:rFonts w:asciiTheme="majorHAnsi" w:hAnsiTheme="majorHAnsi"/>
              </w:rPr>
              <w:t xml:space="preserve">  </w:t>
            </w:r>
            <w:r w:rsidR="000449AB">
              <w:rPr>
                <w:rFonts w:asciiTheme="majorHAnsi" w:hAnsiTheme="majorHAnsi"/>
              </w:rPr>
              <w:t>0·</w:t>
            </w:r>
            <w:r w:rsidR="000449AB" w:rsidRPr="00680448">
              <w:rPr>
                <w:rFonts w:asciiTheme="majorHAnsi" w:hAnsiTheme="majorHAnsi"/>
              </w:rPr>
              <w:t>00</w:t>
            </w:r>
            <w:r>
              <w:rPr>
                <w:rFonts w:asciiTheme="majorHAnsi" w:hAnsiTheme="majorHAnsi"/>
              </w:rPr>
              <w:t>4</w:t>
            </w:r>
          </w:p>
        </w:tc>
        <w:tc>
          <w:tcPr>
            <w:tcW w:w="1559" w:type="dxa"/>
            <w:tcBorders>
              <w:top w:val="dashSmallGap" w:sz="4" w:space="0" w:color="auto"/>
              <w:left w:val="nil"/>
              <w:bottom w:val="nil"/>
              <w:right w:val="nil"/>
            </w:tcBorders>
          </w:tcPr>
          <w:p w14:paraId="1131F574" w14:textId="2974EDB1" w:rsidR="000449AB" w:rsidRPr="00680448" w:rsidRDefault="000449AB" w:rsidP="000449AB">
            <w:pPr>
              <w:rPr>
                <w:rFonts w:asciiTheme="majorHAnsi" w:hAnsiTheme="majorHAnsi"/>
              </w:rPr>
            </w:pPr>
            <w:r>
              <w:rPr>
                <w:rFonts w:asciiTheme="majorHAnsi" w:hAnsiTheme="majorHAnsi"/>
              </w:rPr>
              <w:t>1·</w:t>
            </w:r>
            <w:r w:rsidR="004C0A6E">
              <w:rPr>
                <w:rFonts w:asciiTheme="majorHAnsi" w:hAnsiTheme="majorHAnsi"/>
              </w:rPr>
              <w:t>12</w:t>
            </w:r>
          </w:p>
        </w:tc>
        <w:tc>
          <w:tcPr>
            <w:tcW w:w="1134" w:type="dxa"/>
            <w:tcBorders>
              <w:top w:val="dashSmallGap" w:sz="4" w:space="0" w:color="auto"/>
              <w:left w:val="nil"/>
              <w:bottom w:val="nil"/>
              <w:right w:val="nil"/>
            </w:tcBorders>
          </w:tcPr>
          <w:p w14:paraId="44A22CF2" w14:textId="54FDE62B" w:rsidR="000449AB" w:rsidRPr="00680448" w:rsidRDefault="000449AB" w:rsidP="000449AB">
            <w:pPr>
              <w:rPr>
                <w:rFonts w:asciiTheme="majorHAnsi" w:hAnsiTheme="majorHAnsi"/>
              </w:rPr>
            </w:pPr>
            <w:r>
              <w:rPr>
                <w:rFonts w:asciiTheme="majorHAnsi" w:hAnsiTheme="majorHAnsi"/>
              </w:rPr>
              <w:t>1·</w:t>
            </w:r>
            <w:r w:rsidR="004C0A6E">
              <w:rPr>
                <w:rFonts w:asciiTheme="majorHAnsi" w:hAnsiTheme="majorHAnsi"/>
              </w:rPr>
              <w:t>75</w:t>
            </w:r>
          </w:p>
        </w:tc>
      </w:tr>
      <w:tr w:rsidR="000449AB" w:rsidRPr="00C0329C" w14:paraId="3621CD8C" w14:textId="77777777" w:rsidTr="00E25208">
        <w:tc>
          <w:tcPr>
            <w:tcW w:w="1985" w:type="dxa"/>
            <w:tcBorders>
              <w:top w:val="nil"/>
              <w:left w:val="nil"/>
              <w:bottom w:val="dashSmallGap" w:sz="4" w:space="0" w:color="auto"/>
              <w:right w:val="nil"/>
            </w:tcBorders>
          </w:tcPr>
          <w:p w14:paraId="37A43859" w14:textId="181CA53B" w:rsidR="000449AB" w:rsidRPr="00680448" w:rsidRDefault="000449AB" w:rsidP="000449AB">
            <w:pPr>
              <w:rPr>
                <w:rFonts w:asciiTheme="majorHAnsi" w:hAnsiTheme="majorHAnsi"/>
              </w:rPr>
            </w:pPr>
            <w:r>
              <w:rPr>
                <w:rFonts w:asciiTheme="majorHAnsi" w:hAnsiTheme="majorHAnsi"/>
              </w:rPr>
              <w:t>DLco</w:t>
            </w:r>
          </w:p>
        </w:tc>
        <w:tc>
          <w:tcPr>
            <w:tcW w:w="1276" w:type="dxa"/>
            <w:tcBorders>
              <w:top w:val="nil"/>
              <w:left w:val="nil"/>
              <w:bottom w:val="dashSmallGap" w:sz="4" w:space="0" w:color="auto"/>
              <w:right w:val="nil"/>
            </w:tcBorders>
          </w:tcPr>
          <w:p w14:paraId="3212791D" w14:textId="60A5073D" w:rsidR="000449AB" w:rsidRPr="00680448" w:rsidRDefault="004C0A6E" w:rsidP="000449AB">
            <w:pPr>
              <w:rPr>
                <w:rFonts w:asciiTheme="majorHAnsi" w:hAnsiTheme="majorHAnsi"/>
              </w:rPr>
            </w:pPr>
            <w:r>
              <w:rPr>
                <w:rFonts w:asciiTheme="majorHAnsi" w:hAnsiTheme="majorHAnsi"/>
              </w:rPr>
              <w:t>109</w:t>
            </w:r>
          </w:p>
        </w:tc>
        <w:tc>
          <w:tcPr>
            <w:tcW w:w="992" w:type="dxa"/>
            <w:tcBorders>
              <w:top w:val="nil"/>
              <w:left w:val="nil"/>
              <w:bottom w:val="dashSmallGap" w:sz="4" w:space="0" w:color="auto"/>
              <w:right w:val="nil"/>
            </w:tcBorders>
          </w:tcPr>
          <w:p w14:paraId="09BD0BA8" w14:textId="5A859527" w:rsidR="000449AB" w:rsidRPr="00680448" w:rsidRDefault="004C0A6E" w:rsidP="000449AB">
            <w:pPr>
              <w:rPr>
                <w:rFonts w:asciiTheme="majorHAnsi" w:hAnsiTheme="majorHAnsi"/>
              </w:rPr>
            </w:pPr>
            <w:r>
              <w:rPr>
                <w:rFonts w:asciiTheme="majorHAnsi" w:hAnsiTheme="majorHAnsi"/>
              </w:rPr>
              <w:t>0.98</w:t>
            </w:r>
          </w:p>
        </w:tc>
        <w:tc>
          <w:tcPr>
            <w:tcW w:w="1134" w:type="dxa"/>
            <w:tcBorders>
              <w:top w:val="nil"/>
              <w:left w:val="nil"/>
              <w:bottom w:val="dashSmallGap" w:sz="4" w:space="0" w:color="auto"/>
              <w:right w:val="nil"/>
            </w:tcBorders>
          </w:tcPr>
          <w:p w14:paraId="3474CF66" w14:textId="7B3795F8" w:rsidR="000449AB" w:rsidRPr="00680448" w:rsidRDefault="000449AB" w:rsidP="000449AB">
            <w:pPr>
              <w:rPr>
                <w:rFonts w:asciiTheme="majorHAnsi" w:hAnsiTheme="majorHAnsi"/>
              </w:rPr>
            </w:pPr>
            <w:r>
              <w:rPr>
                <w:rFonts w:asciiTheme="majorHAnsi" w:hAnsiTheme="majorHAnsi"/>
              </w:rPr>
              <w:t xml:space="preserve">  0·</w:t>
            </w:r>
            <w:r w:rsidR="004C0A6E">
              <w:rPr>
                <w:rFonts w:asciiTheme="majorHAnsi" w:hAnsiTheme="majorHAnsi"/>
              </w:rPr>
              <w:t>18</w:t>
            </w:r>
          </w:p>
        </w:tc>
        <w:tc>
          <w:tcPr>
            <w:tcW w:w="1559" w:type="dxa"/>
            <w:tcBorders>
              <w:top w:val="nil"/>
              <w:left w:val="nil"/>
              <w:bottom w:val="dashSmallGap" w:sz="4" w:space="0" w:color="auto"/>
              <w:right w:val="nil"/>
            </w:tcBorders>
          </w:tcPr>
          <w:p w14:paraId="00454BB5" w14:textId="53AAA69E" w:rsidR="000449AB" w:rsidRPr="00680448" w:rsidRDefault="004C0A6E" w:rsidP="000449AB">
            <w:pPr>
              <w:rPr>
                <w:rFonts w:asciiTheme="majorHAnsi" w:hAnsiTheme="majorHAnsi"/>
              </w:rPr>
            </w:pPr>
            <w:r>
              <w:rPr>
                <w:rFonts w:asciiTheme="majorHAnsi" w:hAnsiTheme="majorHAnsi"/>
              </w:rPr>
              <w:t>0.95</w:t>
            </w:r>
          </w:p>
        </w:tc>
        <w:tc>
          <w:tcPr>
            <w:tcW w:w="1134" w:type="dxa"/>
            <w:tcBorders>
              <w:top w:val="nil"/>
              <w:left w:val="nil"/>
              <w:bottom w:val="dashSmallGap" w:sz="4" w:space="0" w:color="auto"/>
              <w:right w:val="nil"/>
            </w:tcBorders>
          </w:tcPr>
          <w:p w14:paraId="7D761573" w14:textId="6EC0AADC" w:rsidR="000449AB" w:rsidRPr="00680448" w:rsidRDefault="000449AB" w:rsidP="000449AB">
            <w:pPr>
              <w:rPr>
                <w:rFonts w:asciiTheme="majorHAnsi" w:hAnsiTheme="majorHAnsi"/>
              </w:rPr>
            </w:pPr>
            <w:r>
              <w:rPr>
                <w:rFonts w:asciiTheme="majorHAnsi" w:hAnsiTheme="majorHAnsi"/>
              </w:rPr>
              <w:t>1·</w:t>
            </w:r>
            <w:r w:rsidR="004C0A6E">
              <w:rPr>
                <w:rFonts w:asciiTheme="majorHAnsi" w:hAnsiTheme="majorHAnsi"/>
              </w:rPr>
              <w:t>00</w:t>
            </w:r>
          </w:p>
        </w:tc>
      </w:tr>
      <w:tr w:rsidR="000449AB" w:rsidRPr="00C0329C" w14:paraId="52707AA5" w14:textId="77777777" w:rsidTr="001E62ED">
        <w:tc>
          <w:tcPr>
            <w:tcW w:w="1985" w:type="dxa"/>
            <w:tcBorders>
              <w:top w:val="dashSmallGap" w:sz="4" w:space="0" w:color="auto"/>
              <w:left w:val="nil"/>
              <w:bottom w:val="nil"/>
              <w:right w:val="nil"/>
            </w:tcBorders>
            <w:shd w:val="clear" w:color="auto" w:fill="auto"/>
          </w:tcPr>
          <w:p w14:paraId="49D743F5" w14:textId="433C4452" w:rsidR="000449AB" w:rsidRPr="00680448" w:rsidRDefault="000449AB" w:rsidP="000449AB">
            <w:pPr>
              <w:rPr>
                <w:rFonts w:asciiTheme="majorHAnsi" w:hAnsiTheme="majorHAnsi"/>
              </w:rPr>
            </w:pPr>
            <w:r w:rsidRPr="00680448">
              <w:rPr>
                <w:rFonts w:asciiTheme="majorHAnsi" w:hAnsiTheme="majorHAnsi"/>
              </w:rPr>
              <w:t xml:space="preserve">CALIPER </w:t>
            </w:r>
            <w:r>
              <w:rPr>
                <w:rFonts w:asciiTheme="majorHAnsi" w:hAnsiTheme="majorHAnsi"/>
              </w:rPr>
              <w:t>PVV</w:t>
            </w:r>
          </w:p>
        </w:tc>
        <w:tc>
          <w:tcPr>
            <w:tcW w:w="1276" w:type="dxa"/>
            <w:tcBorders>
              <w:top w:val="dashSmallGap" w:sz="4" w:space="0" w:color="auto"/>
              <w:left w:val="nil"/>
              <w:bottom w:val="nil"/>
              <w:right w:val="nil"/>
            </w:tcBorders>
            <w:shd w:val="clear" w:color="auto" w:fill="auto"/>
          </w:tcPr>
          <w:p w14:paraId="6256EE83" w14:textId="60D2EEC2" w:rsidR="000449AB" w:rsidRPr="00680448" w:rsidRDefault="000449AB" w:rsidP="000449AB">
            <w:pPr>
              <w:rPr>
                <w:rFonts w:asciiTheme="majorHAnsi" w:hAnsiTheme="majorHAnsi"/>
              </w:rPr>
            </w:pPr>
            <w:r w:rsidRPr="00680448">
              <w:rPr>
                <w:rFonts w:asciiTheme="majorHAnsi" w:hAnsiTheme="majorHAnsi"/>
              </w:rPr>
              <w:t>1</w:t>
            </w:r>
            <w:r w:rsidR="004C0A6E">
              <w:rPr>
                <w:rFonts w:asciiTheme="majorHAnsi" w:hAnsiTheme="majorHAnsi"/>
              </w:rPr>
              <w:t>08</w:t>
            </w:r>
          </w:p>
        </w:tc>
        <w:tc>
          <w:tcPr>
            <w:tcW w:w="992" w:type="dxa"/>
            <w:tcBorders>
              <w:top w:val="dashSmallGap" w:sz="4" w:space="0" w:color="auto"/>
              <w:left w:val="nil"/>
              <w:bottom w:val="nil"/>
              <w:right w:val="nil"/>
            </w:tcBorders>
            <w:shd w:val="clear" w:color="auto" w:fill="auto"/>
          </w:tcPr>
          <w:p w14:paraId="3C08EFA2" w14:textId="47822462" w:rsidR="000449AB" w:rsidRPr="00680448" w:rsidRDefault="000449AB" w:rsidP="000449AB">
            <w:pPr>
              <w:rPr>
                <w:rFonts w:asciiTheme="majorHAnsi" w:hAnsiTheme="majorHAnsi"/>
              </w:rPr>
            </w:pPr>
            <w:r>
              <w:rPr>
                <w:rFonts w:asciiTheme="majorHAnsi" w:hAnsiTheme="majorHAnsi"/>
              </w:rPr>
              <w:t>1·</w:t>
            </w:r>
            <w:r w:rsidR="004C0A6E">
              <w:rPr>
                <w:rFonts w:asciiTheme="majorHAnsi" w:hAnsiTheme="majorHAnsi"/>
              </w:rPr>
              <w:t>44</w:t>
            </w:r>
          </w:p>
        </w:tc>
        <w:tc>
          <w:tcPr>
            <w:tcW w:w="1134" w:type="dxa"/>
            <w:tcBorders>
              <w:top w:val="dashSmallGap" w:sz="4" w:space="0" w:color="auto"/>
              <w:left w:val="nil"/>
              <w:bottom w:val="nil"/>
              <w:right w:val="nil"/>
            </w:tcBorders>
            <w:shd w:val="clear" w:color="auto" w:fill="auto"/>
          </w:tcPr>
          <w:p w14:paraId="3DDDDDBD" w14:textId="4E5259D0" w:rsidR="000449AB" w:rsidRPr="00680448" w:rsidRDefault="004C0A6E" w:rsidP="004C0A6E">
            <w:pPr>
              <w:rPr>
                <w:rFonts w:asciiTheme="majorHAnsi" w:hAnsiTheme="majorHAnsi"/>
              </w:rPr>
            </w:pPr>
            <w:r>
              <w:rPr>
                <w:rFonts w:asciiTheme="majorHAnsi" w:hAnsiTheme="majorHAnsi"/>
              </w:rPr>
              <w:t xml:space="preserve">  </w:t>
            </w:r>
            <w:r w:rsidR="000449AB">
              <w:rPr>
                <w:rFonts w:asciiTheme="majorHAnsi" w:hAnsiTheme="majorHAnsi"/>
              </w:rPr>
              <w:t>0·</w:t>
            </w:r>
            <w:r w:rsidR="000449AB" w:rsidRPr="00680448">
              <w:rPr>
                <w:rFonts w:asciiTheme="majorHAnsi" w:hAnsiTheme="majorHAnsi"/>
              </w:rPr>
              <w:t>00</w:t>
            </w:r>
            <w:r>
              <w:rPr>
                <w:rFonts w:asciiTheme="majorHAnsi" w:hAnsiTheme="majorHAnsi"/>
              </w:rPr>
              <w:t>4</w:t>
            </w:r>
          </w:p>
        </w:tc>
        <w:tc>
          <w:tcPr>
            <w:tcW w:w="1559" w:type="dxa"/>
            <w:tcBorders>
              <w:top w:val="dashSmallGap" w:sz="4" w:space="0" w:color="auto"/>
              <w:left w:val="nil"/>
              <w:bottom w:val="nil"/>
              <w:right w:val="nil"/>
            </w:tcBorders>
            <w:shd w:val="clear" w:color="auto" w:fill="auto"/>
          </w:tcPr>
          <w:p w14:paraId="039064DE" w14:textId="2263AEE8" w:rsidR="000449AB" w:rsidRPr="00680448" w:rsidRDefault="000449AB" w:rsidP="000449AB">
            <w:pPr>
              <w:rPr>
                <w:rFonts w:asciiTheme="majorHAnsi" w:hAnsiTheme="majorHAnsi"/>
              </w:rPr>
            </w:pPr>
            <w:r>
              <w:rPr>
                <w:rFonts w:asciiTheme="majorHAnsi" w:hAnsiTheme="majorHAnsi"/>
              </w:rPr>
              <w:t>1·</w:t>
            </w:r>
            <w:r w:rsidR="004C0A6E">
              <w:rPr>
                <w:rFonts w:asciiTheme="majorHAnsi" w:hAnsiTheme="majorHAnsi"/>
              </w:rPr>
              <w:t>13</w:t>
            </w:r>
          </w:p>
        </w:tc>
        <w:tc>
          <w:tcPr>
            <w:tcW w:w="1134" w:type="dxa"/>
            <w:tcBorders>
              <w:top w:val="dashSmallGap" w:sz="4" w:space="0" w:color="auto"/>
              <w:left w:val="nil"/>
              <w:bottom w:val="nil"/>
              <w:right w:val="nil"/>
            </w:tcBorders>
            <w:shd w:val="clear" w:color="auto" w:fill="auto"/>
          </w:tcPr>
          <w:p w14:paraId="557A5DE2" w14:textId="1FA01BB8" w:rsidR="000449AB" w:rsidRPr="00680448" w:rsidRDefault="000449AB" w:rsidP="000449AB">
            <w:pPr>
              <w:rPr>
                <w:rFonts w:asciiTheme="majorHAnsi" w:hAnsiTheme="majorHAnsi"/>
              </w:rPr>
            </w:pPr>
            <w:r>
              <w:rPr>
                <w:rFonts w:asciiTheme="majorHAnsi" w:hAnsiTheme="majorHAnsi"/>
              </w:rPr>
              <w:t>1·</w:t>
            </w:r>
            <w:r w:rsidR="004C0A6E">
              <w:rPr>
                <w:rFonts w:asciiTheme="majorHAnsi" w:hAnsiTheme="majorHAnsi"/>
              </w:rPr>
              <w:t>85</w:t>
            </w:r>
          </w:p>
        </w:tc>
      </w:tr>
      <w:tr w:rsidR="000449AB" w:rsidRPr="00C0329C" w14:paraId="455062A2" w14:textId="77777777" w:rsidTr="001E62ED">
        <w:tc>
          <w:tcPr>
            <w:tcW w:w="1985" w:type="dxa"/>
            <w:tcBorders>
              <w:top w:val="nil"/>
              <w:left w:val="nil"/>
              <w:bottom w:val="single" w:sz="12" w:space="0" w:color="auto"/>
              <w:right w:val="nil"/>
            </w:tcBorders>
            <w:shd w:val="clear" w:color="auto" w:fill="auto"/>
          </w:tcPr>
          <w:p w14:paraId="401DFA16" w14:textId="4B8E4DD9" w:rsidR="000449AB" w:rsidRPr="00680448" w:rsidRDefault="000449AB" w:rsidP="000449AB">
            <w:pPr>
              <w:rPr>
                <w:rFonts w:asciiTheme="majorHAnsi" w:hAnsiTheme="majorHAnsi"/>
              </w:rPr>
            </w:pPr>
            <w:r>
              <w:rPr>
                <w:rFonts w:asciiTheme="majorHAnsi" w:hAnsiTheme="majorHAnsi"/>
              </w:rPr>
              <w:t>CPI</w:t>
            </w:r>
          </w:p>
        </w:tc>
        <w:tc>
          <w:tcPr>
            <w:tcW w:w="1276" w:type="dxa"/>
            <w:tcBorders>
              <w:top w:val="nil"/>
              <w:left w:val="nil"/>
              <w:bottom w:val="single" w:sz="12" w:space="0" w:color="auto"/>
              <w:right w:val="nil"/>
            </w:tcBorders>
            <w:shd w:val="clear" w:color="auto" w:fill="auto"/>
          </w:tcPr>
          <w:p w14:paraId="590FF848" w14:textId="0F83F67B" w:rsidR="000449AB" w:rsidRPr="00680448" w:rsidRDefault="000449AB" w:rsidP="000449AB">
            <w:pPr>
              <w:rPr>
                <w:rFonts w:asciiTheme="majorHAnsi" w:hAnsiTheme="majorHAnsi"/>
              </w:rPr>
            </w:pPr>
            <w:r w:rsidRPr="00680448">
              <w:rPr>
                <w:rFonts w:asciiTheme="majorHAnsi" w:hAnsiTheme="majorHAnsi"/>
              </w:rPr>
              <w:t>1</w:t>
            </w:r>
            <w:r w:rsidR="004C0A6E">
              <w:rPr>
                <w:rFonts w:asciiTheme="majorHAnsi" w:hAnsiTheme="majorHAnsi"/>
              </w:rPr>
              <w:t>08</w:t>
            </w:r>
          </w:p>
        </w:tc>
        <w:tc>
          <w:tcPr>
            <w:tcW w:w="992" w:type="dxa"/>
            <w:tcBorders>
              <w:top w:val="nil"/>
              <w:left w:val="nil"/>
              <w:bottom w:val="single" w:sz="12" w:space="0" w:color="auto"/>
              <w:right w:val="nil"/>
            </w:tcBorders>
            <w:shd w:val="clear" w:color="auto" w:fill="auto"/>
          </w:tcPr>
          <w:p w14:paraId="54B4B746" w14:textId="10B81AB4" w:rsidR="000449AB" w:rsidRPr="00680448" w:rsidRDefault="004C0A6E" w:rsidP="000449AB">
            <w:pPr>
              <w:rPr>
                <w:rFonts w:asciiTheme="majorHAnsi" w:hAnsiTheme="majorHAnsi"/>
              </w:rPr>
            </w:pPr>
            <w:r>
              <w:rPr>
                <w:rFonts w:asciiTheme="majorHAnsi" w:hAnsiTheme="majorHAnsi"/>
              </w:rPr>
              <w:t>1.01</w:t>
            </w:r>
          </w:p>
        </w:tc>
        <w:tc>
          <w:tcPr>
            <w:tcW w:w="1134" w:type="dxa"/>
            <w:tcBorders>
              <w:top w:val="nil"/>
              <w:left w:val="nil"/>
              <w:bottom w:val="single" w:sz="12" w:space="0" w:color="auto"/>
              <w:right w:val="nil"/>
            </w:tcBorders>
            <w:shd w:val="clear" w:color="auto" w:fill="auto"/>
          </w:tcPr>
          <w:p w14:paraId="33E7DF75" w14:textId="329FA553" w:rsidR="000449AB" w:rsidRPr="00680448" w:rsidRDefault="000449AB" w:rsidP="000449AB">
            <w:pPr>
              <w:rPr>
                <w:rFonts w:asciiTheme="majorHAnsi" w:hAnsiTheme="majorHAnsi"/>
              </w:rPr>
            </w:pPr>
            <w:r>
              <w:rPr>
                <w:rFonts w:asciiTheme="majorHAnsi" w:hAnsiTheme="majorHAnsi"/>
              </w:rPr>
              <w:t xml:space="preserve">  0·</w:t>
            </w:r>
            <w:r w:rsidR="004C0A6E">
              <w:rPr>
                <w:rFonts w:asciiTheme="majorHAnsi" w:hAnsiTheme="majorHAnsi"/>
              </w:rPr>
              <w:t>52</w:t>
            </w:r>
          </w:p>
        </w:tc>
        <w:tc>
          <w:tcPr>
            <w:tcW w:w="1559" w:type="dxa"/>
            <w:tcBorders>
              <w:top w:val="nil"/>
              <w:left w:val="nil"/>
              <w:bottom w:val="single" w:sz="12" w:space="0" w:color="auto"/>
              <w:right w:val="nil"/>
            </w:tcBorders>
            <w:shd w:val="clear" w:color="auto" w:fill="auto"/>
          </w:tcPr>
          <w:p w14:paraId="61745BFA" w14:textId="716FE84B" w:rsidR="000449AB" w:rsidRPr="00680448" w:rsidRDefault="004C0A6E" w:rsidP="000449AB">
            <w:pPr>
              <w:rPr>
                <w:rFonts w:asciiTheme="majorHAnsi" w:hAnsiTheme="majorHAnsi"/>
              </w:rPr>
            </w:pPr>
            <w:r>
              <w:rPr>
                <w:rFonts w:asciiTheme="majorHAnsi" w:hAnsiTheme="majorHAnsi"/>
              </w:rPr>
              <w:t>0.98</w:t>
            </w:r>
          </w:p>
        </w:tc>
        <w:tc>
          <w:tcPr>
            <w:tcW w:w="1134" w:type="dxa"/>
            <w:tcBorders>
              <w:top w:val="nil"/>
              <w:left w:val="nil"/>
              <w:bottom w:val="single" w:sz="12" w:space="0" w:color="auto"/>
              <w:right w:val="nil"/>
            </w:tcBorders>
            <w:shd w:val="clear" w:color="auto" w:fill="auto"/>
          </w:tcPr>
          <w:p w14:paraId="47F962CE" w14:textId="4EDB0FAB" w:rsidR="000449AB" w:rsidRPr="00680448" w:rsidRDefault="004C0A6E" w:rsidP="000449AB">
            <w:pPr>
              <w:rPr>
                <w:rFonts w:asciiTheme="majorHAnsi" w:hAnsiTheme="majorHAnsi"/>
              </w:rPr>
            </w:pPr>
            <w:r>
              <w:rPr>
                <w:rFonts w:asciiTheme="majorHAnsi" w:hAnsiTheme="majorHAnsi"/>
              </w:rPr>
              <w:t>1.05</w:t>
            </w:r>
          </w:p>
        </w:tc>
      </w:tr>
      <w:tr w:rsidR="004C0A6E" w:rsidRPr="00C0329C" w14:paraId="52981917" w14:textId="77777777" w:rsidTr="001E62ED">
        <w:tc>
          <w:tcPr>
            <w:tcW w:w="1985" w:type="dxa"/>
            <w:tcBorders>
              <w:top w:val="single" w:sz="12" w:space="0" w:color="auto"/>
              <w:left w:val="nil"/>
              <w:bottom w:val="nil"/>
              <w:right w:val="nil"/>
            </w:tcBorders>
            <w:shd w:val="clear" w:color="auto" w:fill="auto"/>
          </w:tcPr>
          <w:p w14:paraId="37E4CCF9" w14:textId="7AD86F8E" w:rsidR="004C0A6E" w:rsidRPr="001E62ED" w:rsidRDefault="004C0A6E" w:rsidP="000449AB">
            <w:pPr>
              <w:rPr>
                <w:rFonts w:asciiTheme="majorHAnsi" w:hAnsiTheme="majorHAnsi"/>
                <w:b/>
              </w:rPr>
            </w:pPr>
            <w:r w:rsidRPr="001E62ED">
              <w:rPr>
                <w:rFonts w:asciiTheme="majorHAnsi" w:hAnsiTheme="majorHAnsi"/>
                <w:b/>
              </w:rPr>
              <w:t>CALIPER PVV</w:t>
            </w:r>
          </w:p>
        </w:tc>
        <w:tc>
          <w:tcPr>
            <w:tcW w:w="1276" w:type="dxa"/>
            <w:tcBorders>
              <w:top w:val="single" w:sz="12" w:space="0" w:color="auto"/>
              <w:left w:val="nil"/>
              <w:bottom w:val="nil"/>
              <w:right w:val="nil"/>
            </w:tcBorders>
            <w:shd w:val="clear" w:color="auto" w:fill="auto"/>
          </w:tcPr>
          <w:p w14:paraId="5F984A6A" w14:textId="5A70C055" w:rsidR="004C0A6E" w:rsidRPr="00680448" w:rsidRDefault="004C0A6E" w:rsidP="000449AB">
            <w:pPr>
              <w:rPr>
                <w:rFonts w:asciiTheme="majorHAnsi" w:hAnsiTheme="majorHAnsi"/>
              </w:rPr>
            </w:pPr>
            <w:r>
              <w:rPr>
                <w:rFonts w:asciiTheme="majorHAnsi" w:hAnsiTheme="majorHAnsi"/>
              </w:rPr>
              <w:t>112</w:t>
            </w:r>
          </w:p>
        </w:tc>
        <w:tc>
          <w:tcPr>
            <w:tcW w:w="992" w:type="dxa"/>
            <w:tcBorders>
              <w:top w:val="single" w:sz="12" w:space="0" w:color="auto"/>
              <w:left w:val="nil"/>
              <w:bottom w:val="nil"/>
              <w:right w:val="nil"/>
            </w:tcBorders>
            <w:shd w:val="clear" w:color="auto" w:fill="auto"/>
          </w:tcPr>
          <w:p w14:paraId="706BBC2A" w14:textId="17404C25" w:rsidR="004C0A6E" w:rsidRPr="00680448" w:rsidRDefault="004C0A6E" w:rsidP="000449AB">
            <w:pPr>
              <w:rPr>
                <w:rFonts w:asciiTheme="majorHAnsi" w:hAnsiTheme="majorHAnsi"/>
              </w:rPr>
            </w:pPr>
            <w:r>
              <w:rPr>
                <w:rFonts w:asciiTheme="majorHAnsi" w:hAnsiTheme="majorHAnsi"/>
              </w:rPr>
              <w:t>1.74</w:t>
            </w:r>
          </w:p>
        </w:tc>
        <w:tc>
          <w:tcPr>
            <w:tcW w:w="1134" w:type="dxa"/>
            <w:tcBorders>
              <w:top w:val="single" w:sz="12" w:space="0" w:color="auto"/>
              <w:left w:val="nil"/>
              <w:bottom w:val="nil"/>
              <w:right w:val="nil"/>
            </w:tcBorders>
            <w:shd w:val="clear" w:color="auto" w:fill="auto"/>
          </w:tcPr>
          <w:p w14:paraId="701E9A88" w14:textId="3B8966E7" w:rsidR="004C0A6E" w:rsidRPr="00680448" w:rsidRDefault="004C0A6E" w:rsidP="000449AB">
            <w:pPr>
              <w:rPr>
                <w:rFonts w:asciiTheme="majorHAnsi" w:hAnsiTheme="majorHAnsi"/>
              </w:rPr>
            </w:pPr>
            <w:r>
              <w:rPr>
                <w:rFonts w:asciiTheme="majorHAnsi" w:hAnsiTheme="majorHAnsi"/>
              </w:rPr>
              <w:t>&lt;0.0001</w:t>
            </w:r>
          </w:p>
        </w:tc>
        <w:tc>
          <w:tcPr>
            <w:tcW w:w="1559" w:type="dxa"/>
            <w:tcBorders>
              <w:top w:val="single" w:sz="12" w:space="0" w:color="auto"/>
              <w:left w:val="nil"/>
              <w:bottom w:val="nil"/>
              <w:right w:val="nil"/>
            </w:tcBorders>
            <w:shd w:val="clear" w:color="auto" w:fill="auto"/>
          </w:tcPr>
          <w:p w14:paraId="611B363C" w14:textId="12C1C4E0" w:rsidR="004C0A6E" w:rsidRPr="00680448" w:rsidRDefault="004C0A6E" w:rsidP="000449AB">
            <w:pPr>
              <w:rPr>
                <w:rFonts w:asciiTheme="majorHAnsi" w:hAnsiTheme="majorHAnsi"/>
              </w:rPr>
            </w:pPr>
            <w:r>
              <w:rPr>
                <w:rFonts w:asciiTheme="majorHAnsi" w:hAnsiTheme="majorHAnsi"/>
              </w:rPr>
              <w:t>1.31</w:t>
            </w:r>
          </w:p>
        </w:tc>
        <w:tc>
          <w:tcPr>
            <w:tcW w:w="1134" w:type="dxa"/>
            <w:tcBorders>
              <w:top w:val="single" w:sz="12" w:space="0" w:color="auto"/>
              <w:left w:val="nil"/>
              <w:bottom w:val="nil"/>
              <w:right w:val="nil"/>
            </w:tcBorders>
            <w:shd w:val="clear" w:color="auto" w:fill="auto"/>
          </w:tcPr>
          <w:p w14:paraId="6BFC8C1D" w14:textId="4EA627A4" w:rsidR="004C0A6E" w:rsidRPr="00680448" w:rsidRDefault="004C0A6E" w:rsidP="000449AB">
            <w:pPr>
              <w:rPr>
                <w:rFonts w:asciiTheme="majorHAnsi" w:hAnsiTheme="majorHAnsi"/>
              </w:rPr>
            </w:pPr>
            <w:r>
              <w:rPr>
                <w:rFonts w:asciiTheme="majorHAnsi" w:hAnsiTheme="majorHAnsi"/>
              </w:rPr>
              <w:t>2.31</w:t>
            </w:r>
          </w:p>
        </w:tc>
      </w:tr>
      <w:tr w:rsidR="004C0A6E" w:rsidRPr="00C0329C" w14:paraId="00C6F378" w14:textId="77777777" w:rsidTr="001E62ED">
        <w:tc>
          <w:tcPr>
            <w:tcW w:w="1985" w:type="dxa"/>
            <w:tcBorders>
              <w:top w:val="nil"/>
              <w:left w:val="nil"/>
              <w:bottom w:val="dashSmallGap" w:sz="4" w:space="0" w:color="auto"/>
              <w:right w:val="nil"/>
            </w:tcBorders>
            <w:shd w:val="clear" w:color="auto" w:fill="auto"/>
          </w:tcPr>
          <w:p w14:paraId="30075834" w14:textId="187052B9" w:rsidR="004C0A6E" w:rsidRPr="001E62ED" w:rsidRDefault="004C0A6E" w:rsidP="000449AB">
            <w:pPr>
              <w:rPr>
                <w:rFonts w:asciiTheme="majorHAnsi" w:hAnsiTheme="majorHAnsi"/>
                <w:b/>
              </w:rPr>
            </w:pPr>
            <w:r w:rsidRPr="001E62ED">
              <w:rPr>
                <w:rFonts w:asciiTheme="majorHAnsi" w:hAnsiTheme="majorHAnsi"/>
                <w:b/>
              </w:rPr>
              <w:t>FVC</w:t>
            </w:r>
          </w:p>
        </w:tc>
        <w:tc>
          <w:tcPr>
            <w:tcW w:w="1276" w:type="dxa"/>
            <w:tcBorders>
              <w:top w:val="nil"/>
              <w:left w:val="nil"/>
              <w:bottom w:val="dashSmallGap" w:sz="4" w:space="0" w:color="auto"/>
              <w:right w:val="nil"/>
            </w:tcBorders>
            <w:shd w:val="clear" w:color="auto" w:fill="auto"/>
          </w:tcPr>
          <w:p w14:paraId="24CF9C5B" w14:textId="6EC00933" w:rsidR="004C0A6E" w:rsidRPr="00680448" w:rsidRDefault="004C0A6E" w:rsidP="000449AB">
            <w:pPr>
              <w:rPr>
                <w:rFonts w:asciiTheme="majorHAnsi" w:hAnsiTheme="majorHAnsi"/>
              </w:rPr>
            </w:pPr>
            <w:r w:rsidRPr="00680448">
              <w:rPr>
                <w:rFonts w:asciiTheme="majorHAnsi" w:hAnsiTheme="majorHAnsi"/>
              </w:rPr>
              <w:t>1</w:t>
            </w:r>
            <w:r>
              <w:rPr>
                <w:rFonts w:asciiTheme="majorHAnsi" w:hAnsiTheme="majorHAnsi"/>
              </w:rPr>
              <w:t>12</w:t>
            </w:r>
          </w:p>
        </w:tc>
        <w:tc>
          <w:tcPr>
            <w:tcW w:w="992" w:type="dxa"/>
            <w:tcBorders>
              <w:top w:val="nil"/>
              <w:left w:val="nil"/>
              <w:bottom w:val="dashSmallGap" w:sz="4" w:space="0" w:color="auto"/>
              <w:right w:val="nil"/>
            </w:tcBorders>
            <w:shd w:val="clear" w:color="auto" w:fill="auto"/>
          </w:tcPr>
          <w:p w14:paraId="4BAE2440" w14:textId="5DCB4AC7" w:rsidR="004C0A6E" w:rsidRPr="00680448" w:rsidRDefault="004C0A6E" w:rsidP="000449AB">
            <w:pPr>
              <w:rPr>
                <w:rFonts w:asciiTheme="majorHAnsi" w:hAnsiTheme="majorHAnsi"/>
              </w:rPr>
            </w:pPr>
            <w:r>
              <w:rPr>
                <w:rFonts w:asciiTheme="majorHAnsi" w:hAnsiTheme="majorHAnsi"/>
              </w:rPr>
              <w:t>1·</w:t>
            </w:r>
            <w:r w:rsidRPr="00680448">
              <w:rPr>
                <w:rFonts w:asciiTheme="majorHAnsi" w:hAnsiTheme="majorHAnsi"/>
              </w:rPr>
              <w:t>0</w:t>
            </w:r>
            <w:r>
              <w:rPr>
                <w:rFonts w:asciiTheme="majorHAnsi" w:hAnsiTheme="majorHAnsi"/>
              </w:rPr>
              <w:t>1</w:t>
            </w:r>
          </w:p>
        </w:tc>
        <w:tc>
          <w:tcPr>
            <w:tcW w:w="1134" w:type="dxa"/>
            <w:tcBorders>
              <w:top w:val="nil"/>
              <w:left w:val="nil"/>
              <w:bottom w:val="dashSmallGap" w:sz="4" w:space="0" w:color="auto"/>
              <w:right w:val="nil"/>
            </w:tcBorders>
            <w:shd w:val="clear" w:color="auto" w:fill="auto"/>
          </w:tcPr>
          <w:p w14:paraId="72B1993E" w14:textId="5F19A3B4" w:rsidR="004C0A6E" w:rsidRPr="00680448" w:rsidRDefault="004C0A6E" w:rsidP="000449AB">
            <w:pPr>
              <w:rPr>
                <w:rFonts w:asciiTheme="majorHAnsi" w:hAnsiTheme="majorHAnsi"/>
              </w:rPr>
            </w:pPr>
            <w:r>
              <w:rPr>
                <w:rFonts w:asciiTheme="majorHAnsi" w:hAnsiTheme="majorHAnsi"/>
              </w:rPr>
              <w:t xml:space="preserve">  0·09</w:t>
            </w:r>
          </w:p>
        </w:tc>
        <w:tc>
          <w:tcPr>
            <w:tcW w:w="1559" w:type="dxa"/>
            <w:tcBorders>
              <w:top w:val="nil"/>
              <w:left w:val="nil"/>
              <w:bottom w:val="dashSmallGap" w:sz="4" w:space="0" w:color="auto"/>
              <w:right w:val="nil"/>
            </w:tcBorders>
            <w:shd w:val="clear" w:color="auto" w:fill="auto"/>
          </w:tcPr>
          <w:p w14:paraId="2250D23E" w14:textId="42DA57AD" w:rsidR="004C0A6E" w:rsidRPr="00680448" w:rsidRDefault="004C0A6E" w:rsidP="000449AB">
            <w:pPr>
              <w:rPr>
                <w:rFonts w:asciiTheme="majorHAnsi" w:hAnsiTheme="majorHAnsi"/>
              </w:rPr>
            </w:pPr>
            <w:r>
              <w:rPr>
                <w:rFonts w:asciiTheme="majorHAnsi" w:hAnsiTheme="majorHAnsi"/>
              </w:rPr>
              <w:t>0.98</w:t>
            </w:r>
          </w:p>
        </w:tc>
        <w:tc>
          <w:tcPr>
            <w:tcW w:w="1134" w:type="dxa"/>
            <w:tcBorders>
              <w:top w:val="nil"/>
              <w:left w:val="nil"/>
              <w:bottom w:val="dashSmallGap" w:sz="4" w:space="0" w:color="auto"/>
              <w:right w:val="nil"/>
            </w:tcBorders>
            <w:shd w:val="clear" w:color="auto" w:fill="auto"/>
          </w:tcPr>
          <w:p w14:paraId="119E4B99" w14:textId="4F425187" w:rsidR="004C0A6E" w:rsidRPr="00680448" w:rsidRDefault="004C0A6E" w:rsidP="000449AB">
            <w:pPr>
              <w:rPr>
                <w:rFonts w:asciiTheme="majorHAnsi" w:hAnsiTheme="majorHAnsi"/>
              </w:rPr>
            </w:pPr>
            <w:r>
              <w:rPr>
                <w:rFonts w:asciiTheme="majorHAnsi" w:hAnsiTheme="majorHAnsi"/>
              </w:rPr>
              <w:t>1·03</w:t>
            </w:r>
          </w:p>
        </w:tc>
      </w:tr>
      <w:tr w:rsidR="004C0A6E" w:rsidRPr="00C0329C" w14:paraId="2585916B" w14:textId="77777777" w:rsidTr="001E62ED">
        <w:tc>
          <w:tcPr>
            <w:tcW w:w="1985" w:type="dxa"/>
            <w:tcBorders>
              <w:top w:val="dashSmallGap" w:sz="4" w:space="0" w:color="auto"/>
              <w:left w:val="nil"/>
              <w:bottom w:val="nil"/>
              <w:right w:val="nil"/>
            </w:tcBorders>
            <w:shd w:val="clear" w:color="auto" w:fill="auto"/>
          </w:tcPr>
          <w:p w14:paraId="6B76EFA0" w14:textId="42A4543D" w:rsidR="004C0A6E" w:rsidRPr="001E62ED" w:rsidRDefault="004C0A6E" w:rsidP="000449AB">
            <w:pPr>
              <w:rPr>
                <w:rFonts w:asciiTheme="majorHAnsi" w:hAnsiTheme="majorHAnsi"/>
                <w:b/>
              </w:rPr>
            </w:pPr>
            <w:r w:rsidRPr="001E62ED">
              <w:rPr>
                <w:rFonts w:asciiTheme="majorHAnsi" w:hAnsiTheme="majorHAnsi"/>
                <w:b/>
              </w:rPr>
              <w:t>CALIPER PVV</w:t>
            </w:r>
          </w:p>
        </w:tc>
        <w:tc>
          <w:tcPr>
            <w:tcW w:w="1276" w:type="dxa"/>
            <w:tcBorders>
              <w:top w:val="dashSmallGap" w:sz="4" w:space="0" w:color="auto"/>
              <w:left w:val="nil"/>
              <w:bottom w:val="nil"/>
              <w:right w:val="nil"/>
            </w:tcBorders>
            <w:shd w:val="clear" w:color="auto" w:fill="auto"/>
          </w:tcPr>
          <w:p w14:paraId="4CD3AD55" w14:textId="7166679B" w:rsidR="004C0A6E" w:rsidRPr="00680448" w:rsidRDefault="004C0A6E" w:rsidP="000449AB">
            <w:pPr>
              <w:rPr>
                <w:rFonts w:asciiTheme="majorHAnsi" w:hAnsiTheme="majorHAnsi"/>
              </w:rPr>
            </w:pPr>
            <w:r w:rsidRPr="00680448">
              <w:rPr>
                <w:rFonts w:asciiTheme="majorHAnsi" w:hAnsiTheme="majorHAnsi"/>
              </w:rPr>
              <w:t>1</w:t>
            </w:r>
            <w:r>
              <w:rPr>
                <w:rFonts w:asciiTheme="majorHAnsi" w:hAnsiTheme="majorHAnsi"/>
              </w:rPr>
              <w:t>09</w:t>
            </w:r>
          </w:p>
        </w:tc>
        <w:tc>
          <w:tcPr>
            <w:tcW w:w="992" w:type="dxa"/>
            <w:tcBorders>
              <w:top w:val="dashSmallGap" w:sz="4" w:space="0" w:color="auto"/>
              <w:left w:val="nil"/>
              <w:bottom w:val="nil"/>
              <w:right w:val="nil"/>
            </w:tcBorders>
            <w:shd w:val="clear" w:color="auto" w:fill="auto"/>
          </w:tcPr>
          <w:p w14:paraId="6FAD83F2" w14:textId="137DC0BB" w:rsidR="004C0A6E" w:rsidRPr="00680448" w:rsidRDefault="004C0A6E" w:rsidP="000449AB">
            <w:pPr>
              <w:rPr>
                <w:rFonts w:asciiTheme="majorHAnsi" w:hAnsiTheme="majorHAnsi"/>
              </w:rPr>
            </w:pPr>
            <w:r>
              <w:rPr>
                <w:rFonts w:asciiTheme="majorHAnsi" w:hAnsiTheme="majorHAnsi"/>
              </w:rPr>
              <w:t>1·43</w:t>
            </w:r>
          </w:p>
        </w:tc>
        <w:tc>
          <w:tcPr>
            <w:tcW w:w="1134" w:type="dxa"/>
            <w:tcBorders>
              <w:top w:val="dashSmallGap" w:sz="4" w:space="0" w:color="auto"/>
              <w:left w:val="nil"/>
              <w:bottom w:val="nil"/>
              <w:right w:val="nil"/>
            </w:tcBorders>
            <w:shd w:val="clear" w:color="auto" w:fill="auto"/>
          </w:tcPr>
          <w:p w14:paraId="6EABD498" w14:textId="047E31A7" w:rsidR="004C0A6E" w:rsidRPr="00680448" w:rsidRDefault="004C0A6E" w:rsidP="000449AB">
            <w:pPr>
              <w:rPr>
                <w:rFonts w:asciiTheme="majorHAnsi" w:hAnsiTheme="majorHAnsi"/>
              </w:rPr>
            </w:pPr>
            <w:r>
              <w:rPr>
                <w:rFonts w:asciiTheme="majorHAnsi" w:hAnsiTheme="majorHAnsi"/>
              </w:rPr>
              <w:t xml:space="preserve">  0·</w:t>
            </w:r>
            <w:r w:rsidRPr="00680448">
              <w:rPr>
                <w:rFonts w:asciiTheme="majorHAnsi" w:hAnsiTheme="majorHAnsi"/>
              </w:rPr>
              <w:t>00</w:t>
            </w:r>
            <w:r>
              <w:rPr>
                <w:rFonts w:asciiTheme="majorHAnsi" w:hAnsiTheme="majorHAnsi"/>
              </w:rPr>
              <w:t>2</w:t>
            </w:r>
          </w:p>
        </w:tc>
        <w:tc>
          <w:tcPr>
            <w:tcW w:w="1559" w:type="dxa"/>
            <w:tcBorders>
              <w:top w:val="dashSmallGap" w:sz="4" w:space="0" w:color="auto"/>
              <w:left w:val="nil"/>
              <w:bottom w:val="nil"/>
              <w:right w:val="nil"/>
            </w:tcBorders>
            <w:shd w:val="clear" w:color="auto" w:fill="auto"/>
          </w:tcPr>
          <w:p w14:paraId="5107CAD2" w14:textId="67BCEF9E" w:rsidR="004C0A6E" w:rsidRPr="00680448" w:rsidRDefault="004C0A6E" w:rsidP="000449AB">
            <w:pPr>
              <w:rPr>
                <w:rFonts w:asciiTheme="majorHAnsi" w:hAnsiTheme="majorHAnsi"/>
              </w:rPr>
            </w:pPr>
            <w:r>
              <w:rPr>
                <w:rFonts w:asciiTheme="majorHAnsi" w:hAnsiTheme="majorHAnsi"/>
              </w:rPr>
              <w:t>1·14</w:t>
            </w:r>
          </w:p>
        </w:tc>
        <w:tc>
          <w:tcPr>
            <w:tcW w:w="1134" w:type="dxa"/>
            <w:tcBorders>
              <w:top w:val="dashSmallGap" w:sz="4" w:space="0" w:color="auto"/>
              <w:left w:val="nil"/>
              <w:bottom w:val="nil"/>
              <w:right w:val="nil"/>
            </w:tcBorders>
            <w:shd w:val="clear" w:color="auto" w:fill="auto"/>
          </w:tcPr>
          <w:p w14:paraId="32FCC104" w14:textId="27C49E94" w:rsidR="004C0A6E" w:rsidRPr="00680448" w:rsidRDefault="004C0A6E" w:rsidP="000449AB">
            <w:pPr>
              <w:rPr>
                <w:rFonts w:asciiTheme="majorHAnsi" w:hAnsiTheme="majorHAnsi"/>
              </w:rPr>
            </w:pPr>
            <w:r>
              <w:rPr>
                <w:rFonts w:asciiTheme="majorHAnsi" w:hAnsiTheme="majorHAnsi"/>
              </w:rPr>
              <w:t>1·79</w:t>
            </w:r>
          </w:p>
        </w:tc>
      </w:tr>
      <w:tr w:rsidR="004C0A6E" w:rsidRPr="00C0329C" w14:paraId="37239A9C" w14:textId="77777777" w:rsidTr="001E62ED">
        <w:tc>
          <w:tcPr>
            <w:tcW w:w="1985" w:type="dxa"/>
            <w:tcBorders>
              <w:top w:val="nil"/>
              <w:left w:val="nil"/>
              <w:bottom w:val="dashSmallGap" w:sz="4" w:space="0" w:color="auto"/>
              <w:right w:val="nil"/>
            </w:tcBorders>
            <w:shd w:val="clear" w:color="auto" w:fill="auto"/>
          </w:tcPr>
          <w:p w14:paraId="10287CFB" w14:textId="0A3BDA35" w:rsidR="004C0A6E" w:rsidRPr="001E62ED" w:rsidRDefault="004C0A6E" w:rsidP="000449AB">
            <w:pPr>
              <w:rPr>
                <w:rFonts w:asciiTheme="majorHAnsi" w:hAnsiTheme="majorHAnsi"/>
              </w:rPr>
            </w:pPr>
            <w:r w:rsidRPr="001E62ED">
              <w:rPr>
                <w:rFonts w:asciiTheme="majorHAnsi" w:hAnsiTheme="majorHAnsi"/>
              </w:rPr>
              <w:t>DLco</w:t>
            </w:r>
          </w:p>
        </w:tc>
        <w:tc>
          <w:tcPr>
            <w:tcW w:w="1276" w:type="dxa"/>
            <w:tcBorders>
              <w:top w:val="nil"/>
              <w:left w:val="nil"/>
              <w:bottom w:val="dashSmallGap" w:sz="4" w:space="0" w:color="auto"/>
              <w:right w:val="nil"/>
            </w:tcBorders>
            <w:shd w:val="clear" w:color="auto" w:fill="auto"/>
          </w:tcPr>
          <w:p w14:paraId="7C4F6B1E" w14:textId="00A19555" w:rsidR="004C0A6E" w:rsidRPr="00680448" w:rsidRDefault="004C0A6E" w:rsidP="000449AB">
            <w:pPr>
              <w:rPr>
                <w:rFonts w:asciiTheme="majorHAnsi" w:hAnsiTheme="majorHAnsi"/>
              </w:rPr>
            </w:pPr>
            <w:r>
              <w:rPr>
                <w:rFonts w:asciiTheme="majorHAnsi" w:hAnsiTheme="majorHAnsi"/>
              </w:rPr>
              <w:t>109</w:t>
            </w:r>
          </w:p>
        </w:tc>
        <w:tc>
          <w:tcPr>
            <w:tcW w:w="992" w:type="dxa"/>
            <w:tcBorders>
              <w:top w:val="nil"/>
              <w:left w:val="nil"/>
              <w:bottom w:val="dashSmallGap" w:sz="4" w:space="0" w:color="auto"/>
              <w:right w:val="nil"/>
            </w:tcBorders>
            <w:shd w:val="clear" w:color="auto" w:fill="auto"/>
          </w:tcPr>
          <w:p w14:paraId="0DCD581C" w14:textId="6C529779" w:rsidR="004C0A6E" w:rsidRPr="00680448" w:rsidRDefault="004C0A6E" w:rsidP="000449AB">
            <w:pPr>
              <w:rPr>
                <w:rFonts w:asciiTheme="majorHAnsi" w:hAnsiTheme="majorHAnsi"/>
              </w:rPr>
            </w:pPr>
            <w:r>
              <w:rPr>
                <w:rFonts w:asciiTheme="majorHAnsi" w:hAnsiTheme="majorHAnsi"/>
              </w:rPr>
              <w:t>0.97</w:t>
            </w:r>
          </w:p>
        </w:tc>
        <w:tc>
          <w:tcPr>
            <w:tcW w:w="1134" w:type="dxa"/>
            <w:tcBorders>
              <w:top w:val="nil"/>
              <w:left w:val="nil"/>
              <w:bottom w:val="dashSmallGap" w:sz="4" w:space="0" w:color="auto"/>
              <w:right w:val="nil"/>
            </w:tcBorders>
            <w:shd w:val="clear" w:color="auto" w:fill="auto"/>
          </w:tcPr>
          <w:p w14:paraId="19B9E78A" w14:textId="30B16BE7" w:rsidR="004C0A6E" w:rsidRPr="00680448" w:rsidRDefault="004C0A6E" w:rsidP="000449AB">
            <w:pPr>
              <w:rPr>
                <w:rFonts w:asciiTheme="majorHAnsi" w:hAnsiTheme="majorHAnsi"/>
              </w:rPr>
            </w:pPr>
            <w:r>
              <w:rPr>
                <w:rFonts w:asciiTheme="majorHAnsi" w:hAnsiTheme="majorHAnsi"/>
              </w:rPr>
              <w:t xml:space="preserve">  0·06</w:t>
            </w:r>
          </w:p>
        </w:tc>
        <w:tc>
          <w:tcPr>
            <w:tcW w:w="1559" w:type="dxa"/>
            <w:tcBorders>
              <w:top w:val="nil"/>
              <w:left w:val="nil"/>
              <w:bottom w:val="dashSmallGap" w:sz="4" w:space="0" w:color="auto"/>
              <w:right w:val="nil"/>
            </w:tcBorders>
            <w:shd w:val="clear" w:color="auto" w:fill="auto"/>
          </w:tcPr>
          <w:p w14:paraId="0BF469E9" w14:textId="4004AAC8" w:rsidR="004C0A6E" w:rsidRPr="00680448" w:rsidRDefault="004C0A6E" w:rsidP="000449AB">
            <w:pPr>
              <w:rPr>
                <w:rFonts w:asciiTheme="majorHAnsi" w:hAnsiTheme="majorHAnsi"/>
              </w:rPr>
            </w:pPr>
            <w:r>
              <w:rPr>
                <w:rFonts w:asciiTheme="majorHAnsi" w:hAnsiTheme="majorHAnsi"/>
              </w:rPr>
              <w:t>0.94</w:t>
            </w:r>
          </w:p>
        </w:tc>
        <w:tc>
          <w:tcPr>
            <w:tcW w:w="1134" w:type="dxa"/>
            <w:tcBorders>
              <w:top w:val="nil"/>
              <w:left w:val="nil"/>
              <w:bottom w:val="dashSmallGap" w:sz="4" w:space="0" w:color="auto"/>
              <w:right w:val="nil"/>
            </w:tcBorders>
            <w:shd w:val="clear" w:color="auto" w:fill="auto"/>
          </w:tcPr>
          <w:p w14:paraId="3A8FBBC7" w14:textId="60BAB5A9" w:rsidR="004C0A6E" w:rsidRPr="00680448" w:rsidRDefault="004C0A6E" w:rsidP="000449AB">
            <w:pPr>
              <w:rPr>
                <w:rFonts w:asciiTheme="majorHAnsi" w:hAnsiTheme="majorHAnsi"/>
              </w:rPr>
            </w:pPr>
            <w:r>
              <w:rPr>
                <w:rFonts w:asciiTheme="majorHAnsi" w:hAnsiTheme="majorHAnsi"/>
              </w:rPr>
              <w:t>1·01</w:t>
            </w:r>
          </w:p>
        </w:tc>
      </w:tr>
      <w:tr w:rsidR="004C0A6E" w:rsidRPr="00C0329C" w14:paraId="5F923957" w14:textId="77777777" w:rsidTr="001E62ED">
        <w:tc>
          <w:tcPr>
            <w:tcW w:w="1985" w:type="dxa"/>
            <w:tcBorders>
              <w:top w:val="dashSmallGap" w:sz="4" w:space="0" w:color="auto"/>
              <w:left w:val="nil"/>
              <w:bottom w:val="nil"/>
              <w:right w:val="nil"/>
            </w:tcBorders>
            <w:shd w:val="clear" w:color="auto" w:fill="auto"/>
          </w:tcPr>
          <w:p w14:paraId="6BEF19ED" w14:textId="629FC234" w:rsidR="004C0A6E" w:rsidRPr="001E62ED" w:rsidRDefault="004C0A6E" w:rsidP="000449AB">
            <w:pPr>
              <w:rPr>
                <w:rFonts w:asciiTheme="majorHAnsi" w:hAnsiTheme="majorHAnsi"/>
              </w:rPr>
            </w:pPr>
            <w:r w:rsidRPr="001E62ED">
              <w:rPr>
                <w:rFonts w:asciiTheme="majorHAnsi" w:hAnsiTheme="majorHAnsi"/>
              </w:rPr>
              <w:t>CALIPER PVV</w:t>
            </w:r>
          </w:p>
        </w:tc>
        <w:tc>
          <w:tcPr>
            <w:tcW w:w="1276" w:type="dxa"/>
            <w:tcBorders>
              <w:top w:val="dashSmallGap" w:sz="4" w:space="0" w:color="auto"/>
              <w:left w:val="nil"/>
              <w:bottom w:val="nil"/>
              <w:right w:val="nil"/>
            </w:tcBorders>
            <w:shd w:val="clear" w:color="auto" w:fill="auto"/>
          </w:tcPr>
          <w:p w14:paraId="4EC28F55" w14:textId="577F98B7" w:rsidR="004C0A6E" w:rsidRPr="006C79A8" w:rsidRDefault="004C0A6E" w:rsidP="000449AB">
            <w:pPr>
              <w:rPr>
                <w:rFonts w:asciiTheme="majorHAnsi" w:hAnsiTheme="majorHAnsi"/>
              </w:rPr>
            </w:pPr>
            <w:r w:rsidRPr="00680448">
              <w:rPr>
                <w:rFonts w:asciiTheme="majorHAnsi" w:hAnsiTheme="majorHAnsi"/>
              </w:rPr>
              <w:t>1</w:t>
            </w:r>
            <w:r>
              <w:rPr>
                <w:rFonts w:asciiTheme="majorHAnsi" w:hAnsiTheme="majorHAnsi"/>
              </w:rPr>
              <w:t>08</w:t>
            </w:r>
          </w:p>
        </w:tc>
        <w:tc>
          <w:tcPr>
            <w:tcW w:w="992" w:type="dxa"/>
            <w:tcBorders>
              <w:top w:val="dashSmallGap" w:sz="4" w:space="0" w:color="auto"/>
              <w:left w:val="nil"/>
              <w:bottom w:val="nil"/>
              <w:right w:val="nil"/>
            </w:tcBorders>
            <w:shd w:val="clear" w:color="auto" w:fill="auto"/>
          </w:tcPr>
          <w:p w14:paraId="1901A1FF" w14:textId="11B751DE" w:rsidR="004C0A6E" w:rsidRPr="006C79A8" w:rsidRDefault="004C0A6E" w:rsidP="000449AB">
            <w:pPr>
              <w:rPr>
                <w:rFonts w:asciiTheme="majorHAnsi" w:hAnsiTheme="majorHAnsi"/>
              </w:rPr>
            </w:pPr>
            <w:r>
              <w:rPr>
                <w:rFonts w:asciiTheme="majorHAnsi" w:hAnsiTheme="majorHAnsi"/>
              </w:rPr>
              <w:t>1·43</w:t>
            </w:r>
          </w:p>
        </w:tc>
        <w:tc>
          <w:tcPr>
            <w:tcW w:w="1134" w:type="dxa"/>
            <w:tcBorders>
              <w:top w:val="dashSmallGap" w:sz="4" w:space="0" w:color="auto"/>
              <w:left w:val="nil"/>
              <w:bottom w:val="nil"/>
              <w:right w:val="nil"/>
            </w:tcBorders>
            <w:shd w:val="clear" w:color="auto" w:fill="auto"/>
          </w:tcPr>
          <w:p w14:paraId="6EB07F9D" w14:textId="16131716" w:rsidR="004C0A6E" w:rsidRPr="006C79A8" w:rsidRDefault="004C0A6E" w:rsidP="000449AB">
            <w:pPr>
              <w:rPr>
                <w:rFonts w:asciiTheme="majorHAnsi" w:hAnsiTheme="majorHAnsi"/>
              </w:rPr>
            </w:pPr>
            <w:r>
              <w:rPr>
                <w:rFonts w:asciiTheme="majorHAnsi" w:hAnsiTheme="majorHAnsi"/>
              </w:rPr>
              <w:t xml:space="preserve">  0·</w:t>
            </w:r>
            <w:r w:rsidRPr="00680448">
              <w:rPr>
                <w:rFonts w:asciiTheme="majorHAnsi" w:hAnsiTheme="majorHAnsi"/>
              </w:rPr>
              <w:t>00</w:t>
            </w:r>
            <w:r>
              <w:rPr>
                <w:rFonts w:asciiTheme="majorHAnsi" w:hAnsiTheme="majorHAnsi"/>
              </w:rPr>
              <w:t>4</w:t>
            </w:r>
          </w:p>
        </w:tc>
        <w:tc>
          <w:tcPr>
            <w:tcW w:w="1559" w:type="dxa"/>
            <w:tcBorders>
              <w:top w:val="dashSmallGap" w:sz="4" w:space="0" w:color="auto"/>
              <w:left w:val="nil"/>
              <w:bottom w:val="nil"/>
              <w:right w:val="nil"/>
            </w:tcBorders>
            <w:shd w:val="clear" w:color="auto" w:fill="auto"/>
          </w:tcPr>
          <w:p w14:paraId="041C8AEC" w14:textId="7CD1A879" w:rsidR="004C0A6E" w:rsidRPr="006C79A8" w:rsidRDefault="004C0A6E" w:rsidP="000449AB">
            <w:pPr>
              <w:rPr>
                <w:rFonts w:asciiTheme="majorHAnsi" w:hAnsiTheme="majorHAnsi"/>
              </w:rPr>
            </w:pPr>
            <w:r>
              <w:rPr>
                <w:rFonts w:asciiTheme="majorHAnsi" w:hAnsiTheme="majorHAnsi"/>
              </w:rPr>
              <w:t>1·12</w:t>
            </w:r>
          </w:p>
        </w:tc>
        <w:tc>
          <w:tcPr>
            <w:tcW w:w="1134" w:type="dxa"/>
            <w:tcBorders>
              <w:top w:val="dashSmallGap" w:sz="4" w:space="0" w:color="auto"/>
              <w:left w:val="nil"/>
              <w:bottom w:val="nil"/>
              <w:right w:val="nil"/>
            </w:tcBorders>
            <w:shd w:val="clear" w:color="auto" w:fill="auto"/>
          </w:tcPr>
          <w:p w14:paraId="560A2DF7" w14:textId="36F64E80" w:rsidR="004C0A6E" w:rsidRPr="006C79A8" w:rsidRDefault="004C0A6E" w:rsidP="000449AB">
            <w:pPr>
              <w:rPr>
                <w:rFonts w:asciiTheme="majorHAnsi" w:hAnsiTheme="majorHAnsi"/>
              </w:rPr>
            </w:pPr>
            <w:r>
              <w:rPr>
                <w:rFonts w:asciiTheme="majorHAnsi" w:hAnsiTheme="majorHAnsi"/>
              </w:rPr>
              <w:t>1·83</w:t>
            </w:r>
          </w:p>
        </w:tc>
      </w:tr>
      <w:tr w:rsidR="004C0A6E" w:rsidRPr="00C0329C" w14:paraId="5409B389" w14:textId="77777777" w:rsidTr="001E62ED">
        <w:tc>
          <w:tcPr>
            <w:tcW w:w="1985" w:type="dxa"/>
            <w:tcBorders>
              <w:top w:val="nil"/>
              <w:left w:val="nil"/>
              <w:bottom w:val="single" w:sz="24" w:space="0" w:color="auto"/>
              <w:right w:val="nil"/>
            </w:tcBorders>
            <w:shd w:val="clear" w:color="auto" w:fill="auto"/>
          </w:tcPr>
          <w:p w14:paraId="07AEABEE" w14:textId="26B183AB" w:rsidR="004C0A6E" w:rsidRPr="001E62ED" w:rsidRDefault="004C0A6E" w:rsidP="000449AB">
            <w:pPr>
              <w:rPr>
                <w:rFonts w:asciiTheme="majorHAnsi" w:hAnsiTheme="majorHAnsi"/>
              </w:rPr>
            </w:pPr>
            <w:r w:rsidRPr="001E62ED">
              <w:rPr>
                <w:rFonts w:asciiTheme="majorHAnsi" w:hAnsiTheme="majorHAnsi"/>
              </w:rPr>
              <w:t>CPI</w:t>
            </w:r>
          </w:p>
        </w:tc>
        <w:tc>
          <w:tcPr>
            <w:tcW w:w="1276" w:type="dxa"/>
            <w:tcBorders>
              <w:top w:val="nil"/>
              <w:left w:val="nil"/>
              <w:bottom w:val="single" w:sz="24" w:space="0" w:color="auto"/>
              <w:right w:val="nil"/>
            </w:tcBorders>
            <w:shd w:val="clear" w:color="auto" w:fill="auto"/>
          </w:tcPr>
          <w:p w14:paraId="53067D76" w14:textId="5AA5B29B" w:rsidR="004C0A6E" w:rsidRPr="006C79A8" w:rsidRDefault="004C0A6E" w:rsidP="000449AB">
            <w:pPr>
              <w:rPr>
                <w:rFonts w:asciiTheme="majorHAnsi" w:hAnsiTheme="majorHAnsi"/>
              </w:rPr>
            </w:pPr>
            <w:r w:rsidRPr="00680448">
              <w:rPr>
                <w:rFonts w:asciiTheme="majorHAnsi" w:hAnsiTheme="majorHAnsi"/>
              </w:rPr>
              <w:t>1</w:t>
            </w:r>
            <w:r>
              <w:rPr>
                <w:rFonts w:asciiTheme="majorHAnsi" w:hAnsiTheme="majorHAnsi"/>
              </w:rPr>
              <w:t>08</w:t>
            </w:r>
          </w:p>
        </w:tc>
        <w:tc>
          <w:tcPr>
            <w:tcW w:w="992" w:type="dxa"/>
            <w:tcBorders>
              <w:top w:val="nil"/>
              <w:left w:val="nil"/>
              <w:bottom w:val="single" w:sz="24" w:space="0" w:color="auto"/>
              <w:right w:val="nil"/>
            </w:tcBorders>
            <w:shd w:val="clear" w:color="auto" w:fill="auto"/>
          </w:tcPr>
          <w:p w14:paraId="3B07F3F4" w14:textId="599C2415" w:rsidR="004C0A6E" w:rsidRPr="006C79A8" w:rsidRDefault="004C0A6E" w:rsidP="000449AB">
            <w:pPr>
              <w:rPr>
                <w:rFonts w:asciiTheme="majorHAnsi" w:hAnsiTheme="majorHAnsi"/>
              </w:rPr>
            </w:pPr>
            <w:r>
              <w:rPr>
                <w:rFonts w:asciiTheme="majorHAnsi" w:hAnsiTheme="majorHAnsi"/>
              </w:rPr>
              <w:t>1.02</w:t>
            </w:r>
          </w:p>
        </w:tc>
        <w:tc>
          <w:tcPr>
            <w:tcW w:w="1134" w:type="dxa"/>
            <w:tcBorders>
              <w:top w:val="nil"/>
              <w:left w:val="nil"/>
              <w:bottom w:val="single" w:sz="24" w:space="0" w:color="auto"/>
              <w:right w:val="nil"/>
            </w:tcBorders>
            <w:shd w:val="clear" w:color="auto" w:fill="auto"/>
          </w:tcPr>
          <w:p w14:paraId="3B26BA8C" w14:textId="1640DBF5" w:rsidR="004C0A6E" w:rsidRPr="006C79A8" w:rsidRDefault="004C0A6E" w:rsidP="000449AB">
            <w:pPr>
              <w:rPr>
                <w:rFonts w:asciiTheme="majorHAnsi" w:hAnsiTheme="majorHAnsi"/>
              </w:rPr>
            </w:pPr>
            <w:r>
              <w:rPr>
                <w:rFonts w:asciiTheme="majorHAnsi" w:hAnsiTheme="majorHAnsi"/>
              </w:rPr>
              <w:t xml:space="preserve">  0·19</w:t>
            </w:r>
          </w:p>
        </w:tc>
        <w:tc>
          <w:tcPr>
            <w:tcW w:w="1559" w:type="dxa"/>
            <w:tcBorders>
              <w:top w:val="nil"/>
              <w:left w:val="nil"/>
              <w:bottom w:val="single" w:sz="24" w:space="0" w:color="auto"/>
              <w:right w:val="nil"/>
            </w:tcBorders>
            <w:shd w:val="clear" w:color="auto" w:fill="auto"/>
          </w:tcPr>
          <w:p w14:paraId="57CF5DB5" w14:textId="51029117" w:rsidR="004C0A6E" w:rsidRPr="006C79A8" w:rsidRDefault="004C0A6E" w:rsidP="000449AB">
            <w:pPr>
              <w:rPr>
                <w:rFonts w:asciiTheme="majorHAnsi" w:hAnsiTheme="majorHAnsi"/>
              </w:rPr>
            </w:pPr>
            <w:r>
              <w:rPr>
                <w:rFonts w:asciiTheme="majorHAnsi" w:hAnsiTheme="majorHAnsi"/>
              </w:rPr>
              <w:t>0.99</w:t>
            </w:r>
          </w:p>
        </w:tc>
        <w:tc>
          <w:tcPr>
            <w:tcW w:w="1134" w:type="dxa"/>
            <w:tcBorders>
              <w:top w:val="nil"/>
              <w:left w:val="nil"/>
              <w:bottom w:val="single" w:sz="24" w:space="0" w:color="auto"/>
              <w:right w:val="nil"/>
            </w:tcBorders>
            <w:shd w:val="clear" w:color="auto" w:fill="auto"/>
          </w:tcPr>
          <w:p w14:paraId="494AC238" w14:textId="0905941A" w:rsidR="004C0A6E" w:rsidRPr="006C79A8" w:rsidRDefault="004C0A6E" w:rsidP="000449AB">
            <w:pPr>
              <w:rPr>
                <w:rFonts w:asciiTheme="majorHAnsi" w:hAnsiTheme="majorHAnsi"/>
              </w:rPr>
            </w:pPr>
            <w:r>
              <w:rPr>
                <w:rFonts w:asciiTheme="majorHAnsi" w:hAnsiTheme="majorHAnsi"/>
              </w:rPr>
              <w:t>1.06</w:t>
            </w:r>
          </w:p>
        </w:tc>
      </w:tr>
    </w:tbl>
    <w:p w14:paraId="786B9ECC" w14:textId="77777777" w:rsidR="000449AB" w:rsidRDefault="000449AB">
      <w:pPr>
        <w:rPr>
          <w:rFonts w:asciiTheme="majorHAnsi" w:hAnsiTheme="majorHAnsi" w:cs="Times New Roman"/>
          <w:b/>
        </w:rPr>
      </w:pPr>
    </w:p>
    <w:p w14:paraId="531F6FAE" w14:textId="17956602" w:rsidR="004C0A6E" w:rsidRPr="00B97A8C" w:rsidRDefault="004C0A6E" w:rsidP="004C0A6E">
      <w:pPr>
        <w:spacing w:line="480" w:lineRule="auto"/>
        <w:rPr>
          <w:rFonts w:asciiTheme="majorHAnsi" w:hAnsiTheme="majorHAnsi" w:cs="Times New Roman"/>
          <w:sz w:val="20"/>
          <w:szCs w:val="20"/>
        </w:rPr>
      </w:pPr>
      <w:r w:rsidRPr="00B97A8C">
        <w:rPr>
          <w:rFonts w:asciiTheme="majorHAnsi" w:hAnsiTheme="majorHAnsi" w:cs="Times New Roman"/>
          <w:b/>
          <w:sz w:val="20"/>
          <w:szCs w:val="20"/>
        </w:rPr>
        <w:t xml:space="preserve">Supplementary Table </w:t>
      </w:r>
      <w:r>
        <w:rPr>
          <w:rFonts w:asciiTheme="majorHAnsi" w:hAnsiTheme="majorHAnsi" w:cs="Times New Roman"/>
          <w:b/>
          <w:sz w:val="20"/>
          <w:szCs w:val="20"/>
        </w:rPr>
        <w:t>2</w:t>
      </w:r>
      <w:r w:rsidRPr="00B97A8C">
        <w:rPr>
          <w:rFonts w:asciiTheme="majorHAnsi" w:hAnsiTheme="majorHAnsi" w:cs="Times New Roman"/>
          <w:sz w:val="20"/>
          <w:szCs w:val="20"/>
        </w:rPr>
        <w:t xml:space="preserve">. </w:t>
      </w:r>
      <w:r>
        <w:rPr>
          <w:rFonts w:asciiTheme="majorHAnsi" w:hAnsiTheme="majorHAnsi" w:cs="Times New Roman"/>
          <w:sz w:val="20"/>
          <w:szCs w:val="20"/>
        </w:rPr>
        <w:t>Multivariate Cox analyses comparing pulmonary vessel volume (PVV) with individual functional indices (FVC, DLco, CPI)</w:t>
      </w:r>
      <w:r w:rsidRPr="00B97A8C">
        <w:rPr>
          <w:rFonts w:asciiTheme="majorHAnsi" w:hAnsiTheme="majorHAnsi" w:cs="Times New Roman"/>
          <w:sz w:val="20"/>
          <w:szCs w:val="20"/>
        </w:rPr>
        <w:t xml:space="preserve"> </w:t>
      </w:r>
      <w:r w:rsidR="001E62ED">
        <w:rPr>
          <w:rFonts w:asciiTheme="majorHAnsi" w:hAnsiTheme="majorHAnsi" w:cs="Times New Roman"/>
          <w:sz w:val="20"/>
          <w:szCs w:val="20"/>
        </w:rPr>
        <w:t xml:space="preserve">as predictors of outcome. The analyses were repeated </w:t>
      </w:r>
      <w:r>
        <w:rPr>
          <w:rFonts w:asciiTheme="majorHAnsi" w:hAnsiTheme="majorHAnsi" w:cs="Times New Roman"/>
          <w:sz w:val="20"/>
          <w:szCs w:val="20"/>
        </w:rPr>
        <w:t>following adjustment f</w:t>
      </w:r>
      <w:r w:rsidR="001E62ED">
        <w:rPr>
          <w:rFonts w:asciiTheme="majorHAnsi" w:hAnsiTheme="majorHAnsi" w:cs="Times New Roman"/>
          <w:sz w:val="20"/>
          <w:szCs w:val="20"/>
        </w:rPr>
        <w:t>or patient age and gender (bold</w:t>
      </w:r>
      <w:r>
        <w:rPr>
          <w:rFonts w:asciiTheme="majorHAnsi" w:hAnsiTheme="majorHAnsi" w:cs="Times New Roman"/>
          <w:sz w:val="20"/>
          <w:szCs w:val="20"/>
        </w:rPr>
        <w:t xml:space="preserve">). </w:t>
      </w:r>
      <w:r w:rsidRPr="00B97A8C">
        <w:rPr>
          <w:rFonts w:asciiTheme="majorHAnsi" w:hAnsiTheme="majorHAnsi" w:cs="Times New Roman"/>
          <w:sz w:val="20"/>
          <w:szCs w:val="20"/>
        </w:rPr>
        <w:t>FVC = forced vital capacity, DLco = diffusin</w:t>
      </w:r>
      <w:r>
        <w:rPr>
          <w:rFonts w:asciiTheme="majorHAnsi" w:hAnsiTheme="majorHAnsi" w:cs="Times New Roman"/>
          <w:sz w:val="20"/>
          <w:szCs w:val="20"/>
        </w:rPr>
        <w:t>g capacity for carbon monoxide</w:t>
      </w:r>
      <w:r w:rsidRPr="00B97A8C">
        <w:rPr>
          <w:rFonts w:asciiTheme="majorHAnsi" w:hAnsiTheme="majorHAnsi" w:cs="Times New Roman"/>
          <w:sz w:val="20"/>
          <w:szCs w:val="20"/>
        </w:rPr>
        <w:t>, CPI =</w:t>
      </w:r>
      <w:r>
        <w:rPr>
          <w:rFonts w:asciiTheme="majorHAnsi" w:hAnsiTheme="majorHAnsi" w:cs="Times New Roman"/>
          <w:sz w:val="20"/>
          <w:szCs w:val="20"/>
        </w:rPr>
        <w:t xml:space="preserve"> composite physiological index.</w:t>
      </w:r>
    </w:p>
    <w:p w14:paraId="53B8014D" w14:textId="77777777" w:rsidR="000449AB" w:rsidRDefault="000449AB">
      <w:pPr>
        <w:rPr>
          <w:rFonts w:asciiTheme="majorHAnsi" w:hAnsiTheme="majorHAnsi" w:cs="Times New Roman"/>
          <w:b/>
        </w:rPr>
      </w:pPr>
    </w:p>
    <w:p w14:paraId="5516D74A" w14:textId="77777777" w:rsidR="000449AB" w:rsidRDefault="000449AB">
      <w:pPr>
        <w:rPr>
          <w:rFonts w:asciiTheme="majorHAnsi" w:hAnsiTheme="majorHAnsi" w:cs="Times New Roman"/>
          <w:b/>
        </w:rPr>
      </w:pPr>
    </w:p>
    <w:p w14:paraId="51508BE6" w14:textId="1A13C708" w:rsidR="000449AB" w:rsidRDefault="000449AB">
      <w:pPr>
        <w:rPr>
          <w:rFonts w:asciiTheme="majorHAnsi" w:hAnsiTheme="majorHAnsi" w:cs="Times New Roman"/>
          <w:b/>
        </w:rPr>
      </w:pPr>
      <w:r>
        <w:rPr>
          <w:rFonts w:asciiTheme="majorHAnsi" w:hAnsiTheme="majorHAnsi" w:cs="Times New Roman"/>
          <w:b/>
        </w:rPr>
        <w:br w:type="page"/>
      </w:r>
    </w:p>
    <w:p w14:paraId="1ADE0468" w14:textId="7CB2DF2C" w:rsidR="001E62ED" w:rsidRDefault="001E62ED" w:rsidP="001E62ED">
      <w:pPr>
        <w:jc w:val="center"/>
        <w:rPr>
          <w:rFonts w:asciiTheme="majorHAnsi" w:hAnsiTheme="majorHAnsi"/>
        </w:rPr>
      </w:pPr>
      <w:r>
        <w:rPr>
          <w:rFonts w:asciiTheme="majorHAnsi" w:hAnsiTheme="majorHAnsi"/>
        </w:rPr>
        <w:t>Comparison</w:t>
      </w:r>
      <w:r>
        <w:rPr>
          <w:rFonts w:asciiTheme="majorHAnsi" w:hAnsiTheme="majorHAnsi"/>
        </w:rPr>
        <w:t xml:space="preserve"> of age and gender matched hypersensitivity pneumonitis groups</w:t>
      </w:r>
    </w:p>
    <w:p w14:paraId="15628BAE" w14:textId="77777777" w:rsidR="001E62ED" w:rsidRDefault="001E62ED">
      <w:pPr>
        <w:rPr>
          <w:rFonts w:asciiTheme="majorHAnsi" w:hAnsiTheme="majorHAnsi" w:cs="Times New Roman"/>
          <w:b/>
        </w:rPr>
      </w:pPr>
    </w:p>
    <w:tbl>
      <w:tblPr>
        <w:tblStyle w:val="TableGrid"/>
        <w:tblW w:w="0" w:type="auto"/>
        <w:jc w:val="center"/>
        <w:tblInd w:w="-483" w:type="dxa"/>
        <w:tblLook w:val="04A0" w:firstRow="1" w:lastRow="0" w:firstColumn="1" w:lastColumn="0" w:noHBand="0" w:noVBand="1"/>
      </w:tblPr>
      <w:tblGrid>
        <w:gridCol w:w="3702"/>
        <w:gridCol w:w="1811"/>
        <w:gridCol w:w="1855"/>
      </w:tblGrid>
      <w:tr w:rsidR="004C0A6E" w:rsidRPr="00B97A8C" w14:paraId="4DC3EA85" w14:textId="77777777" w:rsidTr="004C0A6E">
        <w:trPr>
          <w:jc w:val="center"/>
        </w:trPr>
        <w:tc>
          <w:tcPr>
            <w:tcW w:w="3702" w:type="dxa"/>
            <w:tcBorders>
              <w:top w:val="single" w:sz="24" w:space="0" w:color="auto"/>
              <w:left w:val="nil"/>
              <w:bottom w:val="single" w:sz="24" w:space="0" w:color="auto"/>
              <w:right w:val="nil"/>
            </w:tcBorders>
          </w:tcPr>
          <w:p w14:paraId="4B85B818" w14:textId="77777777" w:rsidR="004C0A6E" w:rsidRPr="00B97A8C" w:rsidRDefault="004C0A6E" w:rsidP="004C0A6E">
            <w:pPr>
              <w:rPr>
                <w:rFonts w:asciiTheme="majorHAnsi" w:hAnsiTheme="majorHAnsi" w:cs="Times New Roman"/>
                <w:b/>
                <w:sz w:val="20"/>
                <w:szCs w:val="20"/>
              </w:rPr>
            </w:pPr>
            <w:r w:rsidRPr="00B97A8C">
              <w:rPr>
                <w:rFonts w:asciiTheme="majorHAnsi" w:hAnsiTheme="majorHAnsi" w:cs="Times New Roman"/>
                <w:b/>
                <w:sz w:val="20"/>
                <w:szCs w:val="20"/>
              </w:rPr>
              <w:t xml:space="preserve">Variable </w:t>
            </w:r>
          </w:p>
          <w:p w14:paraId="63F458DE" w14:textId="77777777" w:rsidR="004C0A6E" w:rsidRPr="00B97A8C" w:rsidRDefault="004C0A6E" w:rsidP="004C0A6E">
            <w:pPr>
              <w:rPr>
                <w:rFonts w:asciiTheme="majorHAnsi" w:hAnsiTheme="majorHAnsi" w:cs="Times New Roman"/>
                <w:b/>
                <w:sz w:val="20"/>
                <w:szCs w:val="20"/>
              </w:rPr>
            </w:pPr>
            <w:r w:rsidRPr="00B97A8C">
              <w:rPr>
                <w:rFonts w:asciiTheme="majorHAnsi" w:hAnsiTheme="majorHAnsi" w:cs="Times New Roman"/>
                <w:b/>
                <w:sz w:val="20"/>
                <w:szCs w:val="20"/>
              </w:rPr>
              <w:t>Units are percentage unless stated</w:t>
            </w:r>
          </w:p>
        </w:tc>
        <w:tc>
          <w:tcPr>
            <w:tcW w:w="1811" w:type="dxa"/>
            <w:tcBorders>
              <w:top w:val="single" w:sz="24" w:space="0" w:color="auto"/>
              <w:left w:val="nil"/>
              <w:bottom w:val="single" w:sz="24" w:space="0" w:color="auto"/>
              <w:right w:val="nil"/>
            </w:tcBorders>
          </w:tcPr>
          <w:p w14:paraId="300228EC" w14:textId="77777777" w:rsidR="004C0A6E" w:rsidRPr="00B97A8C" w:rsidRDefault="004C0A6E" w:rsidP="004C0A6E">
            <w:pPr>
              <w:rPr>
                <w:rFonts w:asciiTheme="majorHAnsi" w:hAnsiTheme="majorHAnsi" w:cs="Times New Roman"/>
                <w:b/>
                <w:sz w:val="20"/>
                <w:szCs w:val="20"/>
              </w:rPr>
            </w:pPr>
            <w:r w:rsidRPr="00B97A8C">
              <w:rPr>
                <w:rFonts w:asciiTheme="majorHAnsi" w:hAnsiTheme="majorHAnsi" w:cs="Times New Roman"/>
                <w:b/>
                <w:sz w:val="20"/>
                <w:szCs w:val="20"/>
              </w:rPr>
              <w:t>Group1</w:t>
            </w:r>
          </w:p>
          <w:p w14:paraId="5DE8AB44" w14:textId="77777777" w:rsidR="004C0A6E" w:rsidRPr="00B97A8C" w:rsidRDefault="004C0A6E" w:rsidP="004C0A6E">
            <w:pPr>
              <w:rPr>
                <w:rFonts w:asciiTheme="majorHAnsi" w:hAnsiTheme="majorHAnsi" w:cs="Times New Roman"/>
                <w:b/>
                <w:sz w:val="20"/>
                <w:szCs w:val="20"/>
              </w:rPr>
            </w:pPr>
            <w:r w:rsidRPr="00B97A8C">
              <w:rPr>
                <w:rFonts w:asciiTheme="majorHAnsi" w:hAnsiTheme="majorHAnsi" w:cs="Times New Roman"/>
                <w:b/>
                <w:sz w:val="20"/>
                <w:szCs w:val="20"/>
              </w:rPr>
              <w:t>(n=58 unless stated in brackets)</w:t>
            </w:r>
          </w:p>
        </w:tc>
        <w:tc>
          <w:tcPr>
            <w:tcW w:w="1855" w:type="dxa"/>
            <w:tcBorders>
              <w:top w:val="single" w:sz="24" w:space="0" w:color="auto"/>
              <w:left w:val="nil"/>
              <w:bottom w:val="single" w:sz="24" w:space="0" w:color="auto"/>
              <w:right w:val="nil"/>
            </w:tcBorders>
          </w:tcPr>
          <w:p w14:paraId="41FF3F1F" w14:textId="77777777" w:rsidR="004C0A6E" w:rsidRPr="00B97A8C" w:rsidRDefault="004C0A6E" w:rsidP="004C0A6E">
            <w:pPr>
              <w:rPr>
                <w:rFonts w:asciiTheme="majorHAnsi" w:hAnsiTheme="majorHAnsi" w:cs="Times New Roman"/>
                <w:b/>
                <w:sz w:val="20"/>
                <w:szCs w:val="20"/>
              </w:rPr>
            </w:pPr>
            <w:r w:rsidRPr="00B97A8C">
              <w:rPr>
                <w:rFonts w:asciiTheme="majorHAnsi" w:hAnsiTheme="majorHAnsi" w:cs="Times New Roman"/>
                <w:b/>
                <w:sz w:val="20"/>
                <w:szCs w:val="20"/>
              </w:rPr>
              <w:t>Group 2</w:t>
            </w:r>
          </w:p>
          <w:p w14:paraId="782565EB" w14:textId="77777777" w:rsidR="004C0A6E" w:rsidRPr="00B97A8C" w:rsidRDefault="004C0A6E" w:rsidP="004C0A6E">
            <w:pPr>
              <w:rPr>
                <w:rFonts w:asciiTheme="majorHAnsi" w:hAnsiTheme="majorHAnsi" w:cs="Times New Roman"/>
                <w:b/>
                <w:sz w:val="20"/>
                <w:szCs w:val="20"/>
              </w:rPr>
            </w:pPr>
            <w:r w:rsidRPr="00B97A8C">
              <w:rPr>
                <w:rFonts w:asciiTheme="majorHAnsi" w:hAnsiTheme="majorHAnsi" w:cs="Times New Roman"/>
                <w:b/>
                <w:sz w:val="20"/>
                <w:szCs w:val="20"/>
              </w:rPr>
              <w:t>(n=58 unless stated in brackets)</w:t>
            </w:r>
          </w:p>
        </w:tc>
      </w:tr>
      <w:tr w:rsidR="004C0A6E" w:rsidRPr="00B97A8C" w14:paraId="435A8382" w14:textId="77777777" w:rsidTr="004C0A6E">
        <w:trPr>
          <w:jc w:val="center"/>
        </w:trPr>
        <w:tc>
          <w:tcPr>
            <w:tcW w:w="3702" w:type="dxa"/>
            <w:tcBorders>
              <w:top w:val="single" w:sz="24" w:space="0" w:color="auto"/>
              <w:left w:val="nil"/>
              <w:bottom w:val="nil"/>
              <w:right w:val="nil"/>
            </w:tcBorders>
          </w:tcPr>
          <w:p w14:paraId="7008DDC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Median Age (years)</w:t>
            </w:r>
          </w:p>
        </w:tc>
        <w:tc>
          <w:tcPr>
            <w:tcW w:w="1811" w:type="dxa"/>
            <w:tcBorders>
              <w:top w:val="single" w:sz="24" w:space="0" w:color="auto"/>
              <w:left w:val="nil"/>
              <w:bottom w:val="nil"/>
              <w:right w:val="nil"/>
            </w:tcBorders>
          </w:tcPr>
          <w:p w14:paraId="1F315052"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58·5</w:t>
            </w:r>
          </w:p>
        </w:tc>
        <w:tc>
          <w:tcPr>
            <w:tcW w:w="1855" w:type="dxa"/>
            <w:tcBorders>
              <w:top w:val="single" w:sz="24" w:space="0" w:color="auto"/>
              <w:left w:val="nil"/>
              <w:bottom w:val="nil"/>
              <w:right w:val="nil"/>
            </w:tcBorders>
          </w:tcPr>
          <w:p w14:paraId="41E32DA2"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58·5</w:t>
            </w:r>
          </w:p>
        </w:tc>
      </w:tr>
      <w:tr w:rsidR="004C0A6E" w:rsidRPr="00B97A8C" w14:paraId="0F162B8C" w14:textId="77777777" w:rsidTr="004C0A6E">
        <w:trPr>
          <w:jc w:val="center"/>
        </w:trPr>
        <w:tc>
          <w:tcPr>
            <w:tcW w:w="3702" w:type="dxa"/>
            <w:tcBorders>
              <w:top w:val="nil"/>
              <w:left w:val="nil"/>
              <w:bottom w:val="nil"/>
              <w:right w:val="nil"/>
            </w:tcBorders>
          </w:tcPr>
          <w:p w14:paraId="0273DC0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Male/female</w:t>
            </w:r>
          </w:p>
        </w:tc>
        <w:tc>
          <w:tcPr>
            <w:tcW w:w="1811" w:type="dxa"/>
            <w:tcBorders>
              <w:top w:val="nil"/>
              <w:left w:val="nil"/>
              <w:bottom w:val="nil"/>
              <w:right w:val="nil"/>
            </w:tcBorders>
          </w:tcPr>
          <w:p w14:paraId="31CCF586"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19/39</w:t>
            </w:r>
          </w:p>
        </w:tc>
        <w:tc>
          <w:tcPr>
            <w:tcW w:w="1855" w:type="dxa"/>
            <w:tcBorders>
              <w:top w:val="nil"/>
              <w:left w:val="nil"/>
              <w:bottom w:val="nil"/>
              <w:right w:val="nil"/>
            </w:tcBorders>
          </w:tcPr>
          <w:p w14:paraId="1EF3EEA0"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20/38</w:t>
            </w:r>
          </w:p>
        </w:tc>
      </w:tr>
      <w:tr w:rsidR="004C0A6E" w:rsidRPr="00B97A8C" w14:paraId="4893828A" w14:textId="77777777" w:rsidTr="004C0A6E">
        <w:trPr>
          <w:jc w:val="center"/>
        </w:trPr>
        <w:tc>
          <w:tcPr>
            <w:tcW w:w="3702" w:type="dxa"/>
            <w:tcBorders>
              <w:top w:val="nil"/>
              <w:left w:val="nil"/>
              <w:bottom w:val="nil"/>
              <w:right w:val="nil"/>
            </w:tcBorders>
          </w:tcPr>
          <w:p w14:paraId="60914EE8"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Survival (alive/dead)</w:t>
            </w:r>
          </w:p>
        </w:tc>
        <w:tc>
          <w:tcPr>
            <w:tcW w:w="1811" w:type="dxa"/>
            <w:tcBorders>
              <w:top w:val="nil"/>
              <w:left w:val="nil"/>
              <w:bottom w:val="nil"/>
              <w:right w:val="nil"/>
            </w:tcBorders>
          </w:tcPr>
          <w:p w14:paraId="418D0B33"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41/17</w:t>
            </w:r>
          </w:p>
        </w:tc>
        <w:tc>
          <w:tcPr>
            <w:tcW w:w="1855" w:type="dxa"/>
            <w:tcBorders>
              <w:top w:val="nil"/>
              <w:left w:val="nil"/>
              <w:bottom w:val="nil"/>
              <w:right w:val="nil"/>
            </w:tcBorders>
          </w:tcPr>
          <w:p w14:paraId="5AF3731A"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36/22</w:t>
            </w:r>
          </w:p>
        </w:tc>
      </w:tr>
      <w:tr w:rsidR="004C0A6E" w:rsidRPr="00B97A8C" w14:paraId="36023ED9" w14:textId="77777777" w:rsidTr="004C0A6E">
        <w:trPr>
          <w:jc w:val="center"/>
        </w:trPr>
        <w:tc>
          <w:tcPr>
            <w:tcW w:w="3702" w:type="dxa"/>
            <w:tcBorders>
              <w:top w:val="nil"/>
              <w:left w:val="nil"/>
              <w:bottom w:val="nil"/>
              <w:right w:val="nil"/>
            </w:tcBorders>
          </w:tcPr>
          <w:p w14:paraId="5E03B6A8"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Never/ever/current smokers</w:t>
            </w:r>
          </w:p>
        </w:tc>
        <w:tc>
          <w:tcPr>
            <w:tcW w:w="1811" w:type="dxa"/>
            <w:tcBorders>
              <w:top w:val="nil"/>
              <w:left w:val="nil"/>
              <w:bottom w:val="nil"/>
              <w:right w:val="nil"/>
            </w:tcBorders>
          </w:tcPr>
          <w:p w14:paraId="4F8332A8"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31/26/1</w:t>
            </w:r>
          </w:p>
        </w:tc>
        <w:tc>
          <w:tcPr>
            <w:tcW w:w="1855" w:type="dxa"/>
            <w:tcBorders>
              <w:top w:val="nil"/>
              <w:left w:val="nil"/>
              <w:bottom w:val="nil"/>
              <w:right w:val="nil"/>
            </w:tcBorders>
          </w:tcPr>
          <w:p w14:paraId="773B38E2"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40/16/1</w:t>
            </w:r>
          </w:p>
        </w:tc>
      </w:tr>
      <w:tr w:rsidR="004C0A6E" w:rsidRPr="00B97A8C" w14:paraId="53A83EA5" w14:textId="77777777" w:rsidTr="004C0A6E">
        <w:trPr>
          <w:jc w:val="center"/>
        </w:trPr>
        <w:tc>
          <w:tcPr>
            <w:tcW w:w="3702" w:type="dxa"/>
            <w:tcBorders>
              <w:top w:val="nil"/>
              <w:left w:val="nil"/>
              <w:bottom w:val="nil"/>
              <w:right w:val="nil"/>
            </w:tcBorders>
          </w:tcPr>
          <w:p w14:paraId="0F31D158"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Pack years</w:t>
            </w:r>
          </w:p>
        </w:tc>
        <w:tc>
          <w:tcPr>
            <w:tcW w:w="1811" w:type="dxa"/>
            <w:tcBorders>
              <w:top w:val="nil"/>
              <w:left w:val="nil"/>
              <w:bottom w:val="nil"/>
              <w:right w:val="nil"/>
            </w:tcBorders>
          </w:tcPr>
          <w:p w14:paraId="0538CD87"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16·1 ± 16·1</w:t>
            </w:r>
          </w:p>
        </w:tc>
        <w:tc>
          <w:tcPr>
            <w:tcW w:w="1855" w:type="dxa"/>
            <w:tcBorders>
              <w:top w:val="nil"/>
              <w:left w:val="nil"/>
              <w:bottom w:val="nil"/>
              <w:right w:val="nil"/>
            </w:tcBorders>
          </w:tcPr>
          <w:p w14:paraId="6F315C21"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19·9 ± 16.7</w:t>
            </w:r>
          </w:p>
        </w:tc>
      </w:tr>
      <w:tr w:rsidR="004C0A6E" w:rsidRPr="00B97A8C" w14:paraId="416B1D80" w14:textId="77777777" w:rsidTr="004C0A6E">
        <w:trPr>
          <w:jc w:val="center"/>
        </w:trPr>
        <w:tc>
          <w:tcPr>
            <w:tcW w:w="3702" w:type="dxa"/>
            <w:tcBorders>
              <w:top w:val="nil"/>
              <w:left w:val="nil"/>
              <w:bottom w:val="nil"/>
              <w:right w:val="nil"/>
            </w:tcBorders>
          </w:tcPr>
          <w:p w14:paraId="78782611"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Follow up</w:t>
            </w:r>
          </w:p>
        </w:tc>
        <w:tc>
          <w:tcPr>
            <w:tcW w:w="1811" w:type="dxa"/>
            <w:tcBorders>
              <w:top w:val="nil"/>
              <w:left w:val="nil"/>
              <w:bottom w:val="nil"/>
              <w:right w:val="nil"/>
            </w:tcBorders>
          </w:tcPr>
          <w:p w14:paraId="34594A1F"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49·9 ± 20·3</w:t>
            </w:r>
          </w:p>
        </w:tc>
        <w:tc>
          <w:tcPr>
            <w:tcW w:w="1855" w:type="dxa"/>
            <w:tcBorders>
              <w:top w:val="nil"/>
              <w:left w:val="nil"/>
              <w:bottom w:val="nil"/>
              <w:right w:val="nil"/>
            </w:tcBorders>
          </w:tcPr>
          <w:p w14:paraId="607D491F"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44·6 ± 21.7</w:t>
            </w:r>
          </w:p>
        </w:tc>
      </w:tr>
      <w:tr w:rsidR="004C0A6E" w:rsidRPr="00B97A8C" w14:paraId="5E965003" w14:textId="77777777" w:rsidTr="004C0A6E">
        <w:trPr>
          <w:jc w:val="center"/>
        </w:trPr>
        <w:tc>
          <w:tcPr>
            <w:tcW w:w="3702" w:type="dxa"/>
            <w:tcBorders>
              <w:top w:val="dashSmallGap" w:sz="4" w:space="0" w:color="auto"/>
              <w:left w:val="nil"/>
              <w:bottom w:val="nil"/>
              <w:right w:val="nil"/>
            </w:tcBorders>
          </w:tcPr>
          <w:p w14:paraId="45579F47"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FEV1 % predicted </w:t>
            </w:r>
          </w:p>
        </w:tc>
        <w:tc>
          <w:tcPr>
            <w:tcW w:w="1811" w:type="dxa"/>
            <w:tcBorders>
              <w:top w:val="dashSmallGap" w:sz="4" w:space="0" w:color="auto"/>
              <w:left w:val="nil"/>
              <w:bottom w:val="nil"/>
              <w:right w:val="nil"/>
            </w:tcBorders>
          </w:tcPr>
          <w:p w14:paraId="4D86303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71·3 ± 19·1 (57)</w:t>
            </w:r>
          </w:p>
        </w:tc>
        <w:tc>
          <w:tcPr>
            <w:tcW w:w="1855" w:type="dxa"/>
            <w:tcBorders>
              <w:top w:val="dashSmallGap" w:sz="4" w:space="0" w:color="auto"/>
              <w:left w:val="nil"/>
              <w:bottom w:val="nil"/>
              <w:right w:val="nil"/>
            </w:tcBorders>
          </w:tcPr>
          <w:p w14:paraId="2FF4D4D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65·8 ± 20·0 (55)</w:t>
            </w:r>
          </w:p>
        </w:tc>
      </w:tr>
      <w:tr w:rsidR="004C0A6E" w:rsidRPr="00B97A8C" w14:paraId="33DC963E" w14:textId="77777777" w:rsidTr="004C0A6E">
        <w:trPr>
          <w:jc w:val="center"/>
        </w:trPr>
        <w:tc>
          <w:tcPr>
            <w:tcW w:w="3702" w:type="dxa"/>
            <w:tcBorders>
              <w:top w:val="nil"/>
              <w:left w:val="nil"/>
              <w:bottom w:val="nil"/>
              <w:right w:val="nil"/>
            </w:tcBorders>
          </w:tcPr>
          <w:p w14:paraId="4788725C"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FVC % predicted</w:t>
            </w:r>
          </w:p>
        </w:tc>
        <w:tc>
          <w:tcPr>
            <w:tcW w:w="1811" w:type="dxa"/>
            <w:tcBorders>
              <w:top w:val="nil"/>
              <w:left w:val="nil"/>
              <w:bottom w:val="nil"/>
              <w:right w:val="nil"/>
            </w:tcBorders>
          </w:tcPr>
          <w:p w14:paraId="58980325"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74·7 ± 22·7 (57)</w:t>
            </w:r>
          </w:p>
        </w:tc>
        <w:tc>
          <w:tcPr>
            <w:tcW w:w="1855" w:type="dxa"/>
            <w:tcBorders>
              <w:top w:val="nil"/>
              <w:left w:val="nil"/>
              <w:bottom w:val="nil"/>
              <w:right w:val="nil"/>
            </w:tcBorders>
          </w:tcPr>
          <w:p w14:paraId="5ABD8678"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69·6 ± 22·8 (55)</w:t>
            </w:r>
          </w:p>
        </w:tc>
      </w:tr>
      <w:tr w:rsidR="004C0A6E" w:rsidRPr="00B97A8C" w14:paraId="3D506EF0" w14:textId="77777777" w:rsidTr="004C0A6E">
        <w:trPr>
          <w:jc w:val="center"/>
        </w:trPr>
        <w:tc>
          <w:tcPr>
            <w:tcW w:w="3702" w:type="dxa"/>
            <w:tcBorders>
              <w:top w:val="nil"/>
              <w:left w:val="nil"/>
              <w:bottom w:val="nil"/>
              <w:right w:val="nil"/>
            </w:tcBorders>
          </w:tcPr>
          <w:p w14:paraId="307C8A8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DLco % predicted</w:t>
            </w:r>
          </w:p>
        </w:tc>
        <w:tc>
          <w:tcPr>
            <w:tcW w:w="1811" w:type="dxa"/>
            <w:tcBorders>
              <w:top w:val="nil"/>
              <w:left w:val="nil"/>
              <w:bottom w:val="nil"/>
              <w:right w:val="nil"/>
            </w:tcBorders>
          </w:tcPr>
          <w:p w14:paraId="34DB8495"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42·2 ±14·4  (56)</w:t>
            </w:r>
          </w:p>
        </w:tc>
        <w:tc>
          <w:tcPr>
            <w:tcW w:w="1855" w:type="dxa"/>
            <w:tcBorders>
              <w:top w:val="nil"/>
              <w:left w:val="nil"/>
              <w:bottom w:val="nil"/>
              <w:right w:val="nil"/>
            </w:tcBorders>
          </w:tcPr>
          <w:p w14:paraId="647A27A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43·7 ± 17·3 (53)</w:t>
            </w:r>
          </w:p>
        </w:tc>
      </w:tr>
      <w:tr w:rsidR="004C0A6E" w:rsidRPr="00B97A8C" w14:paraId="204B647D" w14:textId="77777777" w:rsidTr="004C0A6E">
        <w:trPr>
          <w:jc w:val="center"/>
        </w:trPr>
        <w:tc>
          <w:tcPr>
            <w:tcW w:w="3702" w:type="dxa"/>
            <w:tcBorders>
              <w:top w:val="nil"/>
              <w:left w:val="nil"/>
              <w:bottom w:val="nil"/>
              <w:right w:val="nil"/>
            </w:tcBorders>
          </w:tcPr>
          <w:p w14:paraId="51BCC048"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Kco % predicted</w:t>
            </w:r>
          </w:p>
        </w:tc>
        <w:tc>
          <w:tcPr>
            <w:tcW w:w="1811" w:type="dxa"/>
            <w:tcBorders>
              <w:top w:val="nil"/>
              <w:left w:val="nil"/>
              <w:bottom w:val="nil"/>
              <w:right w:val="nil"/>
            </w:tcBorders>
          </w:tcPr>
          <w:p w14:paraId="512974DA"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68·9 ± 15·2 (56)</w:t>
            </w:r>
          </w:p>
        </w:tc>
        <w:tc>
          <w:tcPr>
            <w:tcW w:w="1855" w:type="dxa"/>
            <w:tcBorders>
              <w:top w:val="nil"/>
              <w:left w:val="nil"/>
              <w:bottom w:val="nil"/>
              <w:right w:val="nil"/>
            </w:tcBorders>
          </w:tcPr>
          <w:p w14:paraId="3E74C236"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71·5 ± 17·3 (53)</w:t>
            </w:r>
          </w:p>
        </w:tc>
      </w:tr>
      <w:tr w:rsidR="004C0A6E" w:rsidRPr="00B97A8C" w14:paraId="0ED4DEE7" w14:textId="77777777" w:rsidTr="004C0A6E">
        <w:trPr>
          <w:jc w:val="center"/>
        </w:trPr>
        <w:tc>
          <w:tcPr>
            <w:tcW w:w="3702" w:type="dxa"/>
            <w:tcBorders>
              <w:top w:val="nil"/>
              <w:left w:val="nil"/>
              <w:bottom w:val="nil"/>
              <w:right w:val="nil"/>
            </w:tcBorders>
          </w:tcPr>
          <w:p w14:paraId="075AE535"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TLC% predicted</w:t>
            </w:r>
          </w:p>
        </w:tc>
        <w:tc>
          <w:tcPr>
            <w:tcW w:w="1811" w:type="dxa"/>
            <w:tcBorders>
              <w:top w:val="nil"/>
              <w:left w:val="nil"/>
              <w:bottom w:val="nil"/>
              <w:right w:val="nil"/>
            </w:tcBorders>
          </w:tcPr>
          <w:p w14:paraId="4517D4E8"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73·6 ± 17·3 (53)</w:t>
            </w:r>
          </w:p>
        </w:tc>
        <w:tc>
          <w:tcPr>
            <w:tcW w:w="1855" w:type="dxa"/>
            <w:tcBorders>
              <w:top w:val="nil"/>
              <w:left w:val="nil"/>
              <w:bottom w:val="nil"/>
              <w:right w:val="nil"/>
            </w:tcBorders>
          </w:tcPr>
          <w:p w14:paraId="3E4F9A07"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70·2 ± 16·2 (50)</w:t>
            </w:r>
          </w:p>
        </w:tc>
      </w:tr>
      <w:tr w:rsidR="004C0A6E" w:rsidRPr="00B97A8C" w14:paraId="0D1195E3" w14:textId="77777777" w:rsidTr="004C0A6E">
        <w:trPr>
          <w:jc w:val="center"/>
        </w:trPr>
        <w:tc>
          <w:tcPr>
            <w:tcW w:w="3702" w:type="dxa"/>
            <w:tcBorders>
              <w:top w:val="nil"/>
              <w:left w:val="nil"/>
              <w:bottom w:val="nil"/>
              <w:right w:val="nil"/>
            </w:tcBorders>
          </w:tcPr>
          <w:p w14:paraId="17780E06"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CPI</w:t>
            </w:r>
          </w:p>
        </w:tc>
        <w:tc>
          <w:tcPr>
            <w:tcW w:w="1811" w:type="dxa"/>
            <w:tcBorders>
              <w:top w:val="nil"/>
              <w:left w:val="nil"/>
              <w:bottom w:val="nil"/>
              <w:right w:val="nil"/>
            </w:tcBorders>
          </w:tcPr>
          <w:p w14:paraId="73BEC84E"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48·0 ± 14·5 (56)</w:t>
            </w:r>
          </w:p>
        </w:tc>
        <w:tc>
          <w:tcPr>
            <w:tcW w:w="1855" w:type="dxa"/>
            <w:tcBorders>
              <w:top w:val="nil"/>
              <w:left w:val="nil"/>
              <w:bottom w:val="nil"/>
              <w:right w:val="nil"/>
            </w:tcBorders>
          </w:tcPr>
          <w:p w14:paraId="79174727"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47·7 ± 16·0 (52)</w:t>
            </w:r>
          </w:p>
        </w:tc>
      </w:tr>
      <w:tr w:rsidR="004C0A6E" w:rsidRPr="00B97A8C" w14:paraId="421089C8" w14:textId="77777777" w:rsidTr="004C0A6E">
        <w:trPr>
          <w:jc w:val="center"/>
        </w:trPr>
        <w:tc>
          <w:tcPr>
            <w:tcW w:w="3702" w:type="dxa"/>
            <w:tcBorders>
              <w:top w:val="nil"/>
              <w:left w:val="nil"/>
              <w:bottom w:val="dashSmallGap" w:sz="4" w:space="0" w:color="auto"/>
              <w:right w:val="nil"/>
            </w:tcBorders>
          </w:tcPr>
          <w:p w14:paraId="76AFDC8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Echocardiography RVSP (mmHg)</w:t>
            </w:r>
          </w:p>
        </w:tc>
        <w:tc>
          <w:tcPr>
            <w:tcW w:w="1811" w:type="dxa"/>
            <w:tcBorders>
              <w:top w:val="nil"/>
              <w:left w:val="nil"/>
              <w:bottom w:val="dashSmallGap" w:sz="4" w:space="0" w:color="auto"/>
              <w:right w:val="nil"/>
            </w:tcBorders>
          </w:tcPr>
          <w:p w14:paraId="53AC6104"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38·6 ± 18·9 (21)</w:t>
            </w:r>
          </w:p>
        </w:tc>
        <w:tc>
          <w:tcPr>
            <w:tcW w:w="1855" w:type="dxa"/>
            <w:tcBorders>
              <w:top w:val="nil"/>
              <w:left w:val="nil"/>
              <w:bottom w:val="dashSmallGap" w:sz="4" w:space="0" w:color="auto"/>
              <w:right w:val="nil"/>
            </w:tcBorders>
          </w:tcPr>
          <w:p w14:paraId="1712AA00"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33·0 ± 12·1 (37)</w:t>
            </w:r>
          </w:p>
        </w:tc>
      </w:tr>
      <w:tr w:rsidR="004C0A6E" w:rsidRPr="00B97A8C" w14:paraId="0F8C4A4D" w14:textId="77777777" w:rsidTr="004C0A6E">
        <w:trPr>
          <w:jc w:val="center"/>
        </w:trPr>
        <w:tc>
          <w:tcPr>
            <w:tcW w:w="3702" w:type="dxa"/>
            <w:tcBorders>
              <w:top w:val="dashSmallGap" w:sz="4" w:space="0" w:color="auto"/>
              <w:left w:val="nil"/>
              <w:bottom w:val="nil"/>
              <w:right w:val="nil"/>
            </w:tcBorders>
          </w:tcPr>
          <w:p w14:paraId="0F8297F3"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CALIPER ILD extent </w:t>
            </w:r>
          </w:p>
        </w:tc>
        <w:tc>
          <w:tcPr>
            <w:tcW w:w="1811" w:type="dxa"/>
            <w:tcBorders>
              <w:top w:val="dashSmallGap" w:sz="4" w:space="0" w:color="auto"/>
              <w:left w:val="nil"/>
              <w:bottom w:val="nil"/>
              <w:right w:val="nil"/>
            </w:tcBorders>
          </w:tcPr>
          <w:p w14:paraId="200BF40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24·4 ± 24·7</w:t>
            </w:r>
          </w:p>
        </w:tc>
        <w:tc>
          <w:tcPr>
            <w:tcW w:w="1855" w:type="dxa"/>
            <w:tcBorders>
              <w:top w:val="dashSmallGap" w:sz="4" w:space="0" w:color="auto"/>
              <w:left w:val="nil"/>
              <w:bottom w:val="nil"/>
              <w:right w:val="nil"/>
            </w:tcBorders>
          </w:tcPr>
          <w:p w14:paraId="059DBDF0"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24·3 ± 20·2</w:t>
            </w:r>
          </w:p>
        </w:tc>
      </w:tr>
      <w:tr w:rsidR="004C0A6E" w:rsidRPr="00B97A8C" w14:paraId="4544D95D" w14:textId="77777777" w:rsidTr="004C0A6E">
        <w:trPr>
          <w:jc w:val="center"/>
        </w:trPr>
        <w:tc>
          <w:tcPr>
            <w:tcW w:w="3702" w:type="dxa"/>
            <w:tcBorders>
              <w:top w:val="nil"/>
              <w:left w:val="nil"/>
              <w:bottom w:val="nil"/>
              <w:right w:val="nil"/>
            </w:tcBorders>
          </w:tcPr>
          <w:p w14:paraId="140B229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CALIPER Ground glass opacity</w:t>
            </w:r>
          </w:p>
        </w:tc>
        <w:tc>
          <w:tcPr>
            <w:tcW w:w="1811" w:type="dxa"/>
            <w:tcBorders>
              <w:top w:val="nil"/>
              <w:left w:val="nil"/>
              <w:bottom w:val="nil"/>
              <w:right w:val="nil"/>
            </w:tcBorders>
          </w:tcPr>
          <w:p w14:paraId="0A3B0B05"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19·9 ± 23·1</w:t>
            </w:r>
          </w:p>
        </w:tc>
        <w:tc>
          <w:tcPr>
            <w:tcW w:w="1855" w:type="dxa"/>
            <w:tcBorders>
              <w:top w:val="nil"/>
              <w:left w:val="nil"/>
              <w:bottom w:val="nil"/>
              <w:right w:val="nil"/>
            </w:tcBorders>
          </w:tcPr>
          <w:p w14:paraId="16228494"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19·2 ± 18·6</w:t>
            </w:r>
          </w:p>
        </w:tc>
      </w:tr>
      <w:tr w:rsidR="004C0A6E" w:rsidRPr="00B97A8C" w14:paraId="62A09D9C" w14:textId="77777777" w:rsidTr="004C0A6E">
        <w:trPr>
          <w:jc w:val="center"/>
        </w:trPr>
        <w:tc>
          <w:tcPr>
            <w:tcW w:w="3702" w:type="dxa"/>
            <w:tcBorders>
              <w:top w:val="nil"/>
              <w:left w:val="nil"/>
              <w:bottom w:val="nil"/>
              <w:right w:val="nil"/>
            </w:tcBorders>
          </w:tcPr>
          <w:p w14:paraId="7D539614"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CALIPER Reticular pattern </w:t>
            </w:r>
          </w:p>
        </w:tc>
        <w:tc>
          <w:tcPr>
            <w:tcW w:w="1811" w:type="dxa"/>
            <w:tcBorders>
              <w:top w:val="nil"/>
              <w:left w:val="nil"/>
              <w:bottom w:val="nil"/>
              <w:right w:val="nil"/>
            </w:tcBorders>
          </w:tcPr>
          <w:p w14:paraId="0AB1808B"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4·2 ± 3·9</w:t>
            </w:r>
          </w:p>
        </w:tc>
        <w:tc>
          <w:tcPr>
            <w:tcW w:w="1855" w:type="dxa"/>
            <w:tcBorders>
              <w:top w:val="nil"/>
              <w:left w:val="nil"/>
              <w:bottom w:val="nil"/>
              <w:right w:val="nil"/>
            </w:tcBorders>
          </w:tcPr>
          <w:p w14:paraId="569D10F6"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4·7 ± 3·8</w:t>
            </w:r>
          </w:p>
        </w:tc>
      </w:tr>
      <w:tr w:rsidR="004C0A6E" w:rsidRPr="00B97A8C" w14:paraId="72C48F5F" w14:textId="77777777" w:rsidTr="004C0A6E">
        <w:trPr>
          <w:jc w:val="center"/>
        </w:trPr>
        <w:tc>
          <w:tcPr>
            <w:tcW w:w="3702" w:type="dxa"/>
            <w:tcBorders>
              <w:top w:val="nil"/>
              <w:left w:val="nil"/>
              <w:bottom w:val="nil"/>
              <w:right w:val="nil"/>
            </w:tcBorders>
          </w:tcPr>
          <w:p w14:paraId="46CB4742"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CALIPER Honeycombing </w:t>
            </w:r>
          </w:p>
        </w:tc>
        <w:tc>
          <w:tcPr>
            <w:tcW w:w="1811" w:type="dxa"/>
            <w:tcBorders>
              <w:top w:val="nil"/>
              <w:left w:val="nil"/>
              <w:bottom w:val="nil"/>
              <w:right w:val="nil"/>
            </w:tcBorders>
          </w:tcPr>
          <w:p w14:paraId="7F7983CB"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0·3 ± 0·4</w:t>
            </w:r>
          </w:p>
        </w:tc>
        <w:tc>
          <w:tcPr>
            <w:tcW w:w="1855" w:type="dxa"/>
            <w:tcBorders>
              <w:top w:val="nil"/>
              <w:left w:val="nil"/>
              <w:bottom w:val="nil"/>
              <w:right w:val="nil"/>
            </w:tcBorders>
          </w:tcPr>
          <w:p w14:paraId="73C1F442"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0·3 ± 0·7</w:t>
            </w:r>
          </w:p>
        </w:tc>
      </w:tr>
      <w:tr w:rsidR="004C0A6E" w:rsidRPr="00B97A8C" w14:paraId="40385BA4" w14:textId="77777777" w:rsidTr="004C0A6E">
        <w:trPr>
          <w:jc w:val="center"/>
        </w:trPr>
        <w:tc>
          <w:tcPr>
            <w:tcW w:w="3702" w:type="dxa"/>
            <w:tcBorders>
              <w:top w:val="nil"/>
              <w:left w:val="nil"/>
              <w:bottom w:val="nil"/>
              <w:right w:val="nil"/>
            </w:tcBorders>
          </w:tcPr>
          <w:p w14:paraId="79BD120A"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CALIPER Emphysema</w:t>
            </w:r>
          </w:p>
        </w:tc>
        <w:tc>
          <w:tcPr>
            <w:tcW w:w="1811" w:type="dxa"/>
            <w:tcBorders>
              <w:top w:val="nil"/>
              <w:left w:val="nil"/>
              <w:bottom w:val="nil"/>
              <w:right w:val="nil"/>
            </w:tcBorders>
          </w:tcPr>
          <w:p w14:paraId="656A0470"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0·7 ± 2·3</w:t>
            </w:r>
          </w:p>
        </w:tc>
        <w:tc>
          <w:tcPr>
            <w:tcW w:w="1855" w:type="dxa"/>
            <w:tcBorders>
              <w:top w:val="nil"/>
              <w:left w:val="nil"/>
              <w:bottom w:val="nil"/>
              <w:right w:val="nil"/>
            </w:tcBorders>
          </w:tcPr>
          <w:p w14:paraId="2F3931CD"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0·2 ± 0·5</w:t>
            </w:r>
          </w:p>
        </w:tc>
      </w:tr>
      <w:tr w:rsidR="004C0A6E" w:rsidRPr="00B97A8C" w14:paraId="09EA1602" w14:textId="77777777" w:rsidTr="004C0A6E">
        <w:trPr>
          <w:jc w:val="center"/>
        </w:trPr>
        <w:tc>
          <w:tcPr>
            <w:tcW w:w="3702" w:type="dxa"/>
            <w:tcBorders>
              <w:top w:val="nil"/>
              <w:left w:val="nil"/>
              <w:bottom w:val="nil"/>
              <w:right w:val="nil"/>
            </w:tcBorders>
          </w:tcPr>
          <w:p w14:paraId="4D207812"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CALIPER Pulmonary vessel volume</w:t>
            </w:r>
          </w:p>
        </w:tc>
        <w:tc>
          <w:tcPr>
            <w:tcW w:w="1811" w:type="dxa"/>
            <w:tcBorders>
              <w:top w:val="nil"/>
              <w:left w:val="nil"/>
              <w:bottom w:val="nil"/>
              <w:right w:val="nil"/>
            </w:tcBorders>
          </w:tcPr>
          <w:p w14:paraId="71AB2E0B"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4·5 ± 2·1</w:t>
            </w:r>
          </w:p>
        </w:tc>
        <w:tc>
          <w:tcPr>
            <w:tcW w:w="1855" w:type="dxa"/>
            <w:tcBorders>
              <w:top w:val="nil"/>
              <w:left w:val="nil"/>
              <w:bottom w:val="nil"/>
              <w:right w:val="nil"/>
            </w:tcBorders>
          </w:tcPr>
          <w:p w14:paraId="4F123E3A"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4·5 ± 1·7</w:t>
            </w:r>
          </w:p>
        </w:tc>
      </w:tr>
      <w:tr w:rsidR="004C0A6E" w:rsidRPr="00B97A8C" w14:paraId="1195F0E3" w14:textId="77777777" w:rsidTr="004C0A6E">
        <w:trPr>
          <w:jc w:val="center"/>
        </w:trPr>
        <w:tc>
          <w:tcPr>
            <w:tcW w:w="3702" w:type="dxa"/>
            <w:tcBorders>
              <w:top w:val="dashSmallGap" w:sz="4" w:space="0" w:color="auto"/>
              <w:left w:val="nil"/>
              <w:bottom w:val="nil"/>
              <w:right w:val="nil"/>
            </w:tcBorders>
          </w:tcPr>
          <w:p w14:paraId="745B0385"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Visual ILD extent</w:t>
            </w:r>
          </w:p>
        </w:tc>
        <w:tc>
          <w:tcPr>
            <w:tcW w:w="1811" w:type="dxa"/>
            <w:tcBorders>
              <w:top w:val="dashSmallGap" w:sz="4" w:space="0" w:color="auto"/>
              <w:left w:val="nil"/>
              <w:bottom w:val="nil"/>
              <w:right w:val="nil"/>
            </w:tcBorders>
          </w:tcPr>
          <w:p w14:paraId="62A2F961"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58·0 ± 25·0</w:t>
            </w:r>
          </w:p>
        </w:tc>
        <w:tc>
          <w:tcPr>
            <w:tcW w:w="1855" w:type="dxa"/>
            <w:tcBorders>
              <w:top w:val="dashSmallGap" w:sz="4" w:space="0" w:color="auto"/>
              <w:left w:val="nil"/>
              <w:bottom w:val="nil"/>
              <w:right w:val="nil"/>
            </w:tcBorders>
          </w:tcPr>
          <w:p w14:paraId="2145E604"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66·2 ± 23·7</w:t>
            </w:r>
          </w:p>
        </w:tc>
      </w:tr>
      <w:tr w:rsidR="004C0A6E" w:rsidRPr="00B97A8C" w14:paraId="01984C33" w14:textId="77777777" w:rsidTr="004C0A6E">
        <w:trPr>
          <w:jc w:val="center"/>
        </w:trPr>
        <w:tc>
          <w:tcPr>
            <w:tcW w:w="3702" w:type="dxa"/>
            <w:tcBorders>
              <w:top w:val="nil"/>
              <w:left w:val="nil"/>
              <w:bottom w:val="nil"/>
              <w:right w:val="nil"/>
            </w:tcBorders>
          </w:tcPr>
          <w:p w14:paraId="4046E83E"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Visual Ground glass opacity</w:t>
            </w:r>
          </w:p>
        </w:tc>
        <w:tc>
          <w:tcPr>
            <w:tcW w:w="1811" w:type="dxa"/>
            <w:tcBorders>
              <w:top w:val="nil"/>
              <w:left w:val="nil"/>
              <w:bottom w:val="nil"/>
              <w:right w:val="nil"/>
            </w:tcBorders>
          </w:tcPr>
          <w:p w14:paraId="7B4859B4"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31·0 ± 23·4</w:t>
            </w:r>
          </w:p>
        </w:tc>
        <w:tc>
          <w:tcPr>
            <w:tcW w:w="1855" w:type="dxa"/>
            <w:tcBorders>
              <w:top w:val="nil"/>
              <w:left w:val="nil"/>
              <w:bottom w:val="nil"/>
              <w:right w:val="nil"/>
            </w:tcBorders>
          </w:tcPr>
          <w:p w14:paraId="21A63DA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35·7 ± 24·5</w:t>
            </w:r>
          </w:p>
        </w:tc>
      </w:tr>
      <w:tr w:rsidR="004C0A6E" w:rsidRPr="00B97A8C" w14:paraId="476BEA73" w14:textId="77777777" w:rsidTr="004C0A6E">
        <w:trPr>
          <w:jc w:val="center"/>
        </w:trPr>
        <w:tc>
          <w:tcPr>
            <w:tcW w:w="3702" w:type="dxa"/>
            <w:tcBorders>
              <w:top w:val="nil"/>
              <w:left w:val="nil"/>
              <w:bottom w:val="nil"/>
              <w:right w:val="nil"/>
            </w:tcBorders>
          </w:tcPr>
          <w:p w14:paraId="4AAFDECC"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Visual Reticular pattern </w:t>
            </w:r>
          </w:p>
        </w:tc>
        <w:tc>
          <w:tcPr>
            <w:tcW w:w="1811" w:type="dxa"/>
            <w:tcBorders>
              <w:top w:val="nil"/>
              <w:left w:val="nil"/>
              <w:bottom w:val="nil"/>
              <w:right w:val="nil"/>
            </w:tcBorders>
          </w:tcPr>
          <w:p w14:paraId="580320A2"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24·6 ± 18·3</w:t>
            </w:r>
          </w:p>
        </w:tc>
        <w:tc>
          <w:tcPr>
            <w:tcW w:w="1855" w:type="dxa"/>
            <w:tcBorders>
              <w:top w:val="nil"/>
              <w:left w:val="nil"/>
              <w:bottom w:val="nil"/>
              <w:right w:val="nil"/>
            </w:tcBorders>
          </w:tcPr>
          <w:p w14:paraId="0B07DB12"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28·3 ± 18·1</w:t>
            </w:r>
          </w:p>
        </w:tc>
      </w:tr>
      <w:tr w:rsidR="004C0A6E" w:rsidRPr="00B97A8C" w14:paraId="3AF553F0" w14:textId="77777777" w:rsidTr="004C0A6E">
        <w:trPr>
          <w:jc w:val="center"/>
        </w:trPr>
        <w:tc>
          <w:tcPr>
            <w:tcW w:w="3702" w:type="dxa"/>
            <w:tcBorders>
              <w:top w:val="nil"/>
              <w:left w:val="nil"/>
              <w:bottom w:val="nil"/>
              <w:right w:val="nil"/>
            </w:tcBorders>
          </w:tcPr>
          <w:p w14:paraId="120E1E5D"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Visual Honeycombing </w:t>
            </w:r>
          </w:p>
        </w:tc>
        <w:tc>
          <w:tcPr>
            <w:tcW w:w="1811" w:type="dxa"/>
            <w:tcBorders>
              <w:top w:val="nil"/>
              <w:left w:val="nil"/>
              <w:bottom w:val="nil"/>
              <w:right w:val="nil"/>
            </w:tcBorders>
          </w:tcPr>
          <w:p w14:paraId="42AF8E6E"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0·7 ± 2·1</w:t>
            </w:r>
          </w:p>
        </w:tc>
        <w:tc>
          <w:tcPr>
            <w:tcW w:w="1855" w:type="dxa"/>
            <w:tcBorders>
              <w:top w:val="nil"/>
              <w:left w:val="nil"/>
              <w:bottom w:val="nil"/>
              <w:right w:val="nil"/>
            </w:tcBorders>
          </w:tcPr>
          <w:p w14:paraId="63F7F816"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1·2 ± 5·5</w:t>
            </w:r>
          </w:p>
        </w:tc>
      </w:tr>
      <w:tr w:rsidR="004C0A6E" w:rsidRPr="00B97A8C" w14:paraId="2EE4AA73" w14:textId="77777777" w:rsidTr="004C0A6E">
        <w:trPr>
          <w:jc w:val="center"/>
        </w:trPr>
        <w:tc>
          <w:tcPr>
            <w:tcW w:w="3702" w:type="dxa"/>
            <w:tcBorders>
              <w:top w:val="nil"/>
              <w:left w:val="nil"/>
              <w:bottom w:val="nil"/>
              <w:right w:val="nil"/>
            </w:tcBorders>
          </w:tcPr>
          <w:p w14:paraId="70A1DFE6"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Visual Emphysema </w:t>
            </w:r>
          </w:p>
        </w:tc>
        <w:tc>
          <w:tcPr>
            <w:tcW w:w="1811" w:type="dxa"/>
            <w:tcBorders>
              <w:top w:val="nil"/>
              <w:left w:val="nil"/>
              <w:bottom w:val="nil"/>
              <w:right w:val="nil"/>
            </w:tcBorders>
          </w:tcPr>
          <w:p w14:paraId="0D175FDC"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4·1 ± 11·0</w:t>
            </w:r>
          </w:p>
        </w:tc>
        <w:tc>
          <w:tcPr>
            <w:tcW w:w="1855" w:type="dxa"/>
            <w:tcBorders>
              <w:top w:val="nil"/>
              <w:left w:val="nil"/>
              <w:bottom w:val="nil"/>
              <w:right w:val="nil"/>
            </w:tcBorders>
          </w:tcPr>
          <w:p w14:paraId="54C54493"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1·8 ± 4·4</w:t>
            </w:r>
          </w:p>
        </w:tc>
      </w:tr>
      <w:tr w:rsidR="004C0A6E" w:rsidRPr="00B97A8C" w14:paraId="4B8C2DBE" w14:textId="77777777" w:rsidTr="004C0A6E">
        <w:trPr>
          <w:jc w:val="center"/>
        </w:trPr>
        <w:tc>
          <w:tcPr>
            <w:tcW w:w="3702" w:type="dxa"/>
            <w:tcBorders>
              <w:top w:val="nil"/>
              <w:left w:val="nil"/>
              <w:bottom w:val="nil"/>
              <w:right w:val="nil"/>
            </w:tcBorders>
          </w:tcPr>
          <w:p w14:paraId="156BB899"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Visual TxBx severity (max score 18)</w:t>
            </w:r>
          </w:p>
        </w:tc>
        <w:tc>
          <w:tcPr>
            <w:tcW w:w="1811" w:type="dxa"/>
            <w:tcBorders>
              <w:top w:val="nil"/>
              <w:left w:val="nil"/>
              <w:bottom w:val="nil"/>
              <w:right w:val="nil"/>
            </w:tcBorders>
          </w:tcPr>
          <w:p w14:paraId="60958F9C"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5·5 ± 4·7</w:t>
            </w:r>
          </w:p>
        </w:tc>
        <w:tc>
          <w:tcPr>
            <w:tcW w:w="1855" w:type="dxa"/>
            <w:tcBorders>
              <w:top w:val="nil"/>
              <w:left w:val="nil"/>
              <w:bottom w:val="nil"/>
              <w:right w:val="nil"/>
            </w:tcBorders>
          </w:tcPr>
          <w:p w14:paraId="64B33F31"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 xml:space="preserve">  6·3 ± 4·7</w:t>
            </w:r>
          </w:p>
        </w:tc>
      </w:tr>
      <w:tr w:rsidR="004C0A6E" w:rsidRPr="00B97A8C" w14:paraId="1CF8F948" w14:textId="77777777" w:rsidTr="004C0A6E">
        <w:trPr>
          <w:jc w:val="center"/>
        </w:trPr>
        <w:tc>
          <w:tcPr>
            <w:tcW w:w="3702" w:type="dxa"/>
            <w:tcBorders>
              <w:top w:val="nil"/>
              <w:left w:val="nil"/>
              <w:bottom w:val="nil"/>
              <w:right w:val="nil"/>
            </w:tcBorders>
          </w:tcPr>
          <w:p w14:paraId="5BC39DED"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Main PA diameter (mm)</w:t>
            </w:r>
          </w:p>
        </w:tc>
        <w:tc>
          <w:tcPr>
            <w:tcW w:w="1811" w:type="dxa"/>
            <w:tcBorders>
              <w:top w:val="nil"/>
              <w:left w:val="nil"/>
              <w:bottom w:val="nil"/>
              <w:right w:val="nil"/>
            </w:tcBorders>
          </w:tcPr>
          <w:p w14:paraId="7A8E6702"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29·7 ± 4·8</w:t>
            </w:r>
          </w:p>
        </w:tc>
        <w:tc>
          <w:tcPr>
            <w:tcW w:w="1855" w:type="dxa"/>
            <w:tcBorders>
              <w:top w:val="nil"/>
              <w:left w:val="nil"/>
              <w:bottom w:val="nil"/>
              <w:right w:val="nil"/>
            </w:tcBorders>
          </w:tcPr>
          <w:p w14:paraId="4412B6BB"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29·4 ± 5·0</w:t>
            </w:r>
          </w:p>
        </w:tc>
      </w:tr>
      <w:tr w:rsidR="004C0A6E" w:rsidRPr="00B97A8C" w14:paraId="13C3AD36" w14:textId="77777777" w:rsidTr="004C0A6E">
        <w:trPr>
          <w:jc w:val="center"/>
        </w:trPr>
        <w:tc>
          <w:tcPr>
            <w:tcW w:w="3702" w:type="dxa"/>
            <w:tcBorders>
              <w:top w:val="nil"/>
              <w:left w:val="nil"/>
              <w:bottom w:val="single" w:sz="24" w:space="0" w:color="auto"/>
              <w:right w:val="nil"/>
            </w:tcBorders>
          </w:tcPr>
          <w:p w14:paraId="167FEE5D"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Ascending aorta diameter (mm)</w:t>
            </w:r>
          </w:p>
        </w:tc>
        <w:tc>
          <w:tcPr>
            <w:tcW w:w="1811" w:type="dxa"/>
            <w:tcBorders>
              <w:top w:val="nil"/>
              <w:left w:val="nil"/>
              <w:bottom w:val="single" w:sz="24" w:space="0" w:color="auto"/>
              <w:right w:val="nil"/>
            </w:tcBorders>
          </w:tcPr>
          <w:p w14:paraId="44E829E5"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32·9 ± 4·3</w:t>
            </w:r>
          </w:p>
        </w:tc>
        <w:tc>
          <w:tcPr>
            <w:tcW w:w="1855" w:type="dxa"/>
            <w:tcBorders>
              <w:top w:val="nil"/>
              <w:left w:val="nil"/>
              <w:bottom w:val="single" w:sz="24" w:space="0" w:color="auto"/>
              <w:right w:val="nil"/>
            </w:tcBorders>
          </w:tcPr>
          <w:p w14:paraId="199C144E" w14:textId="77777777" w:rsidR="004C0A6E" w:rsidRPr="00B97A8C" w:rsidRDefault="004C0A6E" w:rsidP="004C0A6E">
            <w:pPr>
              <w:rPr>
                <w:rFonts w:asciiTheme="majorHAnsi" w:hAnsiTheme="majorHAnsi" w:cs="Times New Roman"/>
                <w:sz w:val="16"/>
                <w:szCs w:val="16"/>
              </w:rPr>
            </w:pPr>
            <w:r w:rsidRPr="00B97A8C">
              <w:rPr>
                <w:rFonts w:asciiTheme="majorHAnsi" w:hAnsiTheme="majorHAnsi" w:cs="Times New Roman"/>
                <w:sz w:val="16"/>
                <w:szCs w:val="16"/>
              </w:rPr>
              <w:t>33·3 ± 3·6</w:t>
            </w:r>
          </w:p>
        </w:tc>
      </w:tr>
    </w:tbl>
    <w:p w14:paraId="54D89EEC" w14:textId="77777777" w:rsidR="004C0A6E" w:rsidRPr="00B97A8C" w:rsidRDefault="004C0A6E" w:rsidP="004C0A6E">
      <w:pPr>
        <w:rPr>
          <w:rFonts w:asciiTheme="majorHAnsi" w:hAnsiTheme="majorHAnsi" w:cs="Times New Roman"/>
          <w:sz w:val="20"/>
          <w:szCs w:val="20"/>
        </w:rPr>
      </w:pPr>
    </w:p>
    <w:p w14:paraId="1555A751" w14:textId="77777777" w:rsidR="004C0A6E" w:rsidRPr="00B97A8C" w:rsidRDefault="004C0A6E" w:rsidP="004C0A6E">
      <w:pPr>
        <w:spacing w:line="480" w:lineRule="auto"/>
        <w:rPr>
          <w:rFonts w:asciiTheme="majorHAnsi" w:hAnsiTheme="majorHAnsi" w:cs="Times New Roman"/>
          <w:sz w:val="20"/>
          <w:szCs w:val="20"/>
        </w:rPr>
      </w:pPr>
      <w:r w:rsidRPr="00B97A8C">
        <w:rPr>
          <w:rFonts w:asciiTheme="majorHAnsi" w:hAnsiTheme="majorHAnsi" w:cs="Times New Roman"/>
          <w:b/>
          <w:sz w:val="20"/>
          <w:szCs w:val="20"/>
        </w:rPr>
        <w:t xml:space="preserve">Supplementary Table </w:t>
      </w:r>
      <w:r>
        <w:rPr>
          <w:rFonts w:asciiTheme="majorHAnsi" w:hAnsiTheme="majorHAnsi" w:cs="Times New Roman"/>
          <w:b/>
          <w:sz w:val="20"/>
          <w:szCs w:val="20"/>
        </w:rPr>
        <w:t>3</w:t>
      </w:r>
      <w:r w:rsidRPr="00B97A8C">
        <w:rPr>
          <w:rFonts w:asciiTheme="majorHAnsi" w:hAnsiTheme="majorHAnsi" w:cs="Times New Roman"/>
          <w:sz w:val="20"/>
          <w:szCs w:val="20"/>
        </w:rPr>
        <w:t>. Patient demographics, pulmonary function indices, CALIPER and visually scored CT parameters, and echocardiography data in patients with chronic hypersensitivity pneumonitis matched for age and gender. No differences were identified between groups using the T-test for continuous variables, the Mann Whitney U test for differences in continuous median values and the Chi-Squared test for categorical variables. CT = computed tomography, FEV1 = forced expiratory volume in one second, FVC = forced vital capacity, DLco = diffusing capacity for carbon monoxide, Kco = carbon monoxide transfer coefficient, TLC = total lung capacity, CPI = composite physiological index, ILD = interstitial lung disease, RVSP = right ventricular systolic pressure, TxBx = traction bronchiectasis, PA=pulmonary artery.</w:t>
      </w:r>
    </w:p>
    <w:p w14:paraId="7EE615BE" w14:textId="19F099DA" w:rsidR="00B97A8C" w:rsidRPr="00E25208" w:rsidRDefault="004C0A6E" w:rsidP="00B97A8C">
      <w:pPr>
        <w:spacing w:line="480" w:lineRule="auto"/>
        <w:rPr>
          <w:rFonts w:asciiTheme="majorHAnsi" w:hAnsiTheme="majorHAnsi" w:cs="Times New Roman"/>
          <w:sz w:val="20"/>
          <w:szCs w:val="20"/>
        </w:rPr>
      </w:pPr>
      <w:r>
        <w:rPr>
          <w:rFonts w:asciiTheme="majorHAnsi" w:hAnsiTheme="majorHAnsi" w:cs="Times New Roman"/>
          <w:b/>
        </w:rPr>
        <w:br w:type="page"/>
      </w:r>
      <w:r w:rsidR="00B97A8C" w:rsidRPr="00E25208">
        <w:rPr>
          <w:rFonts w:asciiTheme="majorHAnsi" w:hAnsiTheme="majorHAnsi" w:cs="Times New Roman"/>
          <w:sz w:val="20"/>
          <w:szCs w:val="20"/>
        </w:rPr>
        <w:t>Supplementary Figure 1.</w:t>
      </w:r>
      <w:r w:rsidR="00F93E30">
        <w:rPr>
          <w:rFonts w:asciiTheme="majorHAnsi" w:hAnsiTheme="majorHAnsi" w:cs="Times New Roman"/>
          <w:sz w:val="20"/>
          <w:szCs w:val="20"/>
        </w:rPr>
        <w:t xml:space="preserve"> Chronic hypersensitivity pneumonitis patients w</w:t>
      </w:r>
      <w:r w:rsidR="00521C26">
        <w:rPr>
          <w:rFonts w:asciiTheme="majorHAnsi" w:hAnsiTheme="majorHAnsi" w:cs="Times New Roman"/>
          <w:sz w:val="20"/>
          <w:szCs w:val="20"/>
        </w:rPr>
        <w:t xml:space="preserve">ere selected as non end-stage disease using </w:t>
      </w:r>
      <w:r w:rsidR="00521C26" w:rsidRPr="00B97A8C">
        <w:rPr>
          <w:rFonts w:asciiTheme="majorHAnsi" w:hAnsiTheme="majorHAnsi"/>
          <w:sz w:val="20"/>
          <w:szCs w:val="20"/>
        </w:rPr>
        <w:t xml:space="preserve">a </w:t>
      </w:r>
      <w:r w:rsidR="00521C26">
        <w:rPr>
          <w:rFonts w:asciiTheme="majorHAnsi" w:hAnsiTheme="majorHAnsi"/>
          <w:sz w:val="20"/>
          <w:szCs w:val="20"/>
        </w:rPr>
        <w:t>forced vital capacity (</w:t>
      </w:r>
      <w:r w:rsidR="00521C26" w:rsidRPr="00B97A8C">
        <w:rPr>
          <w:rFonts w:asciiTheme="majorHAnsi" w:hAnsiTheme="majorHAnsi"/>
          <w:sz w:val="20"/>
          <w:szCs w:val="20"/>
        </w:rPr>
        <w:t>FVC</w:t>
      </w:r>
      <w:r w:rsidR="00521C26">
        <w:rPr>
          <w:rFonts w:asciiTheme="majorHAnsi" w:hAnsiTheme="majorHAnsi"/>
          <w:sz w:val="20"/>
          <w:szCs w:val="20"/>
        </w:rPr>
        <w:t>)</w:t>
      </w:r>
      <w:r w:rsidR="000449AB">
        <w:rPr>
          <w:rFonts w:asciiTheme="majorHAnsi" w:hAnsiTheme="majorHAnsi"/>
          <w:sz w:val="20"/>
          <w:szCs w:val="20"/>
        </w:rPr>
        <w:t xml:space="preserve"> </w:t>
      </w:r>
      <w:r w:rsidR="00521C26" w:rsidRPr="00B97A8C">
        <w:rPr>
          <w:rFonts w:ascii="Calibri" w:hAnsi="Calibri"/>
          <w:sz w:val="20"/>
          <w:szCs w:val="20"/>
        </w:rPr>
        <w:t>≥</w:t>
      </w:r>
      <w:r w:rsidR="00521C26" w:rsidRPr="00B97A8C">
        <w:rPr>
          <w:rFonts w:asciiTheme="majorHAnsi" w:hAnsiTheme="majorHAnsi"/>
          <w:sz w:val="20"/>
          <w:szCs w:val="20"/>
        </w:rPr>
        <w:t>50</w:t>
      </w:r>
      <w:r w:rsidR="00521C26" w:rsidRPr="00521C26">
        <w:rPr>
          <w:rFonts w:asciiTheme="majorHAnsi" w:hAnsiTheme="majorHAnsi"/>
          <w:sz w:val="20"/>
          <w:szCs w:val="20"/>
        </w:rPr>
        <w:t xml:space="preserve">% predicted threshold (n=103). When examined using a </w:t>
      </w:r>
      <w:r w:rsidR="00521C26">
        <w:rPr>
          <w:rFonts w:asciiTheme="majorHAnsi" w:hAnsiTheme="majorHAnsi"/>
          <w:sz w:val="20"/>
          <w:szCs w:val="20"/>
        </w:rPr>
        <w:t>pulmonary vessel volume (</w:t>
      </w:r>
      <w:r w:rsidR="00521C26" w:rsidRPr="00521C26">
        <w:rPr>
          <w:rFonts w:asciiTheme="majorHAnsi" w:hAnsiTheme="majorHAnsi"/>
          <w:sz w:val="20"/>
          <w:szCs w:val="20"/>
        </w:rPr>
        <w:t>PVV</w:t>
      </w:r>
      <w:r w:rsidR="00521C26">
        <w:rPr>
          <w:rFonts w:asciiTheme="majorHAnsi" w:hAnsiTheme="majorHAnsi"/>
          <w:sz w:val="20"/>
          <w:szCs w:val="20"/>
        </w:rPr>
        <w:t>)</w:t>
      </w:r>
      <w:r w:rsidR="00521C26" w:rsidRPr="00521C26">
        <w:rPr>
          <w:rFonts w:asciiTheme="majorHAnsi" w:hAnsiTheme="majorHAnsi"/>
          <w:sz w:val="20"/>
          <w:szCs w:val="20"/>
        </w:rPr>
        <w:t xml:space="preserve"> threshold of 6·5%, there was good separation of </w:t>
      </w:r>
      <w:r w:rsidR="00521C26">
        <w:rPr>
          <w:rFonts w:asciiTheme="majorHAnsi" w:hAnsiTheme="majorHAnsi"/>
          <w:sz w:val="20"/>
          <w:szCs w:val="20"/>
        </w:rPr>
        <w:t xml:space="preserve">the population into two groups with </w:t>
      </w:r>
      <w:r w:rsidR="00521C26" w:rsidRPr="00E25208">
        <w:rPr>
          <w:rFonts w:asciiTheme="majorHAnsi" w:hAnsiTheme="majorHAnsi"/>
          <w:sz w:val="20"/>
          <w:szCs w:val="20"/>
        </w:rPr>
        <w:t>differ</w:t>
      </w:r>
      <w:r w:rsidR="00521C26">
        <w:rPr>
          <w:rFonts w:asciiTheme="majorHAnsi" w:hAnsiTheme="majorHAnsi"/>
          <w:sz w:val="20"/>
          <w:szCs w:val="20"/>
        </w:rPr>
        <w:t>ing outcome. Mean s</w:t>
      </w:r>
      <w:r w:rsidR="00521C26" w:rsidRPr="00E25208">
        <w:rPr>
          <w:rFonts w:asciiTheme="majorHAnsi" w:hAnsiTheme="majorHAnsi"/>
          <w:sz w:val="20"/>
          <w:szCs w:val="20"/>
        </w:rPr>
        <w:t xml:space="preserve">urvival </w:t>
      </w:r>
      <w:r w:rsidR="00521C26">
        <w:rPr>
          <w:rFonts w:asciiTheme="majorHAnsi" w:hAnsiTheme="majorHAnsi"/>
          <w:sz w:val="20"/>
          <w:szCs w:val="20"/>
        </w:rPr>
        <w:t>in</w:t>
      </w:r>
      <w:r w:rsidR="00521C26" w:rsidRPr="00E25208">
        <w:rPr>
          <w:rFonts w:asciiTheme="majorHAnsi" w:hAnsiTheme="majorHAnsi"/>
          <w:sz w:val="20"/>
          <w:szCs w:val="20"/>
        </w:rPr>
        <w:t xml:space="preserve"> patients with a P</w:t>
      </w:r>
      <w:r w:rsidR="00521C26">
        <w:rPr>
          <w:rFonts w:asciiTheme="majorHAnsi" w:hAnsiTheme="majorHAnsi"/>
          <w:sz w:val="20"/>
          <w:szCs w:val="20"/>
        </w:rPr>
        <w:t>VV&lt;6.5%</w:t>
      </w:r>
      <w:r w:rsidR="00521C26" w:rsidRPr="00E25208">
        <w:rPr>
          <w:rFonts w:asciiTheme="majorHAnsi" w:hAnsiTheme="majorHAnsi"/>
          <w:sz w:val="20"/>
          <w:szCs w:val="20"/>
        </w:rPr>
        <w:t xml:space="preserve"> (</w:t>
      </w:r>
      <w:r w:rsidR="00521C26">
        <w:rPr>
          <w:rFonts w:asciiTheme="majorHAnsi" w:hAnsiTheme="majorHAnsi"/>
          <w:sz w:val="20"/>
          <w:szCs w:val="20"/>
        </w:rPr>
        <w:t>blue</w:t>
      </w:r>
      <w:r w:rsidR="000449AB">
        <w:rPr>
          <w:rFonts w:asciiTheme="majorHAnsi" w:hAnsiTheme="majorHAnsi"/>
          <w:sz w:val="20"/>
          <w:szCs w:val="20"/>
        </w:rPr>
        <w:t>)[</w:t>
      </w:r>
      <w:r w:rsidR="00521C26" w:rsidRPr="00521C26">
        <w:rPr>
          <w:rFonts w:asciiTheme="majorHAnsi" w:hAnsiTheme="majorHAnsi"/>
          <w:sz w:val="20"/>
          <w:szCs w:val="20"/>
        </w:rPr>
        <w:t>=9</w:t>
      </w:r>
      <w:r w:rsidR="00521C26" w:rsidRPr="00E25208">
        <w:rPr>
          <w:rFonts w:asciiTheme="majorHAnsi" w:hAnsiTheme="majorHAnsi"/>
          <w:sz w:val="20"/>
          <w:szCs w:val="20"/>
        </w:rPr>
        <w:t>2; mean survival=6</w:t>
      </w:r>
      <w:r w:rsidR="00521C26">
        <w:rPr>
          <w:rFonts w:asciiTheme="majorHAnsi" w:hAnsiTheme="majorHAnsi"/>
          <w:sz w:val="20"/>
          <w:szCs w:val="20"/>
        </w:rPr>
        <w:t>8.6</w:t>
      </w:r>
      <w:r w:rsidR="00521C26" w:rsidRPr="00E25208">
        <w:rPr>
          <w:rFonts w:asciiTheme="majorHAnsi" w:hAnsiTheme="majorHAnsi"/>
          <w:sz w:val="20"/>
          <w:szCs w:val="20"/>
        </w:rPr>
        <w:t xml:space="preserve"> </w:t>
      </w:r>
      <w:r w:rsidR="00521C26" w:rsidRPr="00E25208">
        <w:rPr>
          <w:rFonts w:ascii="Calibri" w:hAnsi="Calibri"/>
          <w:sz w:val="20"/>
          <w:szCs w:val="20"/>
        </w:rPr>
        <w:t>±</w:t>
      </w:r>
      <w:r w:rsidR="00521C26" w:rsidRPr="00521C26">
        <w:rPr>
          <w:rFonts w:asciiTheme="majorHAnsi" w:hAnsiTheme="majorHAnsi"/>
          <w:sz w:val="20"/>
          <w:szCs w:val="20"/>
        </w:rPr>
        <w:t xml:space="preserve"> 3</w:t>
      </w:r>
      <w:r w:rsidR="00521C26" w:rsidRPr="00E25208">
        <w:rPr>
          <w:rFonts w:asciiTheme="majorHAnsi" w:hAnsiTheme="majorHAnsi"/>
          <w:sz w:val="20"/>
          <w:szCs w:val="20"/>
        </w:rPr>
        <w:t>·</w:t>
      </w:r>
      <w:r w:rsidR="00521C26" w:rsidRPr="00521C26">
        <w:rPr>
          <w:rFonts w:asciiTheme="majorHAnsi" w:hAnsiTheme="majorHAnsi"/>
          <w:sz w:val="20"/>
          <w:szCs w:val="20"/>
        </w:rPr>
        <w:t>1</w:t>
      </w:r>
      <w:r w:rsidR="00521C26" w:rsidRPr="00E25208">
        <w:rPr>
          <w:rFonts w:asciiTheme="majorHAnsi" w:hAnsiTheme="majorHAnsi"/>
          <w:sz w:val="20"/>
          <w:szCs w:val="20"/>
        </w:rPr>
        <w:t xml:space="preserve"> months</w:t>
      </w:r>
      <w:r w:rsidR="000449AB" w:rsidRPr="000449AB">
        <w:rPr>
          <w:rFonts w:asciiTheme="majorHAnsi" w:hAnsiTheme="majorHAnsi"/>
          <w:sz w:val="20"/>
          <w:szCs w:val="20"/>
        </w:rPr>
        <w:t>]</w:t>
      </w:r>
      <w:r w:rsidR="00521C26">
        <w:rPr>
          <w:rFonts w:asciiTheme="majorHAnsi" w:hAnsiTheme="majorHAnsi"/>
          <w:sz w:val="20"/>
          <w:szCs w:val="20"/>
        </w:rPr>
        <w:t>; mean s</w:t>
      </w:r>
      <w:r w:rsidR="00521C26" w:rsidRPr="001A5B0B">
        <w:rPr>
          <w:rFonts w:asciiTheme="majorHAnsi" w:hAnsiTheme="majorHAnsi"/>
          <w:sz w:val="20"/>
          <w:szCs w:val="20"/>
        </w:rPr>
        <w:t xml:space="preserve">urvival </w:t>
      </w:r>
      <w:r w:rsidR="00521C26">
        <w:rPr>
          <w:rFonts w:asciiTheme="majorHAnsi" w:hAnsiTheme="majorHAnsi"/>
          <w:sz w:val="20"/>
          <w:szCs w:val="20"/>
        </w:rPr>
        <w:t>in</w:t>
      </w:r>
      <w:r w:rsidR="00521C26" w:rsidRPr="001A5B0B">
        <w:rPr>
          <w:rFonts w:asciiTheme="majorHAnsi" w:hAnsiTheme="majorHAnsi"/>
          <w:sz w:val="20"/>
          <w:szCs w:val="20"/>
        </w:rPr>
        <w:t xml:space="preserve"> patients with a P</w:t>
      </w:r>
      <w:r w:rsidR="00521C26">
        <w:rPr>
          <w:rFonts w:asciiTheme="majorHAnsi" w:hAnsiTheme="majorHAnsi"/>
          <w:sz w:val="20"/>
          <w:szCs w:val="20"/>
        </w:rPr>
        <w:t>VV&gt;6.5%</w:t>
      </w:r>
      <w:r w:rsidR="00521C26" w:rsidRPr="001A5B0B">
        <w:rPr>
          <w:rFonts w:asciiTheme="majorHAnsi" w:hAnsiTheme="majorHAnsi"/>
          <w:sz w:val="20"/>
          <w:szCs w:val="20"/>
        </w:rPr>
        <w:t xml:space="preserve"> (</w:t>
      </w:r>
      <w:r w:rsidR="00521C26">
        <w:rPr>
          <w:rFonts w:asciiTheme="majorHAnsi" w:hAnsiTheme="majorHAnsi"/>
          <w:sz w:val="20"/>
          <w:szCs w:val="20"/>
        </w:rPr>
        <w:t>green</w:t>
      </w:r>
      <w:r w:rsidR="000449AB">
        <w:rPr>
          <w:rFonts w:asciiTheme="majorHAnsi" w:hAnsiTheme="majorHAnsi"/>
          <w:sz w:val="20"/>
          <w:szCs w:val="20"/>
        </w:rPr>
        <w:t>)[</w:t>
      </w:r>
      <w:r w:rsidR="00521C26">
        <w:rPr>
          <w:rFonts w:asciiTheme="majorHAnsi" w:hAnsiTheme="majorHAnsi"/>
          <w:sz w:val="20"/>
          <w:szCs w:val="20"/>
        </w:rPr>
        <w:t>n=11; mean survival=37.4</w:t>
      </w:r>
      <w:r w:rsidR="00521C26" w:rsidRPr="001A5B0B">
        <w:rPr>
          <w:rFonts w:asciiTheme="majorHAnsi" w:hAnsiTheme="majorHAnsi"/>
          <w:sz w:val="20"/>
          <w:szCs w:val="20"/>
        </w:rPr>
        <w:t xml:space="preserve"> </w:t>
      </w:r>
      <w:r w:rsidR="00521C26" w:rsidRPr="001A5B0B">
        <w:rPr>
          <w:rFonts w:ascii="Calibri" w:hAnsi="Calibri"/>
          <w:sz w:val="20"/>
          <w:szCs w:val="20"/>
        </w:rPr>
        <w:t>±</w:t>
      </w:r>
      <w:r w:rsidR="00521C26" w:rsidRPr="00521C26">
        <w:rPr>
          <w:rFonts w:asciiTheme="majorHAnsi" w:hAnsiTheme="majorHAnsi"/>
          <w:sz w:val="20"/>
          <w:szCs w:val="20"/>
        </w:rPr>
        <w:t xml:space="preserve"> </w:t>
      </w:r>
      <w:r w:rsidR="00521C26">
        <w:rPr>
          <w:rFonts w:asciiTheme="majorHAnsi" w:hAnsiTheme="majorHAnsi"/>
          <w:sz w:val="20"/>
          <w:szCs w:val="20"/>
        </w:rPr>
        <w:t>8.</w:t>
      </w:r>
      <w:r w:rsidR="00521C26" w:rsidRPr="00521C26">
        <w:rPr>
          <w:rFonts w:asciiTheme="majorHAnsi" w:hAnsiTheme="majorHAnsi"/>
          <w:sz w:val="20"/>
          <w:szCs w:val="20"/>
        </w:rPr>
        <w:t>3</w:t>
      </w:r>
      <w:r w:rsidR="000449AB">
        <w:rPr>
          <w:rFonts w:asciiTheme="majorHAnsi" w:hAnsiTheme="majorHAnsi"/>
          <w:sz w:val="20"/>
          <w:szCs w:val="20"/>
        </w:rPr>
        <w:t xml:space="preserve"> months]</w:t>
      </w:r>
      <w:r w:rsidR="00521C26">
        <w:rPr>
          <w:rFonts w:asciiTheme="majorHAnsi" w:hAnsiTheme="majorHAnsi"/>
          <w:sz w:val="20"/>
          <w:szCs w:val="20"/>
        </w:rPr>
        <w:t>.</w:t>
      </w:r>
      <w:r w:rsidR="00216DD7">
        <w:rPr>
          <w:rFonts w:asciiTheme="majorHAnsi" w:hAnsiTheme="majorHAnsi"/>
          <w:sz w:val="20"/>
          <w:szCs w:val="20"/>
        </w:rPr>
        <w:t xml:space="preserve"> Log Rank test p=0.01.</w:t>
      </w:r>
    </w:p>
    <w:p w14:paraId="5BDD197A" w14:textId="77777777" w:rsidR="00B97A8C" w:rsidRDefault="00B97A8C" w:rsidP="00B97A8C">
      <w:pPr>
        <w:spacing w:line="480" w:lineRule="auto"/>
        <w:rPr>
          <w:rFonts w:asciiTheme="majorHAnsi" w:hAnsiTheme="majorHAnsi" w:cs="Times New Roman"/>
          <w:sz w:val="20"/>
          <w:szCs w:val="20"/>
        </w:rPr>
      </w:pPr>
    </w:p>
    <w:p w14:paraId="17037D6B" w14:textId="1C760A3E" w:rsidR="00521C26" w:rsidRPr="001A5B0B" w:rsidRDefault="00521C26" w:rsidP="00521C26">
      <w:pPr>
        <w:spacing w:line="480" w:lineRule="auto"/>
        <w:rPr>
          <w:rFonts w:asciiTheme="majorHAnsi" w:hAnsiTheme="majorHAnsi" w:cs="Times New Roman"/>
          <w:sz w:val="20"/>
          <w:szCs w:val="20"/>
        </w:rPr>
      </w:pPr>
      <w:r>
        <w:rPr>
          <w:rFonts w:asciiTheme="majorHAnsi" w:hAnsiTheme="majorHAnsi" w:cs="Times New Roman"/>
          <w:sz w:val="20"/>
          <w:szCs w:val="20"/>
        </w:rPr>
        <w:t>Supplementary Figure 2</w:t>
      </w:r>
      <w:r w:rsidRPr="001A5B0B">
        <w:rPr>
          <w:rFonts w:asciiTheme="majorHAnsi" w:hAnsiTheme="majorHAnsi" w:cs="Times New Roman"/>
          <w:sz w:val="20"/>
          <w:szCs w:val="20"/>
        </w:rPr>
        <w:t>.</w:t>
      </w:r>
      <w:r>
        <w:rPr>
          <w:rFonts w:asciiTheme="majorHAnsi" w:hAnsiTheme="majorHAnsi" w:cs="Times New Roman"/>
          <w:sz w:val="20"/>
          <w:szCs w:val="20"/>
        </w:rPr>
        <w:t xml:space="preserve"> </w:t>
      </w:r>
      <w:bookmarkStart w:id="0" w:name="_GoBack"/>
      <w:r>
        <w:rPr>
          <w:rFonts w:asciiTheme="majorHAnsi" w:hAnsiTheme="majorHAnsi" w:cs="Times New Roman"/>
          <w:sz w:val="20"/>
          <w:szCs w:val="20"/>
        </w:rPr>
        <w:t>Chronic hypersensitivity pneumonitis patients (green)[n=11] were compared to idiopathic pulmonary fibrosis patients (blue)[n=244]</w:t>
      </w:r>
      <w:r w:rsidR="00216DD7">
        <w:rPr>
          <w:rFonts w:asciiTheme="majorHAnsi" w:hAnsiTheme="majorHAnsi" w:cs="Times New Roman"/>
          <w:sz w:val="20"/>
          <w:szCs w:val="20"/>
        </w:rPr>
        <w:t xml:space="preserve"> using Kaplan Meier curve </w:t>
      </w:r>
      <w:r w:rsidR="00216DD7" w:rsidRPr="00216DD7">
        <w:rPr>
          <w:rFonts w:asciiTheme="majorHAnsi" w:hAnsiTheme="majorHAnsi" w:cs="Times New Roman"/>
          <w:sz w:val="20"/>
          <w:szCs w:val="20"/>
        </w:rPr>
        <w:t>analysis</w:t>
      </w:r>
      <w:bookmarkEnd w:id="0"/>
      <w:r w:rsidR="00216DD7" w:rsidRPr="00216DD7">
        <w:rPr>
          <w:rFonts w:asciiTheme="majorHAnsi" w:hAnsiTheme="majorHAnsi" w:cs="Times New Roman"/>
          <w:sz w:val="20"/>
          <w:szCs w:val="20"/>
        </w:rPr>
        <w:t xml:space="preserve">. </w:t>
      </w:r>
      <w:r w:rsidR="00216DD7" w:rsidRPr="00E25208">
        <w:rPr>
          <w:rFonts w:asciiTheme="majorHAnsi" w:hAnsiTheme="majorHAnsi"/>
          <w:sz w:val="20"/>
          <w:szCs w:val="20"/>
        </w:rPr>
        <w:t xml:space="preserve">The </w:t>
      </w:r>
      <w:r w:rsidR="00216DD7">
        <w:rPr>
          <w:rFonts w:asciiTheme="majorHAnsi" w:hAnsiTheme="majorHAnsi" w:cs="Times New Roman"/>
          <w:sz w:val="20"/>
          <w:szCs w:val="20"/>
        </w:rPr>
        <w:t xml:space="preserve">idiopathic pulmonary fibrosis </w:t>
      </w:r>
      <w:r w:rsidR="00216DD7" w:rsidRPr="00E25208">
        <w:rPr>
          <w:rFonts w:asciiTheme="majorHAnsi" w:hAnsiTheme="majorHAnsi"/>
          <w:sz w:val="20"/>
          <w:szCs w:val="20"/>
        </w:rPr>
        <w:t xml:space="preserve">and poor-outcome </w:t>
      </w:r>
      <w:r w:rsidR="00216DD7">
        <w:rPr>
          <w:rFonts w:asciiTheme="majorHAnsi" w:hAnsiTheme="majorHAnsi" w:cs="Times New Roman"/>
          <w:sz w:val="20"/>
          <w:szCs w:val="20"/>
        </w:rPr>
        <w:t xml:space="preserve">chronic hypersensitivity pneumonitis </w:t>
      </w:r>
      <w:r w:rsidR="00216DD7" w:rsidRPr="00E25208">
        <w:rPr>
          <w:rFonts w:asciiTheme="majorHAnsi" w:hAnsiTheme="majorHAnsi"/>
          <w:sz w:val="20"/>
          <w:szCs w:val="20"/>
        </w:rPr>
        <w:t xml:space="preserve">curves were most comparable at a </w:t>
      </w:r>
      <w:r w:rsidR="00216DD7">
        <w:rPr>
          <w:rFonts w:asciiTheme="majorHAnsi" w:hAnsiTheme="majorHAnsi"/>
          <w:sz w:val="20"/>
          <w:szCs w:val="20"/>
        </w:rPr>
        <w:t xml:space="preserve">pulmonary vessel volume </w:t>
      </w:r>
      <w:r w:rsidR="00216DD7" w:rsidRPr="00E25208">
        <w:rPr>
          <w:rFonts w:asciiTheme="majorHAnsi" w:hAnsiTheme="majorHAnsi"/>
          <w:sz w:val="20"/>
          <w:szCs w:val="20"/>
        </w:rPr>
        <w:t xml:space="preserve">threshold of 6·5% where the mean survival in the </w:t>
      </w:r>
      <w:r w:rsidR="00216DD7">
        <w:rPr>
          <w:rFonts w:asciiTheme="majorHAnsi" w:hAnsiTheme="majorHAnsi" w:cs="Times New Roman"/>
          <w:sz w:val="20"/>
          <w:szCs w:val="20"/>
        </w:rPr>
        <w:t xml:space="preserve">idiopathic pulmonary fibrosis </w:t>
      </w:r>
      <w:r w:rsidR="00216DD7" w:rsidRPr="00E25208">
        <w:rPr>
          <w:rFonts w:asciiTheme="majorHAnsi" w:hAnsiTheme="majorHAnsi"/>
          <w:sz w:val="20"/>
          <w:szCs w:val="20"/>
        </w:rPr>
        <w:t>population (38·</w:t>
      </w:r>
      <w:r w:rsidR="00216DD7" w:rsidRPr="00216DD7">
        <w:rPr>
          <w:rFonts w:asciiTheme="majorHAnsi" w:hAnsiTheme="majorHAnsi"/>
          <w:sz w:val="20"/>
          <w:szCs w:val="20"/>
        </w:rPr>
        <w:t>6</w:t>
      </w:r>
      <w:r w:rsidR="00216DD7" w:rsidRPr="00E25208">
        <w:rPr>
          <w:rFonts w:asciiTheme="majorHAnsi" w:hAnsiTheme="majorHAnsi"/>
          <w:sz w:val="20"/>
          <w:szCs w:val="20"/>
        </w:rPr>
        <w:t xml:space="preserve"> </w:t>
      </w:r>
      <w:r w:rsidR="00216DD7" w:rsidRPr="00E25208">
        <w:rPr>
          <w:rFonts w:ascii="Calibri" w:hAnsi="Calibri"/>
          <w:sz w:val="20"/>
          <w:szCs w:val="20"/>
        </w:rPr>
        <w:t>±</w:t>
      </w:r>
      <w:r w:rsidR="00216DD7" w:rsidRPr="00216DD7">
        <w:rPr>
          <w:rFonts w:asciiTheme="majorHAnsi" w:hAnsiTheme="majorHAnsi"/>
          <w:sz w:val="20"/>
          <w:szCs w:val="20"/>
        </w:rPr>
        <w:t xml:space="preserve"> 1</w:t>
      </w:r>
      <w:r w:rsidR="00216DD7" w:rsidRPr="00E25208">
        <w:rPr>
          <w:rFonts w:asciiTheme="majorHAnsi" w:hAnsiTheme="majorHAnsi"/>
          <w:sz w:val="20"/>
          <w:szCs w:val="20"/>
        </w:rPr>
        <w:t>·</w:t>
      </w:r>
      <w:r w:rsidR="00216DD7" w:rsidRPr="00216DD7">
        <w:rPr>
          <w:rFonts w:asciiTheme="majorHAnsi" w:hAnsiTheme="majorHAnsi"/>
          <w:sz w:val="20"/>
          <w:szCs w:val="20"/>
        </w:rPr>
        <w:t>9</w:t>
      </w:r>
      <w:r w:rsidR="00216DD7" w:rsidRPr="00E25208">
        <w:rPr>
          <w:rFonts w:asciiTheme="majorHAnsi" w:hAnsiTheme="majorHAnsi"/>
          <w:sz w:val="20"/>
          <w:szCs w:val="20"/>
        </w:rPr>
        <w:t xml:space="preserve"> months) was found to be similar to the poor-outcome </w:t>
      </w:r>
      <w:r w:rsidR="00216DD7">
        <w:rPr>
          <w:rFonts w:asciiTheme="majorHAnsi" w:hAnsiTheme="majorHAnsi" w:cs="Times New Roman"/>
          <w:sz w:val="20"/>
          <w:szCs w:val="20"/>
        </w:rPr>
        <w:t xml:space="preserve">chronic hypersensitivity pneumonitis </w:t>
      </w:r>
      <w:r w:rsidR="00216DD7" w:rsidRPr="00E25208">
        <w:rPr>
          <w:rFonts w:asciiTheme="majorHAnsi" w:hAnsiTheme="majorHAnsi"/>
          <w:sz w:val="20"/>
          <w:szCs w:val="20"/>
        </w:rPr>
        <w:t>population (3</w:t>
      </w:r>
      <w:r w:rsidR="00216DD7">
        <w:rPr>
          <w:rFonts w:asciiTheme="majorHAnsi" w:hAnsiTheme="majorHAnsi"/>
          <w:sz w:val="20"/>
          <w:szCs w:val="20"/>
        </w:rPr>
        <w:t>7</w:t>
      </w:r>
      <w:r w:rsidR="00216DD7" w:rsidRPr="00E25208">
        <w:rPr>
          <w:rFonts w:asciiTheme="majorHAnsi" w:hAnsiTheme="majorHAnsi"/>
          <w:sz w:val="20"/>
          <w:szCs w:val="20"/>
        </w:rPr>
        <w:t>·</w:t>
      </w:r>
      <w:r w:rsidR="00216DD7">
        <w:rPr>
          <w:rFonts w:asciiTheme="majorHAnsi" w:hAnsiTheme="majorHAnsi"/>
          <w:sz w:val="20"/>
          <w:szCs w:val="20"/>
        </w:rPr>
        <w:t>4</w:t>
      </w:r>
      <w:r w:rsidR="00216DD7" w:rsidRPr="00E25208">
        <w:rPr>
          <w:rFonts w:asciiTheme="majorHAnsi" w:hAnsiTheme="majorHAnsi"/>
          <w:sz w:val="20"/>
          <w:szCs w:val="20"/>
        </w:rPr>
        <w:t xml:space="preserve"> </w:t>
      </w:r>
      <w:r w:rsidR="00216DD7" w:rsidRPr="00E25208">
        <w:rPr>
          <w:rFonts w:ascii="Calibri" w:hAnsi="Calibri"/>
          <w:sz w:val="20"/>
          <w:szCs w:val="20"/>
        </w:rPr>
        <w:t>±</w:t>
      </w:r>
      <w:r w:rsidR="00216DD7" w:rsidRPr="00E25208">
        <w:rPr>
          <w:rFonts w:asciiTheme="majorHAnsi" w:hAnsiTheme="majorHAnsi"/>
          <w:sz w:val="20"/>
          <w:szCs w:val="20"/>
        </w:rPr>
        <w:t xml:space="preserve"> </w:t>
      </w:r>
      <w:r w:rsidR="00216DD7" w:rsidRPr="00216DD7">
        <w:rPr>
          <w:rFonts w:asciiTheme="majorHAnsi" w:hAnsiTheme="majorHAnsi"/>
          <w:sz w:val="20"/>
          <w:szCs w:val="20"/>
        </w:rPr>
        <w:t>8</w:t>
      </w:r>
      <w:r w:rsidR="00216DD7" w:rsidRPr="00E25208">
        <w:rPr>
          <w:rFonts w:asciiTheme="majorHAnsi" w:hAnsiTheme="majorHAnsi"/>
          <w:sz w:val="20"/>
          <w:szCs w:val="20"/>
        </w:rPr>
        <w:t>·</w:t>
      </w:r>
      <w:r w:rsidR="00216DD7" w:rsidRPr="00216DD7">
        <w:rPr>
          <w:rFonts w:asciiTheme="majorHAnsi" w:hAnsiTheme="majorHAnsi"/>
          <w:sz w:val="20"/>
          <w:szCs w:val="20"/>
        </w:rPr>
        <w:t>3</w:t>
      </w:r>
      <w:r w:rsidR="00216DD7" w:rsidRPr="00E25208">
        <w:rPr>
          <w:rFonts w:asciiTheme="majorHAnsi" w:hAnsiTheme="majorHAnsi"/>
          <w:sz w:val="20"/>
          <w:szCs w:val="20"/>
        </w:rPr>
        <w:t xml:space="preserve"> months)</w:t>
      </w:r>
      <w:r>
        <w:rPr>
          <w:rFonts w:asciiTheme="majorHAnsi" w:hAnsiTheme="majorHAnsi"/>
          <w:sz w:val="20"/>
          <w:szCs w:val="20"/>
        </w:rPr>
        <w:t>.</w:t>
      </w:r>
    </w:p>
    <w:p w14:paraId="52476BD6" w14:textId="77777777" w:rsidR="00521C26" w:rsidRDefault="00521C26" w:rsidP="00B97A8C">
      <w:pPr>
        <w:spacing w:line="480" w:lineRule="auto"/>
        <w:rPr>
          <w:rFonts w:asciiTheme="majorHAnsi" w:hAnsiTheme="majorHAnsi" w:cs="Times New Roman"/>
          <w:sz w:val="20"/>
          <w:szCs w:val="20"/>
        </w:rPr>
      </w:pPr>
    </w:p>
    <w:p w14:paraId="1900D3CD" w14:textId="77777777" w:rsidR="00521C26" w:rsidRDefault="00521C26" w:rsidP="00B97A8C">
      <w:pPr>
        <w:spacing w:line="480" w:lineRule="auto"/>
        <w:rPr>
          <w:rFonts w:asciiTheme="majorHAnsi" w:hAnsiTheme="majorHAnsi" w:cs="Times New Roman"/>
          <w:sz w:val="20"/>
          <w:szCs w:val="20"/>
        </w:rPr>
      </w:pPr>
    </w:p>
    <w:p w14:paraId="4FCA17E5" w14:textId="77777777" w:rsidR="00521C26" w:rsidRPr="00E25208" w:rsidRDefault="00521C26" w:rsidP="00B97A8C">
      <w:pPr>
        <w:spacing w:line="480" w:lineRule="auto"/>
        <w:rPr>
          <w:rFonts w:asciiTheme="majorHAnsi" w:hAnsiTheme="majorHAnsi" w:cs="Times New Roman"/>
          <w:sz w:val="20"/>
          <w:szCs w:val="20"/>
        </w:rPr>
      </w:pPr>
    </w:p>
    <w:p w14:paraId="113F5A8D" w14:textId="77777777" w:rsidR="00B97A8C" w:rsidRDefault="00B97A8C">
      <w:pPr>
        <w:rPr>
          <w:rFonts w:asciiTheme="majorHAnsi" w:hAnsiTheme="majorHAnsi" w:cs="Times New Roman"/>
          <w:b/>
        </w:rPr>
      </w:pPr>
      <w:r>
        <w:rPr>
          <w:rFonts w:asciiTheme="majorHAnsi" w:hAnsiTheme="majorHAnsi" w:cs="Times New Roman"/>
          <w:b/>
        </w:rPr>
        <w:br w:type="page"/>
      </w:r>
    </w:p>
    <w:p w14:paraId="72B42304" w14:textId="467952BD" w:rsidR="0059410B" w:rsidRPr="00B97A8C" w:rsidRDefault="00E25208" w:rsidP="0059410B">
      <w:pPr>
        <w:spacing w:line="480" w:lineRule="auto"/>
        <w:rPr>
          <w:rFonts w:asciiTheme="majorHAnsi" w:hAnsiTheme="majorHAnsi" w:cs="Times New Roman"/>
          <w:b/>
        </w:rPr>
      </w:pPr>
      <w:r>
        <w:rPr>
          <w:rFonts w:asciiTheme="majorHAnsi" w:hAnsiTheme="majorHAnsi" w:cs="Times New Roman"/>
          <w:b/>
        </w:rPr>
        <w:t>REFERENCES</w:t>
      </w:r>
    </w:p>
    <w:p w14:paraId="03B03310" w14:textId="77777777" w:rsidR="0053340B" w:rsidRPr="00B97A8C" w:rsidRDefault="0059410B" w:rsidP="0053340B">
      <w:pPr>
        <w:rPr>
          <w:rFonts w:asciiTheme="majorHAnsi" w:hAnsiTheme="majorHAnsi" w:cs="Times New Roman"/>
          <w:noProof/>
          <w:szCs w:val="20"/>
        </w:rPr>
      </w:pPr>
      <w:r w:rsidRPr="00B97A8C">
        <w:rPr>
          <w:rFonts w:asciiTheme="majorHAnsi" w:hAnsiTheme="majorHAnsi" w:cs="Times New Roman"/>
          <w:sz w:val="20"/>
          <w:szCs w:val="20"/>
        </w:rPr>
        <w:fldChar w:fldCharType="begin"/>
      </w:r>
      <w:r w:rsidRPr="00B97A8C">
        <w:rPr>
          <w:rFonts w:asciiTheme="majorHAnsi" w:hAnsiTheme="majorHAnsi" w:cs="Times New Roman"/>
          <w:sz w:val="20"/>
          <w:szCs w:val="20"/>
        </w:rPr>
        <w:instrText xml:space="preserve"> ADDIN EN.REFLIST </w:instrText>
      </w:r>
      <w:r w:rsidRPr="00B97A8C">
        <w:rPr>
          <w:rFonts w:asciiTheme="majorHAnsi" w:hAnsiTheme="majorHAnsi" w:cs="Times New Roman"/>
          <w:sz w:val="20"/>
          <w:szCs w:val="20"/>
        </w:rPr>
        <w:fldChar w:fldCharType="separate"/>
      </w:r>
      <w:bookmarkStart w:id="1" w:name="_ENREF_1"/>
      <w:r w:rsidR="0053340B" w:rsidRPr="00B97A8C">
        <w:rPr>
          <w:rFonts w:asciiTheme="majorHAnsi" w:hAnsiTheme="majorHAnsi" w:cs="Times New Roman"/>
          <w:noProof/>
          <w:szCs w:val="20"/>
        </w:rPr>
        <w:t>1.</w:t>
      </w:r>
      <w:r w:rsidR="0053340B" w:rsidRPr="00B97A8C">
        <w:rPr>
          <w:rFonts w:asciiTheme="majorHAnsi" w:hAnsiTheme="majorHAnsi" w:cs="Times New Roman"/>
          <w:noProof/>
          <w:szCs w:val="20"/>
        </w:rPr>
        <w:tab/>
        <w:t xml:space="preserve">Quanjer PH. Standardized lung function testing. </w:t>
      </w:r>
      <w:r w:rsidR="0053340B" w:rsidRPr="00B97A8C">
        <w:rPr>
          <w:rFonts w:asciiTheme="majorHAnsi" w:hAnsiTheme="majorHAnsi" w:cs="Times New Roman"/>
          <w:i/>
          <w:noProof/>
          <w:szCs w:val="20"/>
        </w:rPr>
        <w:t>Eur Respir J - Suppl</w:t>
      </w:r>
      <w:r w:rsidR="0053340B" w:rsidRPr="00B97A8C">
        <w:rPr>
          <w:rFonts w:asciiTheme="majorHAnsi" w:hAnsiTheme="majorHAnsi" w:cs="Times New Roman"/>
          <w:noProof/>
          <w:szCs w:val="20"/>
        </w:rPr>
        <w:t>. 1993;</w:t>
      </w:r>
      <w:r w:rsidR="0053340B" w:rsidRPr="00B97A8C">
        <w:rPr>
          <w:rFonts w:asciiTheme="majorHAnsi" w:hAnsiTheme="majorHAnsi" w:cs="Times New Roman"/>
          <w:b/>
          <w:noProof/>
          <w:szCs w:val="20"/>
        </w:rPr>
        <w:t>6</w:t>
      </w:r>
      <w:r w:rsidR="0053340B" w:rsidRPr="00B97A8C">
        <w:rPr>
          <w:rFonts w:asciiTheme="majorHAnsi" w:hAnsiTheme="majorHAnsi" w:cs="Times New Roman"/>
          <w:noProof/>
          <w:szCs w:val="20"/>
        </w:rPr>
        <w:t>:1-100.</w:t>
      </w:r>
      <w:bookmarkEnd w:id="1"/>
    </w:p>
    <w:p w14:paraId="19A3A1CA" w14:textId="77777777" w:rsidR="0053340B" w:rsidRPr="00B97A8C" w:rsidRDefault="0053340B" w:rsidP="0053340B">
      <w:pPr>
        <w:rPr>
          <w:rFonts w:asciiTheme="majorHAnsi" w:hAnsiTheme="majorHAnsi" w:cs="Times New Roman"/>
          <w:noProof/>
          <w:szCs w:val="20"/>
        </w:rPr>
      </w:pPr>
      <w:bookmarkStart w:id="2" w:name="_ENREF_2"/>
      <w:r w:rsidRPr="00B97A8C">
        <w:rPr>
          <w:rFonts w:asciiTheme="majorHAnsi" w:hAnsiTheme="majorHAnsi" w:cs="Times New Roman"/>
          <w:noProof/>
          <w:szCs w:val="20"/>
        </w:rPr>
        <w:t>2.</w:t>
      </w:r>
      <w:r w:rsidRPr="00B97A8C">
        <w:rPr>
          <w:rFonts w:asciiTheme="majorHAnsi" w:hAnsiTheme="majorHAnsi" w:cs="Times New Roman"/>
          <w:noProof/>
          <w:szCs w:val="20"/>
        </w:rPr>
        <w:tab/>
        <w:t xml:space="preserve">Wells AU, Desai SR, Rubens MB, et al. Idiopathic pulmonary fibrosis: a composite physiologic index derived from disease extent observed by computed tomography. </w:t>
      </w:r>
      <w:r w:rsidRPr="00B97A8C">
        <w:rPr>
          <w:rFonts w:asciiTheme="majorHAnsi" w:hAnsiTheme="majorHAnsi" w:cs="Times New Roman"/>
          <w:i/>
          <w:noProof/>
          <w:szCs w:val="20"/>
        </w:rPr>
        <w:t>Am J Respir Crit Care Med</w:t>
      </w:r>
      <w:r w:rsidRPr="00B97A8C">
        <w:rPr>
          <w:rFonts w:asciiTheme="majorHAnsi" w:hAnsiTheme="majorHAnsi" w:cs="Times New Roman"/>
          <w:noProof/>
          <w:szCs w:val="20"/>
        </w:rPr>
        <w:t>. 2003;</w:t>
      </w:r>
      <w:r w:rsidRPr="00B97A8C">
        <w:rPr>
          <w:rFonts w:asciiTheme="majorHAnsi" w:hAnsiTheme="majorHAnsi" w:cs="Times New Roman"/>
          <w:b/>
          <w:noProof/>
          <w:szCs w:val="20"/>
        </w:rPr>
        <w:t>167</w:t>
      </w:r>
      <w:r w:rsidRPr="00B97A8C">
        <w:rPr>
          <w:rFonts w:asciiTheme="majorHAnsi" w:hAnsiTheme="majorHAnsi" w:cs="Times New Roman"/>
          <w:noProof/>
          <w:szCs w:val="20"/>
        </w:rPr>
        <w:t>:962-9.</w:t>
      </w:r>
      <w:bookmarkEnd w:id="2"/>
    </w:p>
    <w:p w14:paraId="358285F8" w14:textId="77777777" w:rsidR="0053340B" w:rsidRPr="00B97A8C" w:rsidRDefault="0053340B" w:rsidP="0053340B">
      <w:pPr>
        <w:rPr>
          <w:rFonts w:asciiTheme="majorHAnsi" w:hAnsiTheme="majorHAnsi" w:cs="Times New Roman"/>
          <w:noProof/>
          <w:szCs w:val="20"/>
        </w:rPr>
      </w:pPr>
      <w:bookmarkStart w:id="3" w:name="_ENREF_3"/>
      <w:r w:rsidRPr="00B97A8C">
        <w:rPr>
          <w:rFonts w:asciiTheme="majorHAnsi" w:hAnsiTheme="majorHAnsi" w:cs="Times New Roman"/>
          <w:noProof/>
          <w:szCs w:val="20"/>
        </w:rPr>
        <w:t>3.</w:t>
      </w:r>
      <w:r w:rsidRPr="00B97A8C">
        <w:rPr>
          <w:rFonts w:asciiTheme="majorHAnsi" w:hAnsiTheme="majorHAnsi" w:cs="Times New Roman"/>
          <w:noProof/>
          <w:szCs w:val="20"/>
        </w:rPr>
        <w:tab/>
        <w:t xml:space="preserve">Yock PG, Popp RL. Noninvasive estimation of right ventricular systolic pressure by Doppler ultrasound in patients with tricuspid regurgitation. </w:t>
      </w:r>
      <w:r w:rsidRPr="00B97A8C">
        <w:rPr>
          <w:rFonts w:asciiTheme="majorHAnsi" w:hAnsiTheme="majorHAnsi" w:cs="Times New Roman"/>
          <w:i/>
          <w:noProof/>
          <w:szCs w:val="20"/>
        </w:rPr>
        <w:t>Circulation</w:t>
      </w:r>
      <w:r w:rsidRPr="00B97A8C">
        <w:rPr>
          <w:rFonts w:asciiTheme="majorHAnsi" w:hAnsiTheme="majorHAnsi" w:cs="Times New Roman"/>
          <w:noProof/>
          <w:szCs w:val="20"/>
        </w:rPr>
        <w:t>. 1984;</w:t>
      </w:r>
      <w:r w:rsidRPr="00B97A8C">
        <w:rPr>
          <w:rFonts w:asciiTheme="majorHAnsi" w:hAnsiTheme="majorHAnsi" w:cs="Times New Roman"/>
          <w:b/>
          <w:noProof/>
          <w:szCs w:val="20"/>
        </w:rPr>
        <w:t>70</w:t>
      </w:r>
      <w:r w:rsidRPr="00B97A8C">
        <w:rPr>
          <w:rFonts w:asciiTheme="majorHAnsi" w:hAnsiTheme="majorHAnsi" w:cs="Times New Roman"/>
          <w:noProof/>
          <w:szCs w:val="20"/>
        </w:rPr>
        <w:t>(4):657-62.</w:t>
      </w:r>
      <w:bookmarkEnd w:id="3"/>
    </w:p>
    <w:p w14:paraId="6B5A4EC9" w14:textId="77777777" w:rsidR="0053340B" w:rsidRPr="00B97A8C" w:rsidRDefault="0053340B" w:rsidP="0053340B">
      <w:pPr>
        <w:rPr>
          <w:rFonts w:asciiTheme="majorHAnsi" w:hAnsiTheme="majorHAnsi" w:cs="Times New Roman"/>
          <w:noProof/>
          <w:szCs w:val="20"/>
        </w:rPr>
      </w:pPr>
      <w:bookmarkStart w:id="4" w:name="_ENREF_4"/>
      <w:r w:rsidRPr="00B97A8C">
        <w:rPr>
          <w:rFonts w:asciiTheme="majorHAnsi" w:hAnsiTheme="majorHAnsi" w:cs="Times New Roman"/>
          <w:noProof/>
          <w:szCs w:val="20"/>
        </w:rPr>
        <w:t>4.</w:t>
      </w:r>
      <w:r w:rsidRPr="00B97A8C">
        <w:rPr>
          <w:rFonts w:asciiTheme="majorHAnsi" w:hAnsiTheme="majorHAnsi" w:cs="Times New Roman"/>
          <w:noProof/>
          <w:szCs w:val="20"/>
        </w:rPr>
        <w:tab/>
        <w:t xml:space="preserve">Bossone E, D’Andrea A, D’Alto M, et al. Echocardiography in pulmonary arterial hypertension: from diagnosis to prognosis. </w:t>
      </w:r>
      <w:r w:rsidRPr="00B97A8C">
        <w:rPr>
          <w:rFonts w:asciiTheme="majorHAnsi" w:hAnsiTheme="majorHAnsi" w:cs="Times New Roman"/>
          <w:i/>
          <w:noProof/>
          <w:szCs w:val="20"/>
        </w:rPr>
        <w:t>J Am Soc Echocardiogr</w:t>
      </w:r>
      <w:r w:rsidRPr="00B97A8C">
        <w:rPr>
          <w:rFonts w:asciiTheme="majorHAnsi" w:hAnsiTheme="majorHAnsi" w:cs="Times New Roman"/>
          <w:noProof/>
          <w:szCs w:val="20"/>
        </w:rPr>
        <w:t>. 2013;</w:t>
      </w:r>
      <w:r w:rsidRPr="00B97A8C">
        <w:rPr>
          <w:rFonts w:asciiTheme="majorHAnsi" w:hAnsiTheme="majorHAnsi" w:cs="Times New Roman"/>
          <w:b/>
          <w:noProof/>
          <w:szCs w:val="20"/>
        </w:rPr>
        <w:t>26</w:t>
      </w:r>
      <w:r w:rsidRPr="00B97A8C">
        <w:rPr>
          <w:rFonts w:asciiTheme="majorHAnsi" w:hAnsiTheme="majorHAnsi" w:cs="Times New Roman"/>
          <w:noProof/>
          <w:szCs w:val="20"/>
        </w:rPr>
        <w:t>(1):1-14.</w:t>
      </w:r>
      <w:bookmarkEnd w:id="4"/>
    </w:p>
    <w:p w14:paraId="028D711B" w14:textId="77777777" w:rsidR="0053340B" w:rsidRPr="00B97A8C" w:rsidRDefault="0053340B" w:rsidP="0053340B">
      <w:pPr>
        <w:rPr>
          <w:rFonts w:asciiTheme="majorHAnsi" w:hAnsiTheme="majorHAnsi" w:cs="Times New Roman"/>
          <w:noProof/>
          <w:szCs w:val="20"/>
        </w:rPr>
      </w:pPr>
      <w:bookmarkStart w:id="5" w:name="_ENREF_5"/>
      <w:r w:rsidRPr="00B97A8C">
        <w:rPr>
          <w:rFonts w:asciiTheme="majorHAnsi" w:hAnsiTheme="majorHAnsi" w:cs="Times New Roman"/>
          <w:noProof/>
          <w:szCs w:val="20"/>
        </w:rPr>
        <w:t>5.</w:t>
      </w:r>
      <w:r w:rsidRPr="00B97A8C">
        <w:rPr>
          <w:rFonts w:asciiTheme="majorHAnsi" w:hAnsiTheme="majorHAnsi" w:cs="Times New Roman"/>
          <w:noProof/>
          <w:szCs w:val="20"/>
        </w:rPr>
        <w:tab/>
        <w:t xml:space="preserve">Hu S, Hoffman EA, Reinhardt JM. Automatic lung segmentation for accurate quantitation of volumetric X-ray CT images. </w:t>
      </w:r>
      <w:r w:rsidRPr="00B97A8C">
        <w:rPr>
          <w:rFonts w:asciiTheme="majorHAnsi" w:hAnsiTheme="majorHAnsi" w:cs="Times New Roman"/>
          <w:i/>
          <w:noProof/>
          <w:szCs w:val="20"/>
        </w:rPr>
        <w:t>IEEE Trans Med Imaging</w:t>
      </w:r>
      <w:r w:rsidRPr="00B97A8C">
        <w:rPr>
          <w:rFonts w:asciiTheme="majorHAnsi" w:hAnsiTheme="majorHAnsi" w:cs="Times New Roman"/>
          <w:noProof/>
          <w:szCs w:val="20"/>
        </w:rPr>
        <w:t>. 2001;</w:t>
      </w:r>
      <w:r w:rsidRPr="00B97A8C">
        <w:rPr>
          <w:rFonts w:asciiTheme="majorHAnsi" w:hAnsiTheme="majorHAnsi" w:cs="Times New Roman"/>
          <w:b/>
          <w:noProof/>
          <w:szCs w:val="20"/>
        </w:rPr>
        <w:t>20</w:t>
      </w:r>
      <w:r w:rsidRPr="00B97A8C">
        <w:rPr>
          <w:rFonts w:asciiTheme="majorHAnsi" w:hAnsiTheme="majorHAnsi" w:cs="Times New Roman"/>
          <w:noProof/>
          <w:szCs w:val="20"/>
        </w:rPr>
        <w:t>(6):490-8.</w:t>
      </w:r>
      <w:bookmarkEnd w:id="5"/>
    </w:p>
    <w:p w14:paraId="0738C47F" w14:textId="77777777" w:rsidR="0053340B" w:rsidRPr="00B97A8C" w:rsidRDefault="0053340B" w:rsidP="0053340B">
      <w:pPr>
        <w:rPr>
          <w:rFonts w:asciiTheme="majorHAnsi" w:hAnsiTheme="majorHAnsi" w:cs="Times New Roman"/>
          <w:noProof/>
          <w:szCs w:val="20"/>
        </w:rPr>
      </w:pPr>
      <w:bookmarkStart w:id="6" w:name="_ENREF_6"/>
      <w:r w:rsidRPr="00B97A8C">
        <w:rPr>
          <w:rFonts w:asciiTheme="majorHAnsi" w:hAnsiTheme="majorHAnsi" w:cs="Times New Roman"/>
          <w:noProof/>
          <w:szCs w:val="20"/>
        </w:rPr>
        <w:t>6.</w:t>
      </w:r>
      <w:r w:rsidRPr="00B97A8C">
        <w:rPr>
          <w:rFonts w:asciiTheme="majorHAnsi" w:hAnsiTheme="majorHAnsi" w:cs="Times New Roman"/>
          <w:noProof/>
          <w:szCs w:val="20"/>
        </w:rPr>
        <w:tab/>
        <w:t xml:space="preserve">Shikata H, McLennan G, Hoffman EA, et al. Segmentation of pulmonary vascular trees from thoracic 3D CT images. </w:t>
      </w:r>
      <w:r w:rsidRPr="00B97A8C">
        <w:rPr>
          <w:rFonts w:asciiTheme="majorHAnsi" w:hAnsiTheme="majorHAnsi" w:cs="Times New Roman"/>
          <w:i/>
          <w:noProof/>
          <w:szCs w:val="20"/>
        </w:rPr>
        <w:t>Int J Biomed Imaging</w:t>
      </w:r>
      <w:r w:rsidRPr="00B97A8C">
        <w:rPr>
          <w:rFonts w:asciiTheme="majorHAnsi" w:hAnsiTheme="majorHAnsi" w:cs="Times New Roman"/>
          <w:noProof/>
          <w:szCs w:val="20"/>
        </w:rPr>
        <w:t>. 2009:11.</w:t>
      </w:r>
      <w:bookmarkEnd w:id="6"/>
    </w:p>
    <w:p w14:paraId="27D6EBA5" w14:textId="77777777" w:rsidR="0053340B" w:rsidRPr="00B97A8C" w:rsidRDefault="0053340B" w:rsidP="0053340B">
      <w:pPr>
        <w:rPr>
          <w:rFonts w:asciiTheme="majorHAnsi" w:hAnsiTheme="majorHAnsi" w:cs="Times New Roman"/>
          <w:noProof/>
          <w:szCs w:val="20"/>
        </w:rPr>
      </w:pPr>
      <w:bookmarkStart w:id="7" w:name="_ENREF_7"/>
      <w:r w:rsidRPr="00B97A8C">
        <w:rPr>
          <w:rFonts w:asciiTheme="majorHAnsi" w:hAnsiTheme="majorHAnsi" w:cs="Times New Roman"/>
          <w:noProof/>
          <w:szCs w:val="20"/>
        </w:rPr>
        <w:t>7.</w:t>
      </w:r>
      <w:r w:rsidRPr="00B97A8C">
        <w:rPr>
          <w:rFonts w:asciiTheme="majorHAnsi" w:hAnsiTheme="majorHAnsi" w:cs="Times New Roman"/>
          <w:noProof/>
          <w:szCs w:val="20"/>
        </w:rPr>
        <w:tab/>
        <w:t xml:space="preserve">Bartholmai BJ, Raghunath S, Karwoski RA, et al. Quantitative CT imaging of interstitial lung diseases. </w:t>
      </w:r>
      <w:r w:rsidRPr="00B97A8C">
        <w:rPr>
          <w:rFonts w:asciiTheme="majorHAnsi" w:hAnsiTheme="majorHAnsi" w:cs="Times New Roman"/>
          <w:i/>
          <w:noProof/>
          <w:szCs w:val="20"/>
        </w:rPr>
        <w:t>J Thorac Imaging</w:t>
      </w:r>
      <w:r w:rsidRPr="00B97A8C">
        <w:rPr>
          <w:rFonts w:asciiTheme="majorHAnsi" w:hAnsiTheme="majorHAnsi" w:cs="Times New Roman"/>
          <w:noProof/>
          <w:szCs w:val="20"/>
        </w:rPr>
        <w:t>. 2013;</w:t>
      </w:r>
      <w:r w:rsidRPr="00B97A8C">
        <w:rPr>
          <w:rFonts w:asciiTheme="majorHAnsi" w:hAnsiTheme="majorHAnsi" w:cs="Times New Roman"/>
          <w:b/>
          <w:noProof/>
          <w:szCs w:val="20"/>
        </w:rPr>
        <w:t>28</w:t>
      </w:r>
      <w:r w:rsidRPr="00B97A8C">
        <w:rPr>
          <w:rFonts w:asciiTheme="majorHAnsi" w:hAnsiTheme="majorHAnsi" w:cs="Times New Roman"/>
          <w:noProof/>
          <w:szCs w:val="20"/>
        </w:rPr>
        <w:t>(5):298-307.</w:t>
      </w:r>
      <w:bookmarkEnd w:id="7"/>
    </w:p>
    <w:p w14:paraId="7B1AE98D" w14:textId="77777777" w:rsidR="0053340B" w:rsidRPr="00B97A8C" w:rsidRDefault="0053340B" w:rsidP="0053340B">
      <w:pPr>
        <w:rPr>
          <w:rFonts w:asciiTheme="majorHAnsi" w:hAnsiTheme="majorHAnsi" w:cs="Times New Roman"/>
          <w:noProof/>
          <w:szCs w:val="20"/>
        </w:rPr>
      </w:pPr>
      <w:bookmarkStart w:id="8" w:name="_ENREF_8"/>
      <w:r w:rsidRPr="00B97A8C">
        <w:rPr>
          <w:rFonts w:asciiTheme="majorHAnsi" w:hAnsiTheme="majorHAnsi" w:cs="Times New Roman"/>
          <w:noProof/>
          <w:szCs w:val="20"/>
        </w:rPr>
        <w:t>8.</w:t>
      </w:r>
      <w:r w:rsidRPr="00B97A8C">
        <w:rPr>
          <w:rFonts w:asciiTheme="majorHAnsi" w:hAnsiTheme="majorHAnsi" w:cs="Times New Roman"/>
          <w:noProof/>
          <w:szCs w:val="20"/>
        </w:rPr>
        <w:tab/>
        <w:t xml:space="preserve">Maldonado F, Moua T, Rajagopalan S, et al. Automated quantification of radiological patterns predicts survival in idiopathic pulmonary fibrosis. </w:t>
      </w:r>
      <w:r w:rsidRPr="00B97A8C">
        <w:rPr>
          <w:rFonts w:asciiTheme="majorHAnsi" w:hAnsiTheme="majorHAnsi" w:cs="Times New Roman"/>
          <w:i/>
          <w:noProof/>
          <w:szCs w:val="20"/>
        </w:rPr>
        <w:t>Eur Respir J</w:t>
      </w:r>
      <w:r w:rsidRPr="00B97A8C">
        <w:rPr>
          <w:rFonts w:asciiTheme="majorHAnsi" w:hAnsiTheme="majorHAnsi" w:cs="Times New Roman"/>
          <w:noProof/>
          <w:szCs w:val="20"/>
        </w:rPr>
        <w:t>. 2014;</w:t>
      </w:r>
      <w:r w:rsidRPr="00B97A8C">
        <w:rPr>
          <w:rFonts w:asciiTheme="majorHAnsi" w:hAnsiTheme="majorHAnsi" w:cs="Times New Roman"/>
          <w:b/>
          <w:noProof/>
          <w:szCs w:val="20"/>
        </w:rPr>
        <w:t>43</w:t>
      </w:r>
      <w:r w:rsidRPr="00B97A8C">
        <w:rPr>
          <w:rFonts w:asciiTheme="majorHAnsi" w:hAnsiTheme="majorHAnsi" w:cs="Times New Roman"/>
          <w:noProof/>
          <w:szCs w:val="20"/>
        </w:rPr>
        <w:t>(1):204-12.</w:t>
      </w:r>
      <w:bookmarkEnd w:id="8"/>
    </w:p>
    <w:p w14:paraId="527EC843" w14:textId="77777777" w:rsidR="0053340B" w:rsidRPr="00B97A8C" w:rsidRDefault="0053340B" w:rsidP="0053340B">
      <w:pPr>
        <w:rPr>
          <w:rFonts w:asciiTheme="majorHAnsi" w:hAnsiTheme="majorHAnsi" w:cs="Times New Roman"/>
          <w:noProof/>
          <w:szCs w:val="20"/>
        </w:rPr>
      </w:pPr>
      <w:bookmarkStart w:id="9" w:name="_ENREF_9"/>
      <w:r w:rsidRPr="00B97A8C">
        <w:rPr>
          <w:rFonts w:asciiTheme="majorHAnsi" w:hAnsiTheme="majorHAnsi" w:cs="Times New Roman"/>
          <w:noProof/>
          <w:szCs w:val="20"/>
        </w:rPr>
        <w:t>9.</w:t>
      </w:r>
      <w:r w:rsidRPr="00B97A8C">
        <w:rPr>
          <w:rFonts w:asciiTheme="majorHAnsi" w:hAnsiTheme="majorHAnsi" w:cs="Times New Roman"/>
          <w:noProof/>
          <w:szCs w:val="20"/>
        </w:rPr>
        <w:tab/>
        <w:t xml:space="preserve">Hansell DM, Bankier AA, MacMahon H, et al. Fleischner Society: glossary of terms for thoracic imaging. </w:t>
      </w:r>
      <w:r w:rsidRPr="00B97A8C">
        <w:rPr>
          <w:rFonts w:asciiTheme="majorHAnsi" w:hAnsiTheme="majorHAnsi" w:cs="Times New Roman"/>
          <w:i/>
          <w:noProof/>
          <w:szCs w:val="20"/>
        </w:rPr>
        <w:t>Radiology</w:t>
      </w:r>
      <w:r w:rsidRPr="00B97A8C">
        <w:rPr>
          <w:rFonts w:asciiTheme="majorHAnsi" w:hAnsiTheme="majorHAnsi" w:cs="Times New Roman"/>
          <w:noProof/>
          <w:szCs w:val="20"/>
        </w:rPr>
        <w:t>. 2008;</w:t>
      </w:r>
      <w:r w:rsidRPr="00B97A8C">
        <w:rPr>
          <w:rFonts w:asciiTheme="majorHAnsi" w:hAnsiTheme="majorHAnsi" w:cs="Times New Roman"/>
          <w:b/>
          <w:noProof/>
          <w:szCs w:val="20"/>
        </w:rPr>
        <w:t>246</w:t>
      </w:r>
      <w:r w:rsidRPr="00B97A8C">
        <w:rPr>
          <w:rFonts w:asciiTheme="majorHAnsi" w:hAnsiTheme="majorHAnsi" w:cs="Times New Roman"/>
          <w:noProof/>
          <w:szCs w:val="20"/>
        </w:rPr>
        <w:t>(3):697-722.</w:t>
      </w:r>
      <w:bookmarkEnd w:id="9"/>
    </w:p>
    <w:p w14:paraId="64D58223" w14:textId="77777777" w:rsidR="0053340B" w:rsidRPr="00B97A8C" w:rsidRDefault="0053340B" w:rsidP="0053340B">
      <w:pPr>
        <w:rPr>
          <w:rFonts w:asciiTheme="majorHAnsi" w:hAnsiTheme="majorHAnsi" w:cs="Times New Roman"/>
          <w:noProof/>
          <w:szCs w:val="20"/>
        </w:rPr>
      </w:pPr>
    </w:p>
    <w:p w14:paraId="6DEE63B6" w14:textId="77777777" w:rsidR="00C237EF" w:rsidRPr="00B97A8C" w:rsidRDefault="0059410B" w:rsidP="0059410B">
      <w:pPr>
        <w:spacing w:line="480" w:lineRule="auto"/>
        <w:rPr>
          <w:rFonts w:asciiTheme="majorHAnsi" w:hAnsiTheme="majorHAnsi" w:cs="Times New Roman"/>
          <w:sz w:val="20"/>
          <w:szCs w:val="20"/>
        </w:rPr>
      </w:pPr>
      <w:r w:rsidRPr="00B97A8C">
        <w:rPr>
          <w:rFonts w:asciiTheme="majorHAnsi" w:hAnsiTheme="majorHAnsi" w:cs="Times New Roman"/>
          <w:sz w:val="20"/>
          <w:szCs w:val="20"/>
        </w:rPr>
        <w:fldChar w:fldCharType="end"/>
      </w:r>
    </w:p>
    <w:sectPr w:rsidR="00C237EF" w:rsidRPr="00B97A8C" w:rsidSect="00D51EDD">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2F3E23" w14:textId="77777777" w:rsidR="00E25208" w:rsidRDefault="00E25208">
      <w:r>
        <w:separator/>
      </w:r>
    </w:p>
  </w:endnote>
  <w:endnote w:type="continuationSeparator" w:id="0">
    <w:p w14:paraId="63038EB8" w14:textId="77777777" w:rsidR="00E25208" w:rsidRDefault="00E25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D49F5" w14:textId="77777777" w:rsidR="00E25208" w:rsidRDefault="00E25208" w:rsidP="005941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6B2235" w14:textId="77777777" w:rsidR="00E25208" w:rsidRDefault="00E25208" w:rsidP="0059410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36B6E" w14:textId="77777777" w:rsidR="00E25208" w:rsidRDefault="00E25208" w:rsidP="005941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2ED">
      <w:rPr>
        <w:rStyle w:val="PageNumber"/>
        <w:noProof/>
      </w:rPr>
      <w:t>1</w:t>
    </w:r>
    <w:r>
      <w:rPr>
        <w:rStyle w:val="PageNumber"/>
      </w:rPr>
      <w:fldChar w:fldCharType="end"/>
    </w:r>
  </w:p>
  <w:p w14:paraId="008D1A6E" w14:textId="77777777" w:rsidR="00E25208" w:rsidRDefault="00E25208" w:rsidP="0059410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425A4" w14:textId="77777777" w:rsidR="00E25208" w:rsidRDefault="00E25208">
      <w:r>
        <w:separator/>
      </w:r>
    </w:p>
  </w:footnote>
  <w:footnote w:type="continuationSeparator" w:id="0">
    <w:p w14:paraId="52A466C0" w14:textId="77777777" w:rsidR="00E25208" w:rsidRDefault="00E252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zxw9vza5wewrueww0dx5t0od2rprfsr559t&quot;&gt;My EndNote Library&lt;record-ids&gt;&lt;item&gt;3709&lt;/item&gt;&lt;item&gt;7891&lt;/item&gt;&lt;item&gt;10399&lt;/item&gt;&lt;item&gt;11087&lt;/item&gt;&lt;item&gt;11090&lt;/item&gt;&lt;item&gt;11224&lt;/item&gt;&lt;item&gt;11225&lt;/item&gt;&lt;item&gt;11342&lt;/item&gt;&lt;item&gt;11343&lt;/item&gt;&lt;/record-ids&gt;&lt;/item&gt;&lt;/Libraries&gt;"/>
  </w:docVars>
  <w:rsids>
    <w:rsidRoot w:val="0059410B"/>
    <w:rsid w:val="000449AB"/>
    <w:rsid w:val="001E62ED"/>
    <w:rsid w:val="00216DD7"/>
    <w:rsid w:val="004C0A6E"/>
    <w:rsid w:val="00521C26"/>
    <w:rsid w:val="0053340B"/>
    <w:rsid w:val="00590003"/>
    <w:rsid w:val="0059410B"/>
    <w:rsid w:val="006C23E7"/>
    <w:rsid w:val="00746B14"/>
    <w:rsid w:val="00932602"/>
    <w:rsid w:val="00A74E84"/>
    <w:rsid w:val="00B0138A"/>
    <w:rsid w:val="00B97A8C"/>
    <w:rsid w:val="00C237EF"/>
    <w:rsid w:val="00D51EDD"/>
    <w:rsid w:val="00DB5E30"/>
    <w:rsid w:val="00E25208"/>
    <w:rsid w:val="00E54288"/>
    <w:rsid w:val="00F93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08A8F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1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410B"/>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9410B"/>
    <w:pPr>
      <w:tabs>
        <w:tab w:val="center" w:pos="4320"/>
        <w:tab w:val="right" w:pos="8640"/>
      </w:tabs>
    </w:pPr>
  </w:style>
  <w:style w:type="character" w:customStyle="1" w:styleId="FooterChar">
    <w:name w:val="Footer Char"/>
    <w:basedOn w:val="DefaultParagraphFont"/>
    <w:link w:val="Footer"/>
    <w:uiPriority w:val="99"/>
    <w:rsid w:val="0059410B"/>
  </w:style>
  <w:style w:type="character" w:styleId="PageNumber">
    <w:name w:val="page number"/>
    <w:basedOn w:val="DefaultParagraphFont"/>
    <w:uiPriority w:val="99"/>
    <w:semiHidden/>
    <w:unhideWhenUsed/>
    <w:rsid w:val="0059410B"/>
  </w:style>
  <w:style w:type="character" w:styleId="Hyperlink">
    <w:name w:val="Hyperlink"/>
    <w:basedOn w:val="DefaultParagraphFont"/>
    <w:uiPriority w:val="99"/>
    <w:unhideWhenUsed/>
    <w:rsid w:val="0059410B"/>
    <w:rPr>
      <w:color w:val="0000FF" w:themeColor="hyperlink"/>
      <w:u w:val="single"/>
    </w:rPr>
  </w:style>
  <w:style w:type="character" w:styleId="FollowedHyperlink">
    <w:name w:val="FollowedHyperlink"/>
    <w:basedOn w:val="DefaultParagraphFont"/>
    <w:uiPriority w:val="99"/>
    <w:semiHidden/>
    <w:unhideWhenUsed/>
    <w:rsid w:val="0059410B"/>
    <w:rPr>
      <w:color w:val="800080" w:themeColor="followedHyperlink"/>
      <w:u w:val="single"/>
    </w:rPr>
  </w:style>
  <w:style w:type="paragraph" w:styleId="BalloonText">
    <w:name w:val="Balloon Text"/>
    <w:basedOn w:val="Normal"/>
    <w:link w:val="BalloonTextChar"/>
    <w:uiPriority w:val="99"/>
    <w:semiHidden/>
    <w:unhideWhenUsed/>
    <w:rsid w:val="00B97A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7A8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1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410B"/>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9410B"/>
    <w:pPr>
      <w:tabs>
        <w:tab w:val="center" w:pos="4320"/>
        <w:tab w:val="right" w:pos="8640"/>
      </w:tabs>
    </w:pPr>
  </w:style>
  <w:style w:type="character" w:customStyle="1" w:styleId="FooterChar">
    <w:name w:val="Footer Char"/>
    <w:basedOn w:val="DefaultParagraphFont"/>
    <w:link w:val="Footer"/>
    <w:uiPriority w:val="99"/>
    <w:rsid w:val="0059410B"/>
  </w:style>
  <w:style w:type="character" w:styleId="PageNumber">
    <w:name w:val="page number"/>
    <w:basedOn w:val="DefaultParagraphFont"/>
    <w:uiPriority w:val="99"/>
    <w:semiHidden/>
    <w:unhideWhenUsed/>
    <w:rsid w:val="0059410B"/>
  </w:style>
  <w:style w:type="character" w:styleId="Hyperlink">
    <w:name w:val="Hyperlink"/>
    <w:basedOn w:val="DefaultParagraphFont"/>
    <w:uiPriority w:val="99"/>
    <w:unhideWhenUsed/>
    <w:rsid w:val="0059410B"/>
    <w:rPr>
      <w:color w:val="0000FF" w:themeColor="hyperlink"/>
      <w:u w:val="single"/>
    </w:rPr>
  </w:style>
  <w:style w:type="character" w:styleId="FollowedHyperlink">
    <w:name w:val="FollowedHyperlink"/>
    <w:basedOn w:val="DefaultParagraphFont"/>
    <w:uiPriority w:val="99"/>
    <w:semiHidden/>
    <w:unhideWhenUsed/>
    <w:rsid w:val="0059410B"/>
    <w:rPr>
      <w:color w:val="800080" w:themeColor="followedHyperlink"/>
      <w:u w:val="single"/>
    </w:rPr>
  </w:style>
  <w:style w:type="paragraph" w:styleId="BalloonText">
    <w:name w:val="Balloon Text"/>
    <w:basedOn w:val="Normal"/>
    <w:link w:val="BalloonTextChar"/>
    <w:uiPriority w:val="99"/>
    <w:semiHidden/>
    <w:unhideWhenUsed/>
    <w:rsid w:val="00B97A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7A8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3561</Words>
  <Characters>20300</Characters>
  <Application>Microsoft Macintosh Word</Application>
  <DocSecurity>0</DocSecurity>
  <Lines>169</Lines>
  <Paragraphs>47</Paragraphs>
  <ScaleCrop>false</ScaleCrop>
  <Company>Imperial college</Company>
  <LinksUpToDate>false</LinksUpToDate>
  <CharactersWithSpaces>23814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Jacob</dc:creator>
  <cp:keywords/>
  <dc:description/>
  <cp:lastModifiedBy>Joseph Jacob</cp:lastModifiedBy>
  <cp:revision>2</cp:revision>
  <dcterms:created xsi:type="dcterms:W3CDTF">2017-04-15T21:45:00Z</dcterms:created>
  <dcterms:modified xsi:type="dcterms:W3CDTF">2017-04-15T21:45:00Z</dcterms:modified>
</cp:coreProperties>
</file>