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A8A" w:rsidRDefault="008B4A8A" w:rsidP="00712C31">
      <w:pPr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  <w:lang w:val="en-GB" w:eastAsia="en-GB"/>
        </w:rPr>
      </w:pPr>
    </w:p>
    <w:p w:rsidR="00712C31" w:rsidRPr="00AC0A78" w:rsidRDefault="004718B9" w:rsidP="00712C31">
      <w:pPr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Cambria" w:hAnsi="Times New Roman" w:cs="Times New Roman"/>
          <w:b/>
          <w:sz w:val="24"/>
          <w:szCs w:val="24"/>
          <w:lang w:val="en-GB" w:eastAsia="en-GB"/>
        </w:rPr>
        <w:t>Additional File 1</w:t>
      </w:r>
    </w:p>
    <w:p w:rsidR="008B4A8A" w:rsidRDefault="008B4A8A" w:rsidP="00712C31">
      <w:pPr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  <w:lang w:val="en-GB" w:eastAsia="en-GB"/>
        </w:rPr>
      </w:pPr>
    </w:p>
    <w:p w:rsidR="008B4A8A" w:rsidRPr="008B4A8A" w:rsidRDefault="008B4A8A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  <w:r w:rsidRPr="008B4A8A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Effects of treatment changes on asthma phenotype prevalence and airway neutrophil function</w:t>
      </w:r>
    </w:p>
    <w:p w:rsidR="008B4A8A" w:rsidRDefault="008B4A8A" w:rsidP="00712C31">
      <w:pPr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  <w:lang w:val="en-GB" w:eastAsia="en-GB"/>
        </w:rPr>
      </w:pPr>
    </w:p>
    <w:p w:rsidR="00712C31" w:rsidRPr="00AC0A78" w:rsidRDefault="00712C31" w:rsidP="00712C31">
      <w:pPr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  <w:lang w:val="en-GB" w:eastAsia="en-GB"/>
        </w:rPr>
      </w:pPr>
      <w:bookmarkStart w:id="0" w:name="_GoBack"/>
      <w:bookmarkEnd w:id="0"/>
      <w:r w:rsidRPr="00AC0A78">
        <w:rPr>
          <w:rFonts w:ascii="Times New Roman" w:eastAsia="Cambria" w:hAnsi="Times New Roman" w:cs="Times New Roman"/>
          <w:b/>
          <w:sz w:val="24"/>
          <w:szCs w:val="24"/>
          <w:lang w:val="en-GB" w:eastAsia="en-GB"/>
        </w:rPr>
        <w:t>Methods</w:t>
      </w:r>
    </w:p>
    <w:p w:rsidR="00712C31" w:rsidRPr="00AC0A78" w:rsidRDefault="00712C31" w:rsidP="00712C31">
      <w:pPr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  <w:lang w:val="en-GB" w:eastAsia="en-GB"/>
        </w:rPr>
      </w:pPr>
    </w:p>
    <w:p w:rsidR="00712C31" w:rsidRPr="00AC0A78" w:rsidRDefault="00712C31" w:rsidP="00712C31">
      <w:pPr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  <w:lang w:val="en-GB" w:eastAsia="en-GB"/>
        </w:rPr>
      </w:pPr>
      <w:r w:rsidRPr="00AC0A78">
        <w:rPr>
          <w:rFonts w:ascii="Times New Roman" w:eastAsia="Cambria" w:hAnsi="Times New Roman" w:cs="Times New Roman"/>
          <w:b/>
          <w:sz w:val="24"/>
          <w:szCs w:val="24"/>
          <w:lang w:val="en-GB" w:eastAsia="en-GB"/>
        </w:rPr>
        <w:t>Safety protocol for sub-optimisation of treatment</w:t>
      </w:r>
    </w:p>
    <w:p w:rsidR="00712C31" w:rsidRPr="005B2764" w:rsidRDefault="00712C31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</w:p>
    <w:p w:rsidR="00712C31" w:rsidRPr="005B2764" w:rsidRDefault="00712C31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  <w:r w:rsidRPr="005B2764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Subjects undergoing treatment sub-optimisation were given a 3 day prescription of </w:t>
      </w:r>
      <w:r w:rsidRPr="00836C13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prednisone 40mg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>/day</w:t>
      </w:r>
      <w:r w:rsidRPr="005B2764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 and instructed to contact the investigators if they had a fall in morning PEF over 7 days 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of </w:t>
      </w:r>
      <w:r w:rsidRPr="005B2764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&gt; 10% of baseline, a drop in morning or evening PEF of  &gt; 20% on 2 consecutive days, an increase in daily use of reliever 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of </w:t>
      </w:r>
      <w:r w:rsidRPr="005B2764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&gt; 3 puffs above baseline, an increase in night-time wakening 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of </w:t>
      </w:r>
      <w:r w:rsidRPr="005B2764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&gt; 3 nights or more/week above baseline, or distressing or intolerable asthma symptoms. If none of these occurred, they returned within 4-6 weeks for further assessment. Throughout this period, reliever medication was used as required, and participants monitored their PEF twice daily and recorded their asthma symptoms and reliever use.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 No participants required prednisone during the study.</w:t>
      </w:r>
    </w:p>
    <w:p w:rsidR="00712C31" w:rsidRPr="005B2764" w:rsidRDefault="00712C31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</w:p>
    <w:p w:rsidR="00712C31" w:rsidRPr="00AC0A78" w:rsidRDefault="00712C31" w:rsidP="00712C31">
      <w:pPr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  <w:lang w:val="en-GB" w:eastAsia="en-GB"/>
        </w:rPr>
      </w:pPr>
      <w:r w:rsidRPr="00AC0A78">
        <w:rPr>
          <w:rFonts w:ascii="Times New Roman" w:eastAsia="Cambria" w:hAnsi="Times New Roman" w:cs="Times New Roman"/>
          <w:b/>
          <w:sz w:val="24"/>
          <w:szCs w:val="24"/>
          <w:lang w:val="en-GB" w:eastAsia="en-GB"/>
        </w:rPr>
        <w:t>Skin prick testing</w:t>
      </w:r>
    </w:p>
    <w:p w:rsidR="00712C31" w:rsidRPr="005B2764" w:rsidRDefault="00712C31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</w:p>
    <w:p w:rsidR="00712C31" w:rsidRPr="005B2764" w:rsidRDefault="00712C31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  <w:r w:rsidRPr="005B2764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Skin prick testing was conducted using a panel of aeroallergens; house dust mite, tree mix, grass mix, cat and dog dander, Alternaria tenuis and Penicillium mix (Hollister-Stier Laboratories, Spokane, WA, USA). Positive atopy status was determined as the presence of at least one </w:t>
      </w:r>
      <w:r w:rsidRPr="00836C13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wheal 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of </w:t>
      </w:r>
      <w:r w:rsidRPr="00836C13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&gt;3mm</w:t>
      </w:r>
      <w:r w:rsidRPr="005B2764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. Histamine and saline were used as positive and negative controls respectively</w:t>
      </w:r>
    </w:p>
    <w:p w:rsidR="00712C31" w:rsidRPr="005B2764" w:rsidRDefault="00712C31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</w:p>
    <w:p w:rsidR="00712C31" w:rsidRPr="00AC0A78" w:rsidRDefault="00712C31" w:rsidP="00712C31">
      <w:pPr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  <w:lang w:val="en-GB" w:eastAsia="en-GB"/>
        </w:rPr>
      </w:pPr>
      <w:r w:rsidRPr="00AC0A78">
        <w:rPr>
          <w:rFonts w:ascii="Times New Roman" w:eastAsia="Cambria" w:hAnsi="Times New Roman" w:cs="Times New Roman"/>
          <w:b/>
          <w:sz w:val="24"/>
          <w:szCs w:val="24"/>
          <w:lang w:val="en-GB" w:eastAsia="en-GB"/>
        </w:rPr>
        <w:t>Sputum induction and processing</w:t>
      </w:r>
    </w:p>
    <w:p w:rsidR="00712C31" w:rsidRPr="005B2764" w:rsidRDefault="00712C31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</w:p>
    <w:p w:rsidR="00712C31" w:rsidRPr="00836C13" w:rsidRDefault="00712C31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  <w:r w:rsidRPr="00836C13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Spirometry was performed before and 15 minutes after 400ug salbutamol via spacer. Subjects then proceeded to hypertonic saline sputum induction. Aerosolised sodium chloride (4.5%w/v) was 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>administered orally</w:t>
      </w:r>
      <w:r w:rsidRPr="00836C13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 using an ultrasonic nebuliser (DeVilbiss Ultraneb 2000) for increasing intervals from 30 seconds to 4 minutes, to a total of 16 minutes. At the end of the session participants were encouraged to produce a sputum sample into a sterile plastic container.</w:t>
      </w:r>
    </w:p>
    <w:p w:rsidR="00712C31" w:rsidRPr="00836C13" w:rsidRDefault="00712C31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</w:p>
    <w:p w:rsidR="00712C31" w:rsidRPr="005B2764" w:rsidRDefault="00712C31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  <w:r w:rsidRPr="005B2764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Sputum samples were processed by plug 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>selection and DTT treatment</w:t>
      </w:r>
      <w:r w:rsidRPr="005B2764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. Total cell count and viability were determined using light microscopy. The sample was then centrifuged (350xg, 8 minutes), supernatant aspirated, and the cell pellet resuspended in RPMI 1640 (Invitrogen, Auckland, New Zealand), 10% foetal calf serum (FCS, Invitrogen), and 1% penicillin-streptomycin at 1x10</w:t>
      </w:r>
      <w:r w:rsidRPr="005B2764">
        <w:rPr>
          <w:rFonts w:ascii="Times New Roman" w:eastAsia="Cambria" w:hAnsi="Times New Roman" w:cs="Times New Roman"/>
          <w:sz w:val="24"/>
          <w:szCs w:val="24"/>
          <w:vertAlign w:val="superscript"/>
          <w:lang w:val="en-GB" w:eastAsia="en-GB"/>
        </w:rPr>
        <w:t>6</w:t>
      </w:r>
      <w:r w:rsidRPr="005B2764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 cells/ml. A fraction of this cell suspension (75µl) was centrifuged in a cytospin column at 44x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>G</w:t>
      </w:r>
      <w:r w:rsidRPr="005B2764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 for 5 minutes. The slide produced was air dried, methanol fixed and stained with the Diff-Quik stain set (Dade Behring, Deerfield, IL). Four hundred non-squamous cells were counted by light microscopy.</w:t>
      </w:r>
      <w:r w:rsidR="007436D6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 Samples were deemed acceptable if this number of non-squamous cells could be counted and squamous cell contamination was less than 30%.</w:t>
      </w:r>
    </w:p>
    <w:p w:rsidR="00712C31" w:rsidRPr="005B2764" w:rsidRDefault="00712C31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</w:p>
    <w:p w:rsidR="00E3517C" w:rsidRDefault="00E3517C" w:rsidP="00712C31">
      <w:pPr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  <w:lang w:val="en-GB" w:eastAsia="en-GB"/>
        </w:rPr>
      </w:pPr>
    </w:p>
    <w:p w:rsidR="00E3517C" w:rsidRDefault="00E3517C" w:rsidP="00712C31">
      <w:pPr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  <w:lang w:val="en-GB" w:eastAsia="en-GB"/>
        </w:rPr>
      </w:pPr>
    </w:p>
    <w:p w:rsidR="00712C31" w:rsidRPr="00AC0A78" w:rsidRDefault="00712C31" w:rsidP="00712C31">
      <w:pPr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  <w:lang w:val="en-GB" w:eastAsia="en-GB"/>
        </w:rPr>
      </w:pPr>
      <w:r w:rsidRPr="00AC0A78">
        <w:rPr>
          <w:rFonts w:ascii="Times New Roman" w:eastAsia="Cambria" w:hAnsi="Times New Roman" w:cs="Times New Roman"/>
          <w:b/>
          <w:sz w:val="24"/>
          <w:szCs w:val="24"/>
          <w:lang w:val="en-GB" w:eastAsia="en-GB"/>
        </w:rPr>
        <w:t>Sputum flow cytometry</w:t>
      </w:r>
    </w:p>
    <w:p w:rsidR="00712C31" w:rsidRPr="005B2764" w:rsidRDefault="00712C31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</w:p>
    <w:p w:rsidR="00712C31" w:rsidRPr="005B2764" w:rsidRDefault="00712C31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  <w:r w:rsidRPr="005B2764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For neutrophil respiratory burst measurement, three 100µl (2 x 10</w:t>
      </w:r>
      <w:r w:rsidRPr="005B2764">
        <w:rPr>
          <w:rFonts w:ascii="Times New Roman" w:eastAsia="Cambria" w:hAnsi="Times New Roman" w:cs="Times New Roman"/>
          <w:sz w:val="24"/>
          <w:szCs w:val="24"/>
          <w:vertAlign w:val="superscript"/>
          <w:lang w:val="en-GB" w:eastAsia="en-GB"/>
        </w:rPr>
        <w:t>5</w:t>
      </w:r>
      <w:r w:rsidRPr="005B2764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) cell aliquots per subject were added to low-adherence 96 well plates with 0.5µM (DHR)123 (Molecular Probes, Eugene, OR). Plates were incubated (37°C, 5 mins) and immediately quenched on ice. One aliquot was kept on ice (negative control) and one aliquot was incubated (37°C, 30 mins) with 1ng phorbol 12-myristate 13-acetate (PMA) (Sigma-Aldrich) and then quenched on ice (activated sample). For phagocytosis assessment (paired samples available for 16 asthmatics), two 100µl (2 x 10</w:t>
      </w:r>
      <w:r w:rsidRPr="005B2764">
        <w:rPr>
          <w:rFonts w:ascii="Times New Roman" w:eastAsia="Cambria" w:hAnsi="Times New Roman" w:cs="Times New Roman"/>
          <w:sz w:val="24"/>
          <w:szCs w:val="24"/>
          <w:vertAlign w:val="superscript"/>
          <w:lang w:val="en-GB" w:eastAsia="en-GB"/>
        </w:rPr>
        <w:t>5</w:t>
      </w:r>
      <w:r w:rsidRPr="005B2764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) cell aliquots per subject were added to wells of chilled low-adherence 96 well plates alongside 10:1 concentration of opsonized Texas Red-labelled zymosan A microbeads (Molecular Probes). One aliquot was kept on ice (background control) and one aliquot was incubated (37°C, 60 mins) and then quenched on ice (positive sample).</w:t>
      </w:r>
    </w:p>
    <w:p w:rsidR="00712C31" w:rsidRPr="005B2764" w:rsidRDefault="00712C31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  <w:r w:rsidRPr="005B2764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Following incubation with fluorochrome-labelled monoclonal antibodies on ice for 30 mins (to identify neutrophils), samples were washed, incubated with live/dead fixable blue (Molecular Probes) on ice for 30 mins and washed again with FACS buffer. Labelled aliquots were then resuspended in 150µl FACS buffer/150µl neutral buffered formalin (Sigma).</w:t>
      </w:r>
    </w:p>
    <w:p w:rsidR="00712C31" w:rsidRDefault="00712C31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  <w:r w:rsidRPr="005B2764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Samples were stored on ice and analysed on a BD LSRII flow cytometer within 3 hours. Appropriately-labelled compensation beads (BD) and unlabelled cells were used for compensation.</w:t>
      </w:r>
    </w:p>
    <w:p w:rsidR="00712C31" w:rsidRDefault="00712C31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</w:p>
    <w:p w:rsidR="00712C31" w:rsidRDefault="00712C31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</w:p>
    <w:p w:rsidR="00712C31" w:rsidRDefault="00712C31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</w:p>
    <w:p w:rsidR="00712C31" w:rsidRDefault="00E51158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>T</w:t>
      </w:r>
      <w:r w:rsidR="00712C31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able </w:t>
      </w:r>
      <w:r w:rsidR="005E1F81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S</w:t>
      </w:r>
      <w:r w:rsidR="00712C31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1. ICS/LABA use in CIT study </w:t>
      </w:r>
    </w:p>
    <w:p w:rsidR="00712C31" w:rsidRDefault="00712C31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Look w:val="04A0"/>
      </w:tblPr>
      <w:tblGrid>
        <w:gridCol w:w="2376"/>
        <w:gridCol w:w="2268"/>
        <w:gridCol w:w="2127"/>
      </w:tblGrid>
      <w:tr w:rsidR="00712C31" w:rsidTr="004B2204">
        <w:tc>
          <w:tcPr>
            <w:tcW w:w="677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712C31" w:rsidRDefault="00712C31" w:rsidP="004B2204">
            <w:r>
              <w:t>Optimised treatment</w:t>
            </w:r>
          </w:p>
        </w:tc>
      </w:tr>
      <w:tr w:rsidR="00712C31" w:rsidTr="004B2204">
        <w:tc>
          <w:tcPr>
            <w:tcW w:w="2376" w:type="dxa"/>
            <w:tcBorders>
              <w:left w:val="nil"/>
              <w:bottom w:val="single" w:sz="4" w:space="0" w:color="auto"/>
              <w:right w:val="nil"/>
            </w:tcBorders>
          </w:tcPr>
          <w:p w:rsidR="00712C31" w:rsidRDefault="00712C31" w:rsidP="004B2204">
            <w:r>
              <w:t>Number of subjects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712C31" w:rsidRDefault="00712C31" w:rsidP="004B2204">
            <w:r>
              <w:t>ICS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:rsidR="00712C31" w:rsidRDefault="00712C31" w:rsidP="004B2204">
            <w:r>
              <w:t>LABA</w:t>
            </w:r>
          </w:p>
        </w:tc>
      </w:tr>
      <w:tr w:rsidR="00712C31" w:rsidTr="004B2204">
        <w:tc>
          <w:tcPr>
            <w:tcW w:w="2376" w:type="dxa"/>
            <w:tcBorders>
              <w:left w:val="nil"/>
              <w:bottom w:val="nil"/>
              <w:right w:val="nil"/>
            </w:tcBorders>
          </w:tcPr>
          <w:p w:rsidR="00712C31" w:rsidRDefault="00712C31" w:rsidP="004B2204">
            <w:r>
              <w:t>5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712C31" w:rsidRDefault="00712C31" w:rsidP="004B2204">
            <w:r>
              <w:t>Started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:rsidR="00712C31" w:rsidRDefault="00712C31" w:rsidP="004B2204">
            <w:r>
              <w:t>None</w:t>
            </w:r>
          </w:p>
        </w:tc>
      </w:tr>
      <w:tr w:rsidR="00712C31" w:rsidTr="004B220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712C31" w:rsidRDefault="00712C31" w:rsidP="004B2204">
            <w: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12C31" w:rsidRDefault="00712C31" w:rsidP="004B2204">
            <w:r>
              <w:t>Increased dose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12C31" w:rsidRDefault="00712C31" w:rsidP="004B2204">
            <w:r>
              <w:t>None</w:t>
            </w:r>
          </w:p>
        </w:tc>
      </w:tr>
      <w:tr w:rsidR="00712C31" w:rsidTr="004B220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712C31" w:rsidRDefault="00712C31" w:rsidP="004B2204">
            <w:r>
              <w:t>3*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12C31" w:rsidRDefault="00712C31" w:rsidP="004B2204">
            <w:r>
              <w:t>Increased dose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12C31" w:rsidRDefault="00712C31" w:rsidP="004B2204">
            <w:r>
              <w:t>Increased dose</w:t>
            </w:r>
          </w:p>
        </w:tc>
      </w:tr>
      <w:tr w:rsidR="00712C31" w:rsidTr="004B2204">
        <w:tc>
          <w:tcPr>
            <w:tcW w:w="677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712C31" w:rsidRDefault="00712C31" w:rsidP="004B2204">
            <w:r>
              <w:t>Sub-optimised treatment</w:t>
            </w:r>
          </w:p>
        </w:tc>
      </w:tr>
      <w:tr w:rsidR="00712C31" w:rsidTr="004B2204">
        <w:tc>
          <w:tcPr>
            <w:tcW w:w="2376" w:type="dxa"/>
            <w:tcBorders>
              <w:left w:val="nil"/>
              <w:bottom w:val="single" w:sz="4" w:space="0" w:color="auto"/>
              <w:right w:val="nil"/>
            </w:tcBorders>
          </w:tcPr>
          <w:p w:rsidR="00712C31" w:rsidRDefault="00712C31" w:rsidP="004B2204">
            <w:r>
              <w:t>Number of subjects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712C31" w:rsidRDefault="00712C31" w:rsidP="004B2204">
            <w:r>
              <w:t>ICS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:rsidR="00712C31" w:rsidRDefault="00712C31" w:rsidP="004B2204">
            <w:r>
              <w:t>LABA</w:t>
            </w:r>
          </w:p>
        </w:tc>
      </w:tr>
      <w:tr w:rsidR="00712C31" w:rsidTr="004B2204"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C31" w:rsidRDefault="00712C31" w:rsidP="004B2204">
            <w:r>
              <w:t>5*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C31" w:rsidRDefault="00712C31" w:rsidP="004B2204">
            <w:r>
              <w:t>Stopped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C31" w:rsidRDefault="00712C31" w:rsidP="004B2204">
            <w:r>
              <w:t>Stopped</w:t>
            </w:r>
          </w:p>
        </w:tc>
      </w:tr>
      <w:tr w:rsidR="00712C31" w:rsidTr="004B220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712C31" w:rsidRDefault="00712C31" w:rsidP="004B2204">
            <w:r>
              <w:t>4*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12C31" w:rsidRDefault="00712C31" w:rsidP="004B2204">
            <w:r>
              <w:t>Reduced dose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12C31" w:rsidRDefault="00712C31" w:rsidP="004B2204">
            <w:r>
              <w:t>Reduced dose</w:t>
            </w:r>
          </w:p>
        </w:tc>
      </w:tr>
      <w:tr w:rsidR="00712C31" w:rsidTr="004B2204">
        <w:tc>
          <w:tcPr>
            <w:tcW w:w="2376" w:type="dxa"/>
            <w:tcBorders>
              <w:top w:val="nil"/>
              <w:left w:val="nil"/>
              <w:right w:val="nil"/>
            </w:tcBorders>
          </w:tcPr>
          <w:p w:rsidR="00712C31" w:rsidRDefault="00712C31" w:rsidP="004B2204">
            <w:r>
              <w:t>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712C31" w:rsidRDefault="00712C31" w:rsidP="004B2204">
            <w:r>
              <w:t>Stopped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</w:tcPr>
          <w:p w:rsidR="00712C31" w:rsidRDefault="00712C31" w:rsidP="004B2204">
            <w:r>
              <w:t>Continued</w:t>
            </w:r>
          </w:p>
        </w:tc>
      </w:tr>
    </w:tbl>
    <w:p w:rsidR="00712C31" w:rsidRPr="005B2764" w:rsidRDefault="00712C31" w:rsidP="00712C31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  <w:r w:rsidRPr="00B511BB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*Using combined ICS/LABA (e.g. seretide, symbicort)</w:t>
      </w:r>
    </w:p>
    <w:p w:rsidR="00C60660" w:rsidRDefault="00C60660"/>
    <w:sectPr w:rsidR="00C60660" w:rsidSect="005441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compat/>
  <w:docVars>
    <w:docVar w:name="Total_Editing_Time" w:val="70"/>
  </w:docVars>
  <w:rsids>
    <w:rsidRoot w:val="00712C31"/>
    <w:rsid w:val="001E037B"/>
    <w:rsid w:val="003D15C2"/>
    <w:rsid w:val="004718B9"/>
    <w:rsid w:val="005847D4"/>
    <w:rsid w:val="005E1F81"/>
    <w:rsid w:val="00712C31"/>
    <w:rsid w:val="007436D6"/>
    <w:rsid w:val="00897C2A"/>
    <w:rsid w:val="008B4A8A"/>
    <w:rsid w:val="00C06328"/>
    <w:rsid w:val="00C60660"/>
    <w:rsid w:val="00D13818"/>
    <w:rsid w:val="00E3517C"/>
    <w:rsid w:val="00E51158"/>
    <w:rsid w:val="00FF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C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2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C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2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664</Words>
  <Characters>3763</Characters>
  <Application>Microsoft Office Word</Application>
  <DocSecurity>0</DocSecurity>
  <Lines>101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ItsAcc</dc:creator>
  <cp:lastModifiedBy>ADAYAP</cp:lastModifiedBy>
  <cp:revision>11</cp:revision>
  <dcterms:created xsi:type="dcterms:W3CDTF">2015-10-05T03:48:00Z</dcterms:created>
  <dcterms:modified xsi:type="dcterms:W3CDTF">2017-11-25T18:29:00Z</dcterms:modified>
</cp:coreProperties>
</file>