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3F4EF0" w14:textId="57634459" w:rsidR="00C842DA" w:rsidRPr="006F6AC5" w:rsidRDefault="00EA25D7" w:rsidP="00E50605">
      <w:pPr>
        <w:spacing w:line="480" w:lineRule="auto"/>
        <w:rPr>
          <w:rFonts w:ascii="Times" w:hAnsi="Times" w:cs="Arial"/>
          <w:b/>
        </w:rPr>
      </w:pPr>
      <w:r>
        <w:rPr>
          <w:rFonts w:ascii="Times" w:hAnsi="Times" w:cs="Arial"/>
          <w:b/>
        </w:rPr>
        <w:t>ADDITIONAL FILE 1</w:t>
      </w:r>
    </w:p>
    <w:p w14:paraId="19C43929" w14:textId="77777777" w:rsidR="00C842DA" w:rsidRPr="006F6AC5" w:rsidRDefault="00C842DA" w:rsidP="00E50605">
      <w:pPr>
        <w:spacing w:line="480" w:lineRule="auto"/>
        <w:rPr>
          <w:rFonts w:ascii="Times" w:hAnsi="Times" w:cs="Arial"/>
        </w:rPr>
      </w:pPr>
    </w:p>
    <w:p w14:paraId="073C4A8D" w14:textId="77777777" w:rsidR="00BF5BAE" w:rsidRPr="006F6AC5" w:rsidRDefault="00BF5BAE" w:rsidP="00BF5BAE">
      <w:pPr>
        <w:spacing w:line="480" w:lineRule="auto"/>
        <w:rPr>
          <w:rFonts w:ascii="Times" w:hAnsi="Times" w:cs="Arial"/>
        </w:rPr>
      </w:pPr>
      <w:r w:rsidRPr="006F6AC5">
        <w:rPr>
          <w:rFonts w:ascii="Times" w:hAnsi="Times" w:cs="Arial"/>
        </w:rPr>
        <w:t>Effectiveness of a Standardized Electronic Admission Order Set for Acute Exacerbation of Chronic Obstructive Pulmonary Disease</w:t>
      </w:r>
    </w:p>
    <w:p w14:paraId="617075E9" w14:textId="77777777" w:rsidR="002E4B81" w:rsidRPr="006F6AC5" w:rsidRDefault="002E4B81" w:rsidP="00E50605">
      <w:pPr>
        <w:spacing w:line="480" w:lineRule="auto"/>
        <w:rPr>
          <w:rFonts w:ascii="Times" w:hAnsi="Times" w:cs="Arial"/>
        </w:rPr>
      </w:pPr>
    </w:p>
    <w:p w14:paraId="326847CF" w14:textId="77777777" w:rsidR="00C842DA" w:rsidRPr="006F6AC5" w:rsidRDefault="00C842DA" w:rsidP="00E50605">
      <w:pPr>
        <w:spacing w:line="480" w:lineRule="auto"/>
        <w:rPr>
          <w:rFonts w:ascii="Times" w:hAnsi="Times" w:cs="Arial"/>
        </w:rPr>
      </w:pPr>
      <w:r w:rsidRPr="006F6AC5">
        <w:rPr>
          <w:rFonts w:ascii="Times" w:hAnsi="Times" w:cs="Arial"/>
        </w:rPr>
        <w:t>Sachin R. Pendharkar, Maria B. Ospina, Danielle A. Southern, Naushad Hirani, Jim Graham, Peter Faris, Mohit Bhutani, Richard Leigh, Christopher H. Mody, Michael K. Stickland</w:t>
      </w:r>
    </w:p>
    <w:p w14:paraId="659793B5" w14:textId="77777777" w:rsidR="00C842DA" w:rsidRPr="006F6AC5" w:rsidRDefault="00C842DA" w:rsidP="00E50605">
      <w:pPr>
        <w:spacing w:after="0" w:line="480" w:lineRule="auto"/>
        <w:rPr>
          <w:rFonts w:ascii="Times" w:hAnsi="Times" w:cs="Arial"/>
        </w:rPr>
      </w:pPr>
      <w:r w:rsidRPr="006F6AC5">
        <w:rPr>
          <w:rFonts w:ascii="Times" w:hAnsi="Times" w:cs="Arial"/>
        </w:rPr>
        <w:br w:type="page"/>
      </w:r>
    </w:p>
    <w:p w14:paraId="030A79D9" w14:textId="77777777" w:rsidR="00C842DA" w:rsidRPr="006F6AC5" w:rsidRDefault="00C842DA" w:rsidP="00E50605">
      <w:pPr>
        <w:spacing w:line="480" w:lineRule="auto"/>
        <w:rPr>
          <w:rFonts w:ascii="Times" w:hAnsi="Times" w:cs="Arial"/>
        </w:rPr>
      </w:pPr>
    </w:p>
    <w:p w14:paraId="43F12D4F" w14:textId="77777777" w:rsidR="00C842DA" w:rsidRPr="006F6AC5" w:rsidRDefault="00C842DA" w:rsidP="00E50605">
      <w:pPr>
        <w:pStyle w:val="Heading1"/>
        <w:spacing w:line="480" w:lineRule="auto"/>
        <w:rPr>
          <w:rFonts w:ascii="Times" w:hAnsi="Times" w:cs="Arial"/>
        </w:rPr>
      </w:pPr>
      <w:r w:rsidRPr="006F6AC5">
        <w:rPr>
          <w:rFonts w:ascii="Times" w:hAnsi="Times" w:cs="Arial"/>
        </w:rPr>
        <w:t>Methods</w:t>
      </w:r>
    </w:p>
    <w:p w14:paraId="16640160" w14:textId="77777777" w:rsidR="00C842DA" w:rsidRPr="006F6AC5" w:rsidRDefault="00C842DA" w:rsidP="00E50605">
      <w:pPr>
        <w:pStyle w:val="Heading2"/>
        <w:spacing w:line="480" w:lineRule="auto"/>
        <w:rPr>
          <w:rFonts w:ascii="Times" w:hAnsi="Times" w:cs="Arial"/>
        </w:rPr>
      </w:pPr>
      <w:r w:rsidRPr="006F6AC5">
        <w:rPr>
          <w:rFonts w:ascii="Times" w:hAnsi="Times" w:cs="Arial"/>
        </w:rPr>
        <w:t>Order Set Development</w:t>
      </w:r>
    </w:p>
    <w:p w14:paraId="159589E8" w14:textId="7B5F20AF" w:rsidR="00C842DA" w:rsidRPr="006F6AC5" w:rsidRDefault="00C842DA" w:rsidP="00E50605">
      <w:pPr>
        <w:spacing w:line="480" w:lineRule="auto"/>
        <w:rPr>
          <w:rFonts w:ascii="Times" w:hAnsi="Times" w:cs="Arial"/>
        </w:rPr>
      </w:pPr>
      <w:r w:rsidRPr="006F6AC5">
        <w:rPr>
          <w:rFonts w:ascii="Times" w:hAnsi="Times" w:cs="Arial"/>
        </w:rPr>
        <w:t xml:space="preserve">The order set was based on Canadian Thoracic Society guidelines for the management of </w:t>
      </w:r>
      <w:r w:rsidR="0072007D" w:rsidRPr="006F6AC5">
        <w:rPr>
          <w:rFonts w:ascii="Times" w:hAnsi="Times" w:cs="Arial"/>
        </w:rPr>
        <w:t>chronic obstructive pulmonary disease (</w:t>
      </w:r>
      <w:r w:rsidRPr="006F6AC5">
        <w:rPr>
          <w:rFonts w:ascii="Times" w:hAnsi="Times" w:cs="Arial"/>
        </w:rPr>
        <w:t>COPD</w:t>
      </w:r>
      <w:r w:rsidR="0072007D" w:rsidRPr="006F6AC5">
        <w:rPr>
          <w:rFonts w:ascii="Times" w:hAnsi="Times" w:cs="Arial"/>
        </w:rPr>
        <w:t>)</w:t>
      </w:r>
      <w:r w:rsidR="0007386B" w:rsidRPr="006F6AC5">
        <w:rPr>
          <w:rFonts w:ascii="Times" w:hAnsi="Times" w:cs="Arial"/>
        </w:rPr>
        <w:t>. [</w:t>
      </w:r>
      <w:r w:rsidR="00B00FF0" w:rsidRPr="006F6AC5">
        <w:rPr>
          <w:rFonts w:ascii="Times" w:hAnsi="Times" w:cs="Arial"/>
        </w:rPr>
        <w:t>1]</w:t>
      </w:r>
      <w:r w:rsidRPr="006F6AC5">
        <w:rPr>
          <w:rFonts w:ascii="Times" w:hAnsi="Times" w:cs="Arial"/>
        </w:rPr>
        <w:t xml:space="preserve"> It contained recommended testing, medication and dosing, consultations, and discharge planning interventions specific to patients with </w:t>
      </w:r>
      <w:r w:rsidR="0072007D" w:rsidRPr="006F6AC5">
        <w:rPr>
          <w:rFonts w:ascii="Times" w:hAnsi="Times" w:cs="Arial"/>
        </w:rPr>
        <w:t>acute exacerbation of COPD (</w:t>
      </w:r>
      <w:r w:rsidRPr="006F6AC5">
        <w:rPr>
          <w:rFonts w:ascii="Times" w:hAnsi="Times" w:cs="Arial"/>
        </w:rPr>
        <w:t>AECOPD</w:t>
      </w:r>
      <w:r w:rsidR="0072007D" w:rsidRPr="006F6AC5">
        <w:rPr>
          <w:rFonts w:ascii="Times" w:hAnsi="Times" w:cs="Arial"/>
        </w:rPr>
        <w:t>)</w:t>
      </w:r>
      <w:r w:rsidRPr="006F6AC5">
        <w:rPr>
          <w:rFonts w:ascii="Times" w:hAnsi="Times" w:cs="Arial"/>
        </w:rPr>
        <w:t xml:space="preserve">. It was built into the hospital’s existing </w:t>
      </w:r>
      <w:r w:rsidR="004170A2" w:rsidRPr="006F6AC5">
        <w:rPr>
          <w:rFonts w:ascii="Times" w:hAnsi="Times" w:cs="Arial"/>
        </w:rPr>
        <w:t>computerized physician order entry (</w:t>
      </w:r>
      <w:r w:rsidRPr="006F6AC5">
        <w:rPr>
          <w:rFonts w:ascii="Times" w:hAnsi="Times" w:cs="Arial"/>
        </w:rPr>
        <w:t>CPOE</w:t>
      </w:r>
      <w:r w:rsidR="004170A2" w:rsidRPr="006F6AC5">
        <w:rPr>
          <w:rFonts w:ascii="Times" w:hAnsi="Times" w:cs="Arial"/>
        </w:rPr>
        <w:t>)</w:t>
      </w:r>
      <w:r w:rsidRPr="006F6AC5">
        <w:rPr>
          <w:rFonts w:ascii="Times" w:hAnsi="Times" w:cs="Arial"/>
        </w:rPr>
        <w:t xml:space="preserve"> system, Sunrise Clinical Manager (Allscripts Solutions, Chicago IL), both as a standalone order set and as part of pre-existing medical admission order sets. Screenshots of the order set are shown in </w:t>
      </w:r>
      <w:r w:rsidR="00EA25D7">
        <w:rPr>
          <w:rFonts w:ascii="Times" w:hAnsi="Times" w:cs="Arial"/>
        </w:rPr>
        <w:t>Additional file 2</w:t>
      </w:r>
      <w:r w:rsidRPr="006F6AC5">
        <w:rPr>
          <w:rFonts w:ascii="Times" w:hAnsi="Times" w:cs="Arial"/>
        </w:rPr>
        <w:t>.</w:t>
      </w:r>
    </w:p>
    <w:p w14:paraId="24D84E71" w14:textId="4C5B6EF4" w:rsidR="00C842DA" w:rsidRPr="006F6AC5" w:rsidRDefault="00C842DA" w:rsidP="00E50605">
      <w:pPr>
        <w:spacing w:line="480" w:lineRule="auto"/>
        <w:rPr>
          <w:rFonts w:ascii="Times" w:hAnsi="Times" w:cs="Arial"/>
        </w:rPr>
      </w:pPr>
      <w:r w:rsidRPr="006F6AC5">
        <w:rPr>
          <w:rFonts w:ascii="Times" w:hAnsi="Times" w:cs="Arial"/>
        </w:rPr>
        <w:t>Medications were grouped into categories (rescue bronchodilators, controller medications, antibiotics, corticosteroids) and options within each category were listed in order by preferred mode of delivery (e.g. oral before parenteral). Antibiotic choices were also categorized based on whether the AECOPD was simple or complicated, as defined in the Canadi</w:t>
      </w:r>
      <w:r w:rsidR="00F35B18" w:rsidRPr="006F6AC5">
        <w:rPr>
          <w:rFonts w:ascii="Times" w:hAnsi="Times" w:cs="Arial"/>
        </w:rPr>
        <w:t>a</w:t>
      </w:r>
      <w:r w:rsidR="00B00FF0" w:rsidRPr="006F6AC5">
        <w:rPr>
          <w:rFonts w:ascii="Times" w:hAnsi="Times" w:cs="Arial"/>
        </w:rPr>
        <w:t>n</w:t>
      </w:r>
      <w:r w:rsidR="0007386B" w:rsidRPr="006F6AC5">
        <w:rPr>
          <w:rFonts w:ascii="Times" w:hAnsi="Times" w:cs="Arial"/>
        </w:rPr>
        <w:t xml:space="preserve"> Thoracic Society guidelines. [</w:t>
      </w:r>
      <w:r w:rsidR="00B00FF0" w:rsidRPr="006F6AC5">
        <w:rPr>
          <w:rFonts w:ascii="Times" w:hAnsi="Times" w:cs="Arial"/>
        </w:rPr>
        <w:t>1]</w:t>
      </w:r>
    </w:p>
    <w:p w14:paraId="194611A1" w14:textId="77777777" w:rsidR="00C842DA" w:rsidRPr="006F6AC5" w:rsidRDefault="00C842DA" w:rsidP="00E50605">
      <w:pPr>
        <w:spacing w:line="480" w:lineRule="auto"/>
        <w:rPr>
          <w:rFonts w:ascii="Times" w:hAnsi="Times" w:cs="Arial"/>
        </w:rPr>
      </w:pPr>
      <w:r w:rsidRPr="006F6AC5">
        <w:rPr>
          <w:rFonts w:ascii="Times" w:hAnsi="Times" w:cs="Arial"/>
        </w:rPr>
        <w:t xml:space="preserve">In areas where experience indicated high variation from established guidelines (e.g., mode of bronchodilator delivery), interventions were pre-selected. These pre-selected interventions could be changed at the admitting clinician’s discretion. Pre-selection of medications was also expected to improve clinical workflow since the admitting physician would not have to individually select these medications. The working group chose not to pre-select antibiotic medication and dose, as the frequency with which a pre-selected antibiotic would need to be changed was felt to be high </w:t>
      </w:r>
      <w:r w:rsidRPr="006F6AC5">
        <w:rPr>
          <w:rFonts w:ascii="Times" w:hAnsi="Times" w:cs="Arial"/>
        </w:rPr>
        <w:lastRenderedPageBreak/>
        <w:t>enough that clinical workflow would be interrupted. The order set was reviewed with frontline physicians to ensure ease of use.</w:t>
      </w:r>
    </w:p>
    <w:p w14:paraId="301F1964" w14:textId="77777777" w:rsidR="00C842DA" w:rsidRPr="006F6AC5" w:rsidRDefault="00C842DA" w:rsidP="00E50605">
      <w:pPr>
        <w:pStyle w:val="Heading2"/>
        <w:spacing w:line="480" w:lineRule="auto"/>
        <w:rPr>
          <w:rFonts w:ascii="Times" w:hAnsi="Times" w:cs="Arial"/>
        </w:rPr>
      </w:pPr>
      <w:r w:rsidRPr="006F6AC5">
        <w:rPr>
          <w:rFonts w:ascii="Times" w:hAnsi="Times" w:cs="Arial"/>
        </w:rPr>
        <w:t xml:space="preserve">Implementation </w:t>
      </w:r>
    </w:p>
    <w:p w14:paraId="341DEB3E" w14:textId="72C704EE" w:rsidR="00C842DA" w:rsidRPr="006F6AC5" w:rsidRDefault="00C842DA" w:rsidP="00E50605">
      <w:pPr>
        <w:spacing w:line="480" w:lineRule="auto"/>
        <w:rPr>
          <w:rFonts w:ascii="Times" w:hAnsi="Times" w:cs="Arial"/>
        </w:rPr>
      </w:pPr>
      <w:r w:rsidRPr="006F6AC5">
        <w:rPr>
          <w:rFonts w:ascii="Times" w:hAnsi="Times" w:cs="Arial"/>
        </w:rPr>
        <w:t>The order set was implemented using a stepped wedge design</w:t>
      </w:r>
      <w:r w:rsidR="0007386B" w:rsidRPr="006F6AC5">
        <w:rPr>
          <w:rFonts w:ascii="Times" w:hAnsi="Times" w:cs="Arial"/>
        </w:rPr>
        <w:t xml:space="preserve"> [</w:t>
      </w:r>
      <w:r w:rsidR="00B00FF0" w:rsidRPr="006F6AC5">
        <w:rPr>
          <w:rFonts w:ascii="Times" w:hAnsi="Times" w:cs="Arial"/>
        </w:rPr>
        <w:t>2]</w:t>
      </w:r>
      <w:r w:rsidRPr="006F6AC5">
        <w:rPr>
          <w:rFonts w:ascii="Times" w:hAnsi="Times" w:cs="Arial"/>
        </w:rPr>
        <w:t xml:space="preserve"> among three physician groups who admit patients with AECOPD: </w:t>
      </w:r>
      <w:r w:rsidR="00A374EF">
        <w:rPr>
          <w:rFonts w:ascii="Times" w:hAnsi="Times" w:cs="Arial"/>
        </w:rPr>
        <w:t>respirologist</w:t>
      </w:r>
      <w:r w:rsidRPr="006F6AC5">
        <w:rPr>
          <w:rFonts w:ascii="Times" w:hAnsi="Times" w:cs="Arial"/>
        </w:rPr>
        <w:t>s, general internists, and hospitalists (</w:t>
      </w:r>
      <w:r w:rsidR="00AB299D" w:rsidRPr="006F6AC5">
        <w:rPr>
          <w:rFonts w:ascii="Times" w:hAnsi="Times" w:cs="Arial"/>
        </w:rPr>
        <w:t xml:space="preserve">physicians who are certified by the College of Family Physicians </w:t>
      </w:r>
      <w:r w:rsidRPr="006F6AC5">
        <w:rPr>
          <w:rFonts w:ascii="Times" w:hAnsi="Times" w:cs="Arial"/>
        </w:rPr>
        <w:t xml:space="preserve">whose primary activity is the admission and care of hospitalized patients). The intervention was implemented sequentially within clusters (physician groups) with each cluster acting as its own control. Study outcome data </w:t>
      </w:r>
      <w:r w:rsidR="00522D84" w:rsidRPr="006F6AC5">
        <w:rPr>
          <w:rFonts w:ascii="Times" w:hAnsi="Times" w:cs="Arial"/>
        </w:rPr>
        <w:t>were</w:t>
      </w:r>
      <w:r w:rsidRPr="006F6AC5">
        <w:rPr>
          <w:rFonts w:ascii="Times" w:hAnsi="Times" w:cs="Arial"/>
        </w:rPr>
        <w:t xml:space="preserve"> collected at baseline and at each implementation ‘step’. This design was selected to permit robust evaluation of the order set, including controlling for secular trends in length of stay, despite the need to implement it sequentially due to logistical constraints.</w:t>
      </w:r>
    </w:p>
    <w:p w14:paraId="7AD68229" w14:textId="309A89AE" w:rsidR="00C842DA" w:rsidRPr="006F6AC5" w:rsidRDefault="00C842DA" w:rsidP="00E50605">
      <w:pPr>
        <w:spacing w:line="480" w:lineRule="auto"/>
        <w:rPr>
          <w:rFonts w:ascii="Times" w:hAnsi="Times" w:cs="Arial"/>
        </w:rPr>
      </w:pPr>
      <w:r w:rsidRPr="006F6AC5">
        <w:rPr>
          <w:rFonts w:ascii="Times" w:hAnsi="Times" w:cs="Arial"/>
        </w:rPr>
        <w:t xml:space="preserve">Implementation among </w:t>
      </w:r>
      <w:r w:rsidR="00A374EF">
        <w:rPr>
          <w:rFonts w:ascii="Times" w:hAnsi="Times" w:cs="Arial"/>
        </w:rPr>
        <w:t>respirologist</w:t>
      </w:r>
      <w:r w:rsidRPr="006F6AC5">
        <w:rPr>
          <w:rFonts w:ascii="Times" w:hAnsi="Times" w:cs="Arial"/>
        </w:rPr>
        <w:t xml:space="preserve">s, general internists and hospitalists occurred in March, May and August 2013, respectively. </w:t>
      </w:r>
      <w:r w:rsidR="00A374EF">
        <w:rPr>
          <w:rFonts w:ascii="Times" w:hAnsi="Times" w:cs="Arial"/>
        </w:rPr>
        <w:t>Respirologist</w:t>
      </w:r>
      <w:r w:rsidRPr="006F6AC5">
        <w:rPr>
          <w:rFonts w:ascii="Times" w:hAnsi="Times" w:cs="Arial"/>
        </w:rPr>
        <w:t xml:space="preserve">s and general internists underwent implementation sequentially to minimize the risk of contamination from clinical trainees rotating through both specialties. </w:t>
      </w:r>
      <w:r w:rsidR="00891DD7" w:rsidRPr="006F6AC5">
        <w:rPr>
          <w:rFonts w:ascii="Times" w:hAnsi="Times" w:cs="Arial"/>
        </w:rPr>
        <w:t>Patients admitted to a clinical service before order set implementation in the corresponding physician group were considered historical controls even though the order set was available to all physicians throughout the study.</w:t>
      </w:r>
    </w:p>
    <w:p w14:paraId="124C5A88" w14:textId="77777777" w:rsidR="00C842DA" w:rsidRPr="006F6AC5" w:rsidRDefault="00C842DA" w:rsidP="00E50605">
      <w:pPr>
        <w:spacing w:line="480" w:lineRule="auto"/>
        <w:rPr>
          <w:rFonts w:ascii="Times" w:hAnsi="Times" w:cs="Arial"/>
        </w:rPr>
      </w:pPr>
      <w:r w:rsidRPr="006F6AC5">
        <w:rPr>
          <w:rFonts w:ascii="Times" w:hAnsi="Times" w:cs="Arial"/>
        </w:rPr>
        <w:t>Prior to each planned implementation step, the order set project team met with members of the physician</w:t>
      </w:r>
      <w:r w:rsidR="00AB299D" w:rsidRPr="006F6AC5">
        <w:rPr>
          <w:rFonts w:ascii="Times" w:hAnsi="Times" w:cs="Arial"/>
        </w:rPr>
        <w:t xml:space="preserve"> and allied health groups to</w:t>
      </w:r>
      <w:r w:rsidRPr="006F6AC5">
        <w:rPr>
          <w:rFonts w:ascii="Times" w:hAnsi="Times" w:cs="Arial"/>
        </w:rPr>
        <w:t xml:space="preserve"> introduce the order set. </w:t>
      </w:r>
      <w:r w:rsidR="00006735" w:rsidRPr="006F6AC5">
        <w:rPr>
          <w:rFonts w:ascii="Times" w:hAnsi="Times" w:cs="Arial"/>
        </w:rPr>
        <w:t xml:space="preserve">Trainees were also informed of the order set by electronic mail at the beginning of each clinical training rotation. </w:t>
      </w:r>
      <w:r w:rsidRPr="006F6AC5">
        <w:rPr>
          <w:rFonts w:ascii="Times" w:hAnsi="Times" w:cs="Arial"/>
        </w:rPr>
        <w:t xml:space="preserve">Utilization of the order set by each individual physician was voluntary. </w:t>
      </w:r>
      <w:r w:rsidR="00891DD7" w:rsidRPr="006F6AC5">
        <w:rPr>
          <w:rFonts w:ascii="Times" w:hAnsi="Times" w:cs="Arial"/>
        </w:rPr>
        <w:t>Although the order set was available to any physician throughout the pilot, it was only integrated into specialty-specific order sets when</w:t>
      </w:r>
      <w:r w:rsidRPr="006F6AC5">
        <w:rPr>
          <w:rFonts w:ascii="Times" w:hAnsi="Times" w:cs="Arial"/>
        </w:rPr>
        <w:t xml:space="preserve"> </w:t>
      </w:r>
      <w:r w:rsidRPr="006F6AC5">
        <w:rPr>
          <w:rFonts w:ascii="Times" w:hAnsi="Times" w:cs="Arial"/>
        </w:rPr>
        <w:lastRenderedPageBreak/>
        <w:t>introduced to that specialty group. Monthly statistics on order set use were posted in clinical areas, and the project team was available to physicians for any questions related to its use.</w:t>
      </w:r>
    </w:p>
    <w:p w14:paraId="1639BBCC" w14:textId="77777777" w:rsidR="00C842DA" w:rsidRPr="006F6AC5" w:rsidRDefault="00C842DA" w:rsidP="00E50605">
      <w:pPr>
        <w:pStyle w:val="Heading2"/>
        <w:spacing w:line="480" w:lineRule="auto"/>
        <w:rPr>
          <w:rFonts w:ascii="Times" w:hAnsi="Times" w:cs="Arial"/>
        </w:rPr>
      </w:pPr>
      <w:r w:rsidRPr="006F6AC5">
        <w:rPr>
          <w:rFonts w:ascii="Times" w:hAnsi="Times" w:cs="Arial"/>
        </w:rPr>
        <w:t>Analysis</w:t>
      </w:r>
    </w:p>
    <w:p w14:paraId="3FE630EA" w14:textId="0ADC10BC" w:rsidR="00C842DA" w:rsidRPr="006F6AC5" w:rsidRDefault="00C842DA" w:rsidP="00E50605">
      <w:pPr>
        <w:spacing w:line="480" w:lineRule="auto"/>
        <w:rPr>
          <w:rFonts w:ascii="Times" w:hAnsi="Times" w:cs="Arial"/>
        </w:rPr>
      </w:pPr>
      <w:r w:rsidRPr="006F6AC5">
        <w:rPr>
          <w:rFonts w:ascii="Times" w:hAnsi="Times" w:cs="Arial"/>
        </w:rPr>
        <w:t>Patient demographic, comorbidity and hospitalization data were obtained from the hospital’s Discharge Abstract Database and order set usage data were obtained from the CPOE system. Deterministic data linkage across databases was based on the patient</w:t>
      </w:r>
      <w:r w:rsidR="0007386B" w:rsidRPr="006F6AC5">
        <w:rPr>
          <w:rFonts w:ascii="Times" w:hAnsi="Times" w:cs="Arial"/>
        </w:rPr>
        <w:t>’s provincial health number. [</w:t>
      </w:r>
      <w:r w:rsidR="00B00FF0" w:rsidRPr="006F6AC5">
        <w:rPr>
          <w:rFonts w:ascii="Times" w:hAnsi="Times" w:cs="Arial"/>
        </w:rPr>
        <w:t>3]</w:t>
      </w:r>
      <w:r w:rsidRPr="006F6AC5">
        <w:rPr>
          <w:rFonts w:ascii="Times" w:hAnsi="Times" w:cs="Arial"/>
        </w:rPr>
        <w:t xml:space="preserve"> Patients were excluded from the analysis if they were transferred to another acute care or long term care facility or if hospital length of stay exceeded 90 days.</w:t>
      </w:r>
    </w:p>
    <w:p w14:paraId="7CEF567F" w14:textId="77777777" w:rsidR="00C842DA" w:rsidRPr="006F6AC5" w:rsidRDefault="00C842DA" w:rsidP="00E50605">
      <w:pPr>
        <w:spacing w:line="480" w:lineRule="auto"/>
        <w:rPr>
          <w:rFonts w:ascii="Times" w:hAnsi="Times" w:cs="Arial"/>
        </w:rPr>
      </w:pPr>
      <w:r w:rsidRPr="006F6AC5">
        <w:rPr>
          <w:rFonts w:ascii="Times" w:hAnsi="Times" w:cs="Arial"/>
        </w:rPr>
        <w:t xml:space="preserve">The primary outcome was hospital length of stay for patients admitted during the order set implementation period compared to those admitted during the previous 12 months (pre-post implementation analysis). Secondary outcomes included: hospital length of stay of patients admitted with and without the order set after order set implementation (post-implementation analysis); all-cause readmissions at 7, 30 and 90 days after discharge; ED visits at 7 and 30 days; and </w:t>
      </w:r>
      <w:r w:rsidR="00FD5D0F" w:rsidRPr="006F6AC5">
        <w:rPr>
          <w:rFonts w:ascii="Times" w:hAnsi="Times" w:cs="Arial"/>
        </w:rPr>
        <w:t>in-hospital</w:t>
      </w:r>
      <w:r w:rsidRPr="006F6AC5">
        <w:rPr>
          <w:rFonts w:ascii="Times" w:hAnsi="Times" w:cs="Arial"/>
        </w:rPr>
        <w:t xml:space="preserve"> mortality. The unit of analysis was the hospital admission; thus, patients with multiple admissions may have been included in order-set and no order-set groups</w:t>
      </w:r>
      <w:r w:rsidR="00522D84" w:rsidRPr="006F6AC5">
        <w:rPr>
          <w:rFonts w:ascii="Times" w:hAnsi="Times" w:cs="Arial"/>
        </w:rPr>
        <w:t>,</w:t>
      </w:r>
      <w:r w:rsidRPr="006F6AC5">
        <w:rPr>
          <w:rFonts w:ascii="Times" w:hAnsi="Times" w:cs="Arial"/>
        </w:rPr>
        <w:t xml:space="preserve"> in both the pre-post implementation and post-implementation analysis.</w:t>
      </w:r>
    </w:p>
    <w:p w14:paraId="04D5E468" w14:textId="2014CE3F" w:rsidR="00E50605" w:rsidRPr="006F6AC5" w:rsidRDefault="00E50605" w:rsidP="00E50605">
      <w:pPr>
        <w:spacing w:line="480" w:lineRule="auto"/>
        <w:rPr>
          <w:rFonts w:ascii="Times" w:eastAsia="Times New Roman" w:hAnsi="Times"/>
        </w:rPr>
      </w:pPr>
      <w:r w:rsidRPr="006F6AC5">
        <w:rPr>
          <w:rFonts w:ascii="Times" w:eastAsia="Times New Roman" w:hAnsi="Times"/>
        </w:rPr>
        <w:t>Historic administrative data were used to determine the anticipated volumes of patients treated by each physician group, and distribution of their length of stay. Calculations accounted for study design, and determined that with an alpha level of 0.05, 460 admissions were required to achieve 80% power to detect a 1 day (17%) decrease in the median length of stay.</w:t>
      </w:r>
    </w:p>
    <w:p w14:paraId="04D65002" w14:textId="77777777" w:rsidR="00221EC3" w:rsidRPr="006F6AC5" w:rsidRDefault="00221EC3" w:rsidP="00E50605">
      <w:pPr>
        <w:spacing w:line="480" w:lineRule="auto"/>
        <w:rPr>
          <w:rFonts w:ascii="Times" w:hAnsi="Times" w:cs="Arial"/>
        </w:rPr>
      </w:pPr>
      <w:r w:rsidRPr="006F6AC5">
        <w:rPr>
          <w:rFonts w:ascii="Times" w:hAnsi="Times" w:cs="Arial"/>
        </w:rPr>
        <w:t xml:space="preserve">Descriptive analyses were conducted using proportions and percentages for categorical data, and means with standard deviations (SD) or median and interquartile range for continuous data. </w:t>
      </w:r>
      <w:r w:rsidRPr="006F6AC5">
        <w:rPr>
          <w:rFonts w:ascii="Times" w:hAnsi="Times" w:cs="Arial"/>
        </w:rPr>
        <w:lastRenderedPageBreak/>
        <w:t>Univariate analysis of continuous data was conducted using two-sample t tests or Mann-Whitney test (for non-normally distributed data).</w:t>
      </w:r>
      <w:r w:rsidR="00FF2EB9" w:rsidRPr="006F6AC5">
        <w:rPr>
          <w:rFonts w:ascii="Times" w:hAnsi="Times" w:cs="Arial"/>
        </w:rPr>
        <w:t xml:space="preserve"> Order set uptake was evaluated using time series analysis for each physician specialty group.</w:t>
      </w:r>
    </w:p>
    <w:p w14:paraId="2CC81899" w14:textId="5BA1497C" w:rsidR="00C842DA" w:rsidRPr="006F6AC5" w:rsidRDefault="00C842DA" w:rsidP="00E50605">
      <w:pPr>
        <w:spacing w:line="480" w:lineRule="auto"/>
        <w:rPr>
          <w:rFonts w:ascii="Times" w:hAnsi="Times" w:cs="Arial"/>
        </w:rPr>
      </w:pPr>
      <w:r w:rsidRPr="006F6AC5">
        <w:rPr>
          <w:rFonts w:ascii="Times" w:hAnsi="Times" w:cs="Arial"/>
        </w:rPr>
        <w:t>Median regression models were constructed to assess the impact of the o</w:t>
      </w:r>
      <w:r w:rsidR="0007386B" w:rsidRPr="006F6AC5">
        <w:rPr>
          <w:rFonts w:ascii="Times" w:hAnsi="Times" w:cs="Arial"/>
        </w:rPr>
        <w:t>rder set on length of stay. [4-</w:t>
      </w:r>
      <w:r w:rsidR="00B00FF0" w:rsidRPr="006F6AC5">
        <w:rPr>
          <w:rFonts w:ascii="Times" w:hAnsi="Times" w:cs="Arial"/>
        </w:rPr>
        <w:t>6]</w:t>
      </w:r>
      <w:r w:rsidRPr="006F6AC5">
        <w:rPr>
          <w:rFonts w:ascii="Times" w:hAnsi="Times" w:cs="Arial"/>
        </w:rPr>
        <w:t xml:space="preserve"> </w:t>
      </w:r>
      <w:r w:rsidR="00CE5AC6" w:rsidRPr="006F6AC5">
        <w:rPr>
          <w:rFonts w:ascii="Times" w:hAnsi="Times" w:cs="Arial"/>
        </w:rPr>
        <w:t xml:space="preserve">Median regression was selected over other modelling methods </w:t>
      </w:r>
      <w:r w:rsidR="009D2E61" w:rsidRPr="006F6AC5">
        <w:rPr>
          <w:rFonts w:ascii="Times" w:hAnsi="Times" w:cs="Arial"/>
        </w:rPr>
        <w:t xml:space="preserve">because </w:t>
      </w:r>
      <w:r w:rsidR="00CE5AC6" w:rsidRPr="006F6AC5">
        <w:rPr>
          <w:rFonts w:ascii="Times" w:hAnsi="Times" w:cs="Arial"/>
        </w:rPr>
        <w:t xml:space="preserve">highly skewed length of stay data would require </w:t>
      </w:r>
      <w:r w:rsidR="009D2E61" w:rsidRPr="006F6AC5">
        <w:rPr>
          <w:rFonts w:ascii="Times" w:hAnsi="Times" w:cs="Arial"/>
        </w:rPr>
        <w:t>transformation</w:t>
      </w:r>
      <w:r w:rsidR="00CE5AC6" w:rsidRPr="006F6AC5">
        <w:rPr>
          <w:rFonts w:ascii="Times" w:hAnsi="Times" w:cs="Arial"/>
        </w:rPr>
        <w:t xml:space="preserve"> before </w:t>
      </w:r>
      <w:r w:rsidR="009D2E61" w:rsidRPr="006F6AC5">
        <w:rPr>
          <w:rFonts w:ascii="Times" w:hAnsi="Times" w:cs="Arial"/>
        </w:rPr>
        <w:t>they could be analyzed using other techniques. S</w:t>
      </w:r>
      <w:r w:rsidR="00CE5AC6" w:rsidRPr="006F6AC5">
        <w:rPr>
          <w:rFonts w:ascii="Times" w:hAnsi="Times" w:cs="Arial"/>
        </w:rPr>
        <w:t xml:space="preserve">uch transformation </w:t>
      </w:r>
      <w:r w:rsidR="009D2E61" w:rsidRPr="006F6AC5">
        <w:rPr>
          <w:rFonts w:ascii="Times" w:hAnsi="Times" w:cs="Arial"/>
        </w:rPr>
        <w:t xml:space="preserve">would lead to results that were not easily interpreted in a clinical setting; in contrast, median regression permitted us to analyze the data without transformation. </w:t>
      </w:r>
      <w:r w:rsidRPr="006F6AC5">
        <w:rPr>
          <w:rFonts w:ascii="Times" w:hAnsi="Times" w:cs="Arial"/>
        </w:rPr>
        <w:t>The models included both a term for the intervention (introduction of the order set for the pre-post implementation analysis and no order set vs order set for the post-implementation analysis) and a fixed term for each of the three physician groups. Both unadjusted and adjusted models were constructed</w:t>
      </w:r>
      <w:r w:rsidR="00AB299D" w:rsidRPr="006F6AC5">
        <w:rPr>
          <w:rFonts w:ascii="Times" w:hAnsi="Times" w:cs="Arial"/>
        </w:rPr>
        <w:t xml:space="preserve"> to account for demographic and clinical factors that could affect hospital length of stay</w:t>
      </w:r>
      <w:r w:rsidRPr="006F6AC5">
        <w:rPr>
          <w:rFonts w:ascii="Times" w:hAnsi="Times" w:cs="Arial"/>
        </w:rPr>
        <w:t>; confounders included age, sex, and five clinically relevant comorbidities selected from th</w:t>
      </w:r>
      <w:r w:rsidR="0007386B" w:rsidRPr="006F6AC5">
        <w:rPr>
          <w:rFonts w:ascii="Times" w:hAnsi="Times" w:cs="Arial"/>
        </w:rPr>
        <w:t>e Charlson Comorbidity Index [</w:t>
      </w:r>
      <w:r w:rsidR="00B00FF0" w:rsidRPr="006F6AC5">
        <w:rPr>
          <w:rFonts w:ascii="Times" w:hAnsi="Times" w:cs="Arial"/>
        </w:rPr>
        <w:t>7]</w:t>
      </w:r>
      <w:r w:rsidRPr="006F6AC5">
        <w:rPr>
          <w:rFonts w:ascii="Times" w:hAnsi="Times" w:cs="Arial"/>
        </w:rPr>
        <w:t xml:space="preserve"> (heart failure, dementia, mild or severe liver disease, renal disease, and diabetes). </w:t>
      </w:r>
      <w:r w:rsidR="00AF3173" w:rsidRPr="006F6AC5">
        <w:rPr>
          <w:rFonts w:ascii="Times" w:hAnsi="Times" w:cs="Arial"/>
        </w:rPr>
        <w:t>These selected comorbidities accounted for almost all Charlson comorbidi</w:t>
      </w:r>
      <w:r w:rsidR="008A2E97" w:rsidRPr="006F6AC5">
        <w:rPr>
          <w:rFonts w:ascii="Times" w:hAnsi="Times" w:cs="Arial"/>
        </w:rPr>
        <w:t>ties in the study cohort (Somer</w:t>
      </w:r>
      <w:r w:rsidR="00AF3173" w:rsidRPr="006F6AC5">
        <w:rPr>
          <w:rFonts w:ascii="Times" w:hAnsi="Times" w:cs="Arial"/>
        </w:rPr>
        <w:t>s</w:t>
      </w:r>
      <w:r w:rsidR="008A2E97" w:rsidRPr="006F6AC5">
        <w:rPr>
          <w:rFonts w:ascii="Times" w:hAnsi="Times" w:cs="Arial"/>
        </w:rPr>
        <w:t>’</w:t>
      </w:r>
      <w:r w:rsidR="00AF3173" w:rsidRPr="006F6AC5">
        <w:rPr>
          <w:rFonts w:ascii="Times" w:hAnsi="Times" w:cs="Arial"/>
        </w:rPr>
        <w:t xml:space="preserve"> D = 0.94; 95% </w:t>
      </w:r>
      <w:r w:rsidR="004170A2" w:rsidRPr="006F6AC5">
        <w:rPr>
          <w:rFonts w:ascii="Times" w:hAnsi="Times" w:cs="Arial"/>
        </w:rPr>
        <w:t>conf</w:t>
      </w:r>
      <w:r w:rsidR="0072007D" w:rsidRPr="006F6AC5">
        <w:rPr>
          <w:rFonts w:ascii="Times" w:hAnsi="Times" w:cs="Arial"/>
        </w:rPr>
        <w:t>idence interval [</w:t>
      </w:r>
      <w:r w:rsidR="00AF3173" w:rsidRPr="006F6AC5">
        <w:rPr>
          <w:rFonts w:ascii="Times" w:hAnsi="Times" w:cs="Arial"/>
        </w:rPr>
        <w:t>CI</w:t>
      </w:r>
      <w:r w:rsidR="0072007D" w:rsidRPr="006F6AC5">
        <w:rPr>
          <w:rFonts w:ascii="Times" w:hAnsi="Times" w:cs="Arial"/>
        </w:rPr>
        <w:t>]</w:t>
      </w:r>
      <w:r w:rsidR="00AF3173" w:rsidRPr="006F6AC5">
        <w:rPr>
          <w:rFonts w:ascii="Times" w:hAnsi="Times" w:cs="Arial"/>
        </w:rPr>
        <w:t xml:space="preserve"> 0.93, 0.96).</w:t>
      </w:r>
      <w:r w:rsidR="00AF3173" w:rsidRPr="006F6AC5" w:rsidDel="00871A9C">
        <w:rPr>
          <w:rFonts w:ascii="Times" w:hAnsi="Times" w:cs="Arial"/>
        </w:rPr>
        <w:t xml:space="preserve"> </w:t>
      </w:r>
      <w:r w:rsidRPr="006F6AC5">
        <w:rPr>
          <w:rFonts w:ascii="Times" w:hAnsi="Times" w:cs="Arial"/>
        </w:rPr>
        <w:t xml:space="preserve">For all </w:t>
      </w:r>
      <w:r w:rsidR="00E2218A" w:rsidRPr="006F6AC5">
        <w:rPr>
          <w:rFonts w:ascii="Times" w:hAnsi="Times" w:cs="Arial"/>
        </w:rPr>
        <w:t>models,</w:t>
      </w:r>
      <w:r w:rsidRPr="006F6AC5">
        <w:rPr>
          <w:rFonts w:ascii="Times" w:hAnsi="Times" w:cs="Arial"/>
        </w:rPr>
        <w:t xml:space="preserve"> we first tested an intervention by step interaction, and then removed the interaction term to obtain an overall estimate of effect. This analysis revealed no evidence that the effect of the order set implementation depended on the admitting physician group. For the post-implementation analysis, the effect of order set use was dependent on admitting physician group; this interaction was not significant when comorbidity covariates were considered in the model</w:t>
      </w:r>
    </w:p>
    <w:p w14:paraId="13645E15" w14:textId="77777777" w:rsidR="00C101E4" w:rsidRPr="006F6AC5" w:rsidRDefault="00C842DA" w:rsidP="00E50605">
      <w:pPr>
        <w:spacing w:line="480" w:lineRule="auto"/>
        <w:rPr>
          <w:rFonts w:ascii="Times" w:hAnsi="Times" w:cs="Arial"/>
        </w:rPr>
      </w:pPr>
      <w:r w:rsidRPr="006F6AC5">
        <w:rPr>
          <w:rFonts w:ascii="Times" w:hAnsi="Times" w:cs="Arial"/>
        </w:rPr>
        <w:lastRenderedPageBreak/>
        <w:t xml:space="preserve">As each step can be considered a replication of the intervention, </w:t>
      </w:r>
      <w:r w:rsidR="00C101E4" w:rsidRPr="006F6AC5">
        <w:rPr>
          <w:rFonts w:ascii="Times" w:hAnsi="Times" w:cs="Arial"/>
        </w:rPr>
        <w:t>f</w:t>
      </w:r>
      <w:r w:rsidRPr="006F6AC5">
        <w:rPr>
          <w:rFonts w:ascii="Times" w:hAnsi="Times" w:cs="Arial"/>
        </w:rPr>
        <w:t>orest plots</w:t>
      </w:r>
      <w:r w:rsidR="00C101E4" w:rsidRPr="006F6AC5">
        <w:rPr>
          <w:rFonts w:ascii="Times" w:hAnsi="Times" w:cs="Arial"/>
        </w:rPr>
        <w:t xml:space="preserve"> were used</w:t>
      </w:r>
      <w:r w:rsidRPr="006F6AC5">
        <w:rPr>
          <w:rFonts w:ascii="Times" w:hAnsi="Times" w:cs="Arial"/>
        </w:rPr>
        <w:t xml:space="preserve"> to illustrate both the effects within each step as well as the overall estimate of effects. Both adjusted and unadjusted results are presented within each forest plot. A sensitivity analysis was performed after removing all patients who died within 90 days with no significant difference observed.</w:t>
      </w:r>
      <w:r w:rsidR="00C101E4" w:rsidRPr="006F6AC5">
        <w:rPr>
          <w:rFonts w:ascii="Times" w:hAnsi="Times" w:cs="Arial"/>
        </w:rPr>
        <w:t xml:space="preserve"> L</w:t>
      </w:r>
      <w:r w:rsidRPr="006F6AC5">
        <w:rPr>
          <w:rFonts w:ascii="Times" w:hAnsi="Times" w:cs="Arial"/>
        </w:rPr>
        <w:t xml:space="preserve">ogistic regression was used to adjust 30-day readmission odds ratios (OR) for age, sex, comorbidity and admitting physician specialty.  </w:t>
      </w:r>
    </w:p>
    <w:p w14:paraId="0C79FD76" w14:textId="517F2B1E" w:rsidR="0003486D" w:rsidRPr="006F6AC5" w:rsidRDefault="00C842DA" w:rsidP="00E50605">
      <w:pPr>
        <w:spacing w:line="480" w:lineRule="auto"/>
        <w:rPr>
          <w:rFonts w:ascii="Times" w:hAnsi="Times" w:cs="Arial"/>
        </w:rPr>
      </w:pPr>
      <w:r w:rsidRPr="006F6AC5">
        <w:rPr>
          <w:rFonts w:ascii="Times" w:hAnsi="Times" w:cs="Arial"/>
        </w:rPr>
        <w:t>All analyses were performed using SAS version 9.3 (Cary, NC) or R version 3</w:t>
      </w:r>
      <w:r w:rsidR="0007386B" w:rsidRPr="006F6AC5">
        <w:rPr>
          <w:rFonts w:ascii="Times" w:hAnsi="Times" w:cs="Arial"/>
        </w:rPr>
        <w:t>.2.3; [</w:t>
      </w:r>
      <w:r w:rsidR="00B00FF0" w:rsidRPr="006F6AC5">
        <w:rPr>
          <w:rFonts w:ascii="Times" w:hAnsi="Times" w:cs="Arial"/>
        </w:rPr>
        <w:t>8]</w:t>
      </w:r>
      <w:r w:rsidRPr="006F6AC5">
        <w:rPr>
          <w:rFonts w:ascii="Times" w:hAnsi="Times" w:cs="Arial"/>
        </w:rPr>
        <w:t xml:space="preserve"> p &lt;0.05 was considered statistically significant.</w:t>
      </w:r>
    </w:p>
    <w:p w14:paraId="3EFD4353" w14:textId="77777777" w:rsidR="0003486D" w:rsidRPr="006F6AC5" w:rsidRDefault="0003486D" w:rsidP="00E50605">
      <w:pPr>
        <w:spacing w:after="0" w:line="480" w:lineRule="auto"/>
        <w:rPr>
          <w:rFonts w:ascii="Times" w:hAnsi="Times" w:cs="Arial"/>
        </w:rPr>
      </w:pPr>
      <w:r w:rsidRPr="006F6AC5">
        <w:rPr>
          <w:rFonts w:ascii="Times" w:hAnsi="Times" w:cs="Arial"/>
        </w:rPr>
        <w:br w:type="page"/>
      </w:r>
    </w:p>
    <w:p w14:paraId="150CAE7B" w14:textId="77777777" w:rsidR="00C842DA" w:rsidRPr="006F6AC5" w:rsidRDefault="0003486D" w:rsidP="00E50605">
      <w:pPr>
        <w:pStyle w:val="Heading1"/>
        <w:spacing w:line="480" w:lineRule="auto"/>
        <w:rPr>
          <w:rFonts w:ascii="Times" w:hAnsi="Times"/>
        </w:rPr>
      </w:pPr>
      <w:r w:rsidRPr="006F6AC5">
        <w:rPr>
          <w:rFonts w:ascii="Times" w:hAnsi="Times"/>
        </w:rPr>
        <w:lastRenderedPageBreak/>
        <w:t>REFERENCES</w:t>
      </w:r>
    </w:p>
    <w:p w14:paraId="4B77D020" w14:textId="77777777" w:rsidR="00B00FF0" w:rsidRPr="006F6AC5" w:rsidRDefault="00F35B18" w:rsidP="00B00FF0">
      <w:pPr>
        <w:pStyle w:val="ListParagraph"/>
        <w:numPr>
          <w:ilvl w:val="0"/>
          <w:numId w:val="1"/>
        </w:numPr>
        <w:tabs>
          <w:tab w:val="left" w:pos="284"/>
        </w:tabs>
        <w:spacing w:line="480" w:lineRule="auto"/>
        <w:ind w:left="426" w:hanging="426"/>
        <w:rPr>
          <w:rFonts w:ascii="Times" w:hAnsi="Times" w:cs="Arial"/>
        </w:rPr>
      </w:pPr>
      <w:r w:rsidRPr="006F6AC5">
        <w:rPr>
          <w:rFonts w:ascii="Times" w:hAnsi="Times"/>
        </w:rPr>
        <w:t>O'Donnell DE, Hernandez P, Kaplan A, Aaron S, Bourbeau J, Marciniuk D, Balter M, Ford G, Gervais A, Lacasse Y, Maltais F, Road J, Rocker G, Sin D, Sinuff T, Voduc N. Canadian Thoracic Society recommendations for management of chronic obstructive pulmonary disease - 2008 update - highlights for primary care. Can Respir J 2008;15 Suppl A:1A-8A.</w:t>
      </w:r>
    </w:p>
    <w:p w14:paraId="2554AE0D" w14:textId="0F3BF887" w:rsidR="00B00FF0" w:rsidRPr="006F6AC5" w:rsidRDefault="00B00FF0" w:rsidP="00B00FF0">
      <w:pPr>
        <w:pStyle w:val="ListParagraph"/>
        <w:numPr>
          <w:ilvl w:val="0"/>
          <w:numId w:val="1"/>
        </w:numPr>
        <w:tabs>
          <w:tab w:val="left" w:pos="284"/>
        </w:tabs>
        <w:spacing w:line="480" w:lineRule="auto"/>
        <w:ind w:left="426" w:hanging="426"/>
        <w:rPr>
          <w:rFonts w:ascii="Times" w:hAnsi="Times" w:cs="Arial"/>
        </w:rPr>
      </w:pPr>
      <w:r w:rsidRPr="006F6AC5">
        <w:rPr>
          <w:rFonts w:ascii="Times" w:hAnsi="Times"/>
        </w:rPr>
        <w:t>Hemming K, Haines TP, Chilton PJ, Girling AJ, Lilford RJ. The stepped wedge cluster randomized trial: rationale, design, analysis, and reporting. Br Med J 2015;350:h391.</w:t>
      </w:r>
    </w:p>
    <w:p w14:paraId="4C9EEE9F" w14:textId="77777777" w:rsidR="00F35B18" w:rsidRPr="006F6AC5" w:rsidRDefault="00F35B18" w:rsidP="00E50605">
      <w:pPr>
        <w:pStyle w:val="ListParagraph"/>
        <w:numPr>
          <w:ilvl w:val="0"/>
          <w:numId w:val="1"/>
        </w:numPr>
        <w:tabs>
          <w:tab w:val="left" w:pos="284"/>
        </w:tabs>
        <w:spacing w:line="480" w:lineRule="auto"/>
        <w:ind w:left="426" w:hanging="426"/>
        <w:rPr>
          <w:rFonts w:ascii="Times" w:hAnsi="Times" w:cs="Arial"/>
        </w:rPr>
      </w:pPr>
      <w:r w:rsidRPr="006F6AC5">
        <w:rPr>
          <w:rFonts w:ascii="Times" w:hAnsi="Times"/>
        </w:rPr>
        <w:t>Howe GR. Use of computerized record linkage in cohort studies. Epidemiol Rev 1998;20:112-21.</w:t>
      </w:r>
    </w:p>
    <w:p w14:paraId="08353510" w14:textId="77777777" w:rsidR="00F35B18" w:rsidRPr="006F6AC5" w:rsidRDefault="00F35B18" w:rsidP="00E50605">
      <w:pPr>
        <w:pStyle w:val="ListParagraph"/>
        <w:numPr>
          <w:ilvl w:val="0"/>
          <w:numId w:val="1"/>
        </w:numPr>
        <w:tabs>
          <w:tab w:val="left" w:pos="284"/>
        </w:tabs>
        <w:spacing w:line="480" w:lineRule="auto"/>
        <w:ind w:left="426" w:hanging="426"/>
        <w:rPr>
          <w:rFonts w:ascii="Times" w:hAnsi="Times" w:cs="Arial"/>
        </w:rPr>
      </w:pPr>
      <w:r w:rsidRPr="006F6AC5">
        <w:rPr>
          <w:rFonts w:ascii="Times" w:hAnsi="Times"/>
        </w:rPr>
        <w:t>Koenker R. Quantile Regression [computer program]. https://CRAN.R-project.org/package=quantreg. 2015.</w:t>
      </w:r>
    </w:p>
    <w:p w14:paraId="7C415E7B" w14:textId="77777777" w:rsidR="00F35B18" w:rsidRPr="006F6AC5" w:rsidRDefault="00F35B18" w:rsidP="00E50605">
      <w:pPr>
        <w:pStyle w:val="ListParagraph"/>
        <w:numPr>
          <w:ilvl w:val="0"/>
          <w:numId w:val="1"/>
        </w:numPr>
        <w:tabs>
          <w:tab w:val="left" w:pos="284"/>
        </w:tabs>
        <w:spacing w:line="480" w:lineRule="auto"/>
        <w:ind w:left="426" w:hanging="426"/>
        <w:rPr>
          <w:rFonts w:ascii="Times" w:hAnsi="Times" w:cs="Arial"/>
        </w:rPr>
      </w:pPr>
      <w:r w:rsidRPr="006F6AC5">
        <w:rPr>
          <w:rFonts w:ascii="Times" w:hAnsi="Times"/>
        </w:rPr>
        <w:t>Koenker R, Bassett Jr G. Regression quantiles. Econometrica: J Econom Soc 1978:33-50.</w:t>
      </w:r>
    </w:p>
    <w:p w14:paraId="72D2934F" w14:textId="77777777" w:rsidR="00F35B18" w:rsidRPr="006F6AC5" w:rsidRDefault="00F35B18" w:rsidP="00E50605">
      <w:pPr>
        <w:pStyle w:val="ListParagraph"/>
        <w:numPr>
          <w:ilvl w:val="0"/>
          <w:numId w:val="1"/>
        </w:numPr>
        <w:tabs>
          <w:tab w:val="left" w:pos="284"/>
        </w:tabs>
        <w:spacing w:line="480" w:lineRule="auto"/>
        <w:ind w:left="426" w:hanging="426"/>
        <w:rPr>
          <w:rFonts w:ascii="Times" w:hAnsi="Times" w:cs="Arial"/>
        </w:rPr>
      </w:pPr>
      <w:r w:rsidRPr="006F6AC5">
        <w:rPr>
          <w:rFonts w:ascii="Times" w:hAnsi="Times"/>
        </w:rPr>
        <w:t>Portnoy S, Koenker R. The gaussian hare and the laplacian tortoise: Computability of squared-error versus absolute-error estimators. Stat Sci 1997;12(4):279-300.</w:t>
      </w:r>
    </w:p>
    <w:p w14:paraId="728B8DE1" w14:textId="77777777" w:rsidR="00B00FF0" w:rsidRPr="006F6AC5" w:rsidRDefault="00F35B18" w:rsidP="00B00FF0">
      <w:pPr>
        <w:pStyle w:val="ListParagraph"/>
        <w:numPr>
          <w:ilvl w:val="0"/>
          <w:numId w:val="1"/>
        </w:numPr>
        <w:tabs>
          <w:tab w:val="left" w:pos="284"/>
        </w:tabs>
        <w:spacing w:line="480" w:lineRule="auto"/>
        <w:ind w:left="426" w:hanging="426"/>
        <w:rPr>
          <w:rFonts w:ascii="Times" w:hAnsi="Times" w:cs="Arial"/>
        </w:rPr>
      </w:pPr>
      <w:r w:rsidRPr="006F6AC5">
        <w:rPr>
          <w:rFonts w:ascii="Times" w:hAnsi="Times"/>
        </w:rPr>
        <w:t>Charlson ME, Pompei P, Ales KL, Mackenzie CR. A new method of classifying prognostic comorbidity in longitudinal studies: development and validation. J Chronic Dis 1987;40:373-83.</w:t>
      </w:r>
    </w:p>
    <w:p w14:paraId="6DB31A37" w14:textId="6ECEEA92" w:rsidR="00C842DA" w:rsidRPr="006F6AC5" w:rsidRDefault="00F35B18" w:rsidP="00B00FF0">
      <w:pPr>
        <w:pStyle w:val="ListParagraph"/>
        <w:numPr>
          <w:ilvl w:val="0"/>
          <w:numId w:val="1"/>
        </w:numPr>
        <w:tabs>
          <w:tab w:val="left" w:pos="284"/>
        </w:tabs>
        <w:spacing w:line="480" w:lineRule="auto"/>
        <w:ind w:left="426" w:hanging="426"/>
        <w:rPr>
          <w:rFonts w:ascii="Times" w:hAnsi="Times" w:cs="Arial"/>
        </w:rPr>
      </w:pPr>
      <w:r w:rsidRPr="006F6AC5">
        <w:rPr>
          <w:rFonts w:ascii="Times" w:hAnsi="Times"/>
        </w:rPr>
        <w:t>R: A language and environment for statistical computing [computer program]. Vienna, Austria: R Foundation for Statistical Computing; 2015.</w:t>
      </w:r>
    </w:p>
    <w:p w14:paraId="117D39B1" w14:textId="24724B43" w:rsidR="00695460" w:rsidRPr="009A4A77" w:rsidRDefault="00CC5265" w:rsidP="009A4A77">
      <w:pPr>
        <w:spacing w:after="0" w:line="480" w:lineRule="auto"/>
        <w:rPr>
          <w:rFonts w:ascii="Times" w:hAnsi="Times" w:cs="Arial"/>
        </w:rPr>
      </w:pPr>
      <w:bookmarkStart w:id="0" w:name="_GoBack"/>
      <w:bookmarkEnd w:id="0"/>
      <w:r w:rsidRPr="006F6AC5">
        <w:rPr>
          <w:rFonts w:ascii="Times" w:hAnsi="Times" w:cs="Arial"/>
        </w:rPr>
        <w:t>.</w:t>
      </w:r>
      <w:r w:rsidR="00695460" w:rsidRPr="006F6AC5">
        <w:rPr>
          <w:rFonts w:ascii="Times" w:hAnsi="Times" w:cs="Arial"/>
        </w:rPr>
        <w:br w:type="page"/>
      </w:r>
    </w:p>
    <w:p w14:paraId="0C1B01A9" w14:textId="44BCECC7" w:rsidR="00695460" w:rsidRPr="006F6AC5" w:rsidRDefault="00695460" w:rsidP="00E50605">
      <w:pPr>
        <w:spacing w:line="480" w:lineRule="auto"/>
        <w:rPr>
          <w:rFonts w:ascii="Times" w:hAnsi="Times" w:cs="Arial"/>
          <w:b/>
        </w:rPr>
      </w:pPr>
      <w:r w:rsidRPr="006F6AC5">
        <w:rPr>
          <w:rFonts w:ascii="Times" w:hAnsi="Times" w:cs="Arial"/>
          <w:b/>
        </w:rPr>
        <w:lastRenderedPageBreak/>
        <w:t>TABLES</w:t>
      </w:r>
    </w:p>
    <w:p w14:paraId="184395C3" w14:textId="15463CC1" w:rsidR="00DE47DB" w:rsidRPr="006F6AC5" w:rsidRDefault="0007386B" w:rsidP="00E50605">
      <w:pPr>
        <w:spacing w:after="0" w:line="480" w:lineRule="auto"/>
        <w:rPr>
          <w:rFonts w:ascii="Times" w:hAnsi="Times" w:cs="Arial"/>
        </w:rPr>
      </w:pPr>
      <w:r w:rsidRPr="006F6AC5">
        <w:rPr>
          <w:rFonts w:ascii="Times" w:hAnsi="Times" w:cs="Arial"/>
        </w:rPr>
        <w:t xml:space="preserve">Table </w:t>
      </w:r>
      <w:r w:rsidR="00840AAE">
        <w:rPr>
          <w:rFonts w:ascii="Times" w:hAnsi="Times" w:cs="Arial"/>
        </w:rPr>
        <w:t>E</w:t>
      </w:r>
      <w:r w:rsidR="006F6AC5" w:rsidRPr="006F6AC5">
        <w:rPr>
          <w:rFonts w:ascii="Times" w:hAnsi="Times" w:cs="Arial"/>
        </w:rPr>
        <w:t>1</w:t>
      </w:r>
      <w:r w:rsidR="00DE47DB" w:rsidRPr="006F6AC5">
        <w:rPr>
          <w:rFonts w:ascii="Times" w:hAnsi="Times" w:cs="Arial"/>
        </w:rPr>
        <w:t>: Regression Analysis for Readmissions</w:t>
      </w:r>
    </w:p>
    <w:p w14:paraId="73D525AA" w14:textId="77777777" w:rsidR="00C8190C" w:rsidRPr="006F6AC5" w:rsidRDefault="00C8190C" w:rsidP="00E50605">
      <w:pPr>
        <w:spacing w:after="0" w:line="480" w:lineRule="auto"/>
        <w:rPr>
          <w:rFonts w:ascii="Times" w:hAnsi="Times" w:cs="Arial"/>
        </w:rPr>
      </w:pPr>
    </w:p>
    <w:tbl>
      <w:tblPr>
        <w:tblW w:w="9127" w:type="dxa"/>
        <w:tblInd w:w="221" w:type="dxa"/>
        <w:tblLook w:val="04A0" w:firstRow="1" w:lastRow="0" w:firstColumn="1" w:lastColumn="0" w:noHBand="0" w:noVBand="1"/>
      </w:tblPr>
      <w:tblGrid>
        <w:gridCol w:w="2891"/>
        <w:gridCol w:w="3118"/>
        <w:gridCol w:w="3118"/>
      </w:tblGrid>
      <w:tr w:rsidR="00D85DFB" w:rsidRPr="006F6AC5" w14:paraId="2CB799A4" w14:textId="77777777" w:rsidTr="00AC7EA4">
        <w:trPr>
          <w:trHeight w:val="57"/>
        </w:trPr>
        <w:tc>
          <w:tcPr>
            <w:tcW w:w="289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312E411" w14:textId="77777777" w:rsidR="00C8190C" w:rsidRPr="006F6AC5" w:rsidRDefault="00C8190C" w:rsidP="00E50605">
            <w:pPr>
              <w:spacing w:after="0" w:line="480" w:lineRule="auto"/>
              <w:rPr>
                <w:rFonts w:ascii="Times" w:eastAsia="Times New Roman" w:hAnsi="Times" w:cs="Arial"/>
                <w:b/>
                <w:bCs/>
                <w:color w:val="000000"/>
              </w:rPr>
            </w:pPr>
          </w:p>
        </w:tc>
        <w:tc>
          <w:tcPr>
            <w:tcW w:w="3118" w:type="dxa"/>
            <w:tcBorders>
              <w:top w:val="single" w:sz="4" w:space="0" w:color="auto"/>
              <w:left w:val="nil"/>
              <w:right w:val="single" w:sz="4" w:space="0" w:color="auto"/>
            </w:tcBorders>
            <w:shd w:val="clear" w:color="000000" w:fill="D9D9D9"/>
            <w:noWrap/>
            <w:vAlign w:val="center"/>
            <w:hideMark/>
          </w:tcPr>
          <w:p w14:paraId="16C43D04" w14:textId="77777777" w:rsidR="00C8190C" w:rsidRPr="006F6AC5" w:rsidRDefault="00C8190C" w:rsidP="00E50605">
            <w:pPr>
              <w:spacing w:after="0" w:line="480" w:lineRule="auto"/>
              <w:jc w:val="center"/>
              <w:rPr>
                <w:rFonts w:ascii="Times" w:eastAsia="Times New Roman" w:hAnsi="Times" w:cs="Arial"/>
                <w:b/>
                <w:bCs/>
                <w:color w:val="000000"/>
              </w:rPr>
            </w:pPr>
            <w:r w:rsidRPr="006F6AC5">
              <w:rPr>
                <w:rFonts w:ascii="Times" w:eastAsia="Times New Roman" w:hAnsi="Times" w:cs="Arial"/>
                <w:b/>
                <w:bCs/>
                <w:color w:val="000000"/>
              </w:rPr>
              <w:t>Post vs. Pre-Implementation</w:t>
            </w:r>
          </w:p>
        </w:tc>
        <w:tc>
          <w:tcPr>
            <w:tcW w:w="3118" w:type="dxa"/>
            <w:tcBorders>
              <w:top w:val="single" w:sz="4" w:space="0" w:color="auto"/>
              <w:left w:val="nil"/>
              <w:bottom w:val="single" w:sz="4" w:space="0" w:color="auto"/>
              <w:right w:val="single" w:sz="4" w:space="0" w:color="auto"/>
            </w:tcBorders>
            <w:shd w:val="clear" w:color="000000" w:fill="D9D9D9"/>
            <w:noWrap/>
            <w:vAlign w:val="center"/>
            <w:hideMark/>
          </w:tcPr>
          <w:p w14:paraId="016577F5" w14:textId="77777777" w:rsidR="00C8190C" w:rsidRPr="006F6AC5" w:rsidRDefault="00C8190C" w:rsidP="00E50605">
            <w:pPr>
              <w:spacing w:after="0" w:line="480" w:lineRule="auto"/>
              <w:jc w:val="center"/>
              <w:rPr>
                <w:rFonts w:ascii="Times" w:eastAsia="Times New Roman" w:hAnsi="Times" w:cs="Arial"/>
                <w:b/>
                <w:bCs/>
                <w:color w:val="000000"/>
              </w:rPr>
            </w:pPr>
            <w:r w:rsidRPr="006F6AC5">
              <w:rPr>
                <w:rFonts w:ascii="Times" w:eastAsia="Times New Roman" w:hAnsi="Times" w:cs="Arial"/>
                <w:b/>
                <w:bCs/>
                <w:color w:val="000000"/>
              </w:rPr>
              <w:t>Order Set vs. No Order Set</w:t>
            </w:r>
          </w:p>
        </w:tc>
      </w:tr>
      <w:tr w:rsidR="0072007D" w:rsidRPr="006F6AC5" w14:paraId="02AA76FF" w14:textId="77777777" w:rsidTr="00AC7EA4">
        <w:trPr>
          <w:trHeight w:val="57"/>
        </w:trPr>
        <w:tc>
          <w:tcPr>
            <w:tcW w:w="289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A8E05CB" w14:textId="77777777" w:rsidR="00C8190C" w:rsidRPr="006F6AC5" w:rsidRDefault="00C8190C" w:rsidP="00E50605">
            <w:pPr>
              <w:spacing w:after="0" w:line="480" w:lineRule="auto"/>
              <w:rPr>
                <w:rFonts w:ascii="Times" w:eastAsia="Times New Roman" w:hAnsi="Times" w:cs="Arial"/>
                <w:b/>
                <w:bCs/>
                <w:color w:val="000000"/>
              </w:rPr>
            </w:pPr>
            <w:r w:rsidRPr="006F6AC5">
              <w:rPr>
                <w:rFonts w:ascii="Times" w:eastAsia="Times New Roman" w:hAnsi="Times" w:cs="Arial"/>
                <w:b/>
                <w:bCs/>
                <w:color w:val="000000"/>
              </w:rPr>
              <w:t>30-day Readmission</w:t>
            </w:r>
          </w:p>
        </w:tc>
        <w:tc>
          <w:tcPr>
            <w:tcW w:w="3118" w:type="dxa"/>
            <w:tcBorders>
              <w:top w:val="single" w:sz="4" w:space="0" w:color="auto"/>
              <w:left w:val="nil"/>
              <w:bottom w:val="single" w:sz="4" w:space="0" w:color="auto"/>
              <w:right w:val="single" w:sz="4" w:space="0" w:color="auto"/>
            </w:tcBorders>
            <w:shd w:val="clear" w:color="auto" w:fill="auto"/>
            <w:vAlign w:val="center"/>
            <w:hideMark/>
          </w:tcPr>
          <w:p w14:paraId="5580FA39" w14:textId="77777777" w:rsidR="00C8190C" w:rsidRPr="006F6AC5" w:rsidRDefault="00C8190C" w:rsidP="00E50605">
            <w:pPr>
              <w:spacing w:after="0" w:line="480" w:lineRule="auto"/>
              <w:jc w:val="center"/>
              <w:rPr>
                <w:rFonts w:ascii="Times" w:eastAsia="Times New Roman" w:hAnsi="Times" w:cs="Arial"/>
                <w:color w:val="000000"/>
              </w:rPr>
            </w:pP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500C4B1D" w14:textId="77777777" w:rsidR="00C8190C" w:rsidRPr="006F6AC5" w:rsidRDefault="00C8190C" w:rsidP="00E50605">
            <w:pPr>
              <w:spacing w:after="0" w:line="480" w:lineRule="auto"/>
              <w:jc w:val="center"/>
              <w:rPr>
                <w:rFonts w:ascii="Times" w:eastAsia="Times New Roman" w:hAnsi="Times" w:cs="Arial"/>
                <w:color w:val="000000"/>
              </w:rPr>
            </w:pPr>
          </w:p>
        </w:tc>
      </w:tr>
      <w:tr w:rsidR="00D85DFB" w:rsidRPr="006F6AC5" w14:paraId="31AA0F0C" w14:textId="77777777" w:rsidTr="00AC7EA4">
        <w:trPr>
          <w:trHeight w:val="57"/>
        </w:trPr>
        <w:tc>
          <w:tcPr>
            <w:tcW w:w="2891" w:type="dxa"/>
            <w:tcBorders>
              <w:top w:val="single" w:sz="4" w:space="0" w:color="auto"/>
              <w:left w:val="single" w:sz="4" w:space="0" w:color="auto"/>
              <w:bottom w:val="single" w:sz="4" w:space="0" w:color="auto"/>
              <w:right w:val="nil"/>
            </w:tcBorders>
            <w:shd w:val="clear" w:color="auto" w:fill="D9D9D9" w:themeFill="background1" w:themeFillShade="D9"/>
            <w:vAlign w:val="center"/>
            <w:hideMark/>
          </w:tcPr>
          <w:p w14:paraId="60A3D7D9" w14:textId="77777777" w:rsidR="00C8190C" w:rsidRPr="006F6AC5" w:rsidRDefault="00C8190C" w:rsidP="00E50605">
            <w:pPr>
              <w:spacing w:after="0" w:line="480" w:lineRule="auto"/>
              <w:ind w:left="234"/>
              <w:rPr>
                <w:rFonts w:ascii="Times" w:eastAsia="Times New Roman" w:hAnsi="Times" w:cs="Arial"/>
                <w:b/>
                <w:bCs/>
                <w:color w:val="000000"/>
              </w:rPr>
            </w:pPr>
            <w:r w:rsidRPr="006F6AC5">
              <w:rPr>
                <w:rFonts w:ascii="Times" w:eastAsia="Times New Roman" w:hAnsi="Times" w:cs="Arial"/>
                <w:b/>
                <w:bCs/>
                <w:color w:val="000000"/>
              </w:rPr>
              <w:t>Crude OR (95% CI)</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9C770E" w14:textId="77777777" w:rsidR="00C8190C" w:rsidRPr="006F6AC5" w:rsidRDefault="00C8190C" w:rsidP="00E50605">
            <w:pPr>
              <w:spacing w:after="0" w:line="480" w:lineRule="auto"/>
              <w:jc w:val="center"/>
              <w:rPr>
                <w:rFonts w:ascii="Times" w:eastAsia="Times New Roman" w:hAnsi="Times" w:cs="Arial"/>
                <w:bCs/>
                <w:color w:val="000000"/>
              </w:rPr>
            </w:pPr>
            <w:r w:rsidRPr="006F6AC5">
              <w:rPr>
                <w:rFonts w:ascii="Times" w:eastAsia="Times New Roman" w:hAnsi="Times" w:cs="Arial"/>
                <w:bCs/>
                <w:color w:val="000000"/>
              </w:rPr>
              <w:t>1.29 (0.93,1.63)</w:t>
            </w:r>
          </w:p>
        </w:tc>
        <w:tc>
          <w:tcPr>
            <w:tcW w:w="3118" w:type="dxa"/>
            <w:tcBorders>
              <w:top w:val="single" w:sz="4" w:space="0" w:color="auto"/>
              <w:left w:val="nil"/>
              <w:bottom w:val="single" w:sz="4" w:space="0" w:color="auto"/>
              <w:right w:val="single" w:sz="4" w:space="0" w:color="auto"/>
            </w:tcBorders>
            <w:shd w:val="clear" w:color="auto" w:fill="auto"/>
            <w:vAlign w:val="center"/>
          </w:tcPr>
          <w:p w14:paraId="759008AF" w14:textId="77777777" w:rsidR="00C8190C" w:rsidRPr="006F6AC5" w:rsidRDefault="00C8190C" w:rsidP="00E50605">
            <w:pPr>
              <w:spacing w:after="0" w:line="480" w:lineRule="auto"/>
              <w:jc w:val="center"/>
              <w:rPr>
                <w:rFonts w:ascii="Times" w:eastAsia="Times New Roman" w:hAnsi="Times" w:cs="Arial"/>
                <w:bCs/>
                <w:color w:val="000000"/>
              </w:rPr>
            </w:pPr>
            <w:r w:rsidRPr="006F6AC5">
              <w:rPr>
                <w:rFonts w:ascii="Times" w:eastAsia="Times New Roman" w:hAnsi="Times" w:cs="Arial"/>
                <w:color w:val="000000"/>
              </w:rPr>
              <w:t>1.08 (0.8,1.45)</w:t>
            </w:r>
          </w:p>
        </w:tc>
      </w:tr>
      <w:tr w:rsidR="00C8190C" w:rsidRPr="006F6AC5" w14:paraId="6E6AF11D" w14:textId="77777777" w:rsidTr="00AC7EA4">
        <w:trPr>
          <w:trHeight w:val="57"/>
        </w:trPr>
        <w:tc>
          <w:tcPr>
            <w:tcW w:w="289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410015F" w14:textId="77777777" w:rsidR="00C8190C" w:rsidRPr="006F6AC5" w:rsidRDefault="00C8190C" w:rsidP="00E50605">
            <w:pPr>
              <w:spacing w:after="0" w:line="480" w:lineRule="auto"/>
              <w:ind w:left="234"/>
              <w:rPr>
                <w:rFonts w:ascii="Times" w:eastAsia="Times New Roman" w:hAnsi="Times" w:cs="Arial"/>
                <w:b/>
                <w:bCs/>
                <w:color w:val="000000"/>
              </w:rPr>
            </w:pPr>
            <w:r w:rsidRPr="006F6AC5">
              <w:rPr>
                <w:rFonts w:ascii="Times" w:eastAsia="Times New Roman" w:hAnsi="Times" w:cs="Arial"/>
                <w:b/>
                <w:bCs/>
                <w:color w:val="000000"/>
              </w:rPr>
              <w:t>Adjusted OR (95% CI)</w:t>
            </w:r>
          </w:p>
        </w:tc>
        <w:tc>
          <w:tcPr>
            <w:tcW w:w="3118" w:type="dxa"/>
            <w:tcBorders>
              <w:top w:val="single" w:sz="4" w:space="0" w:color="auto"/>
              <w:left w:val="nil"/>
              <w:bottom w:val="single" w:sz="4" w:space="0" w:color="auto"/>
              <w:right w:val="single" w:sz="4" w:space="0" w:color="auto"/>
            </w:tcBorders>
            <w:shd w:val="clear" w:color="auto" w:fill="auto"/>
            <w:vAlign w:val="center"/>
            <w:hideMark/>
          </w:tcPr>
          <w:p w14:paraId="55117453" w14:textId="77777777" w:rsidR="00C8190C" w:rsidRPr="006F6AC5" w:rsidRDefault="00C8190C" w:rsidP="00E50605">
            <w:pPr>
              <w:spacing w:after="0" w:line="480" w:lineRule="auto"/>
              <w:jc w:val="center"/>
              <w:rPr>
                <w:rFonts w:ascii="Times" w:eastAsia="Times New Roman" w:hAnsi="Times" w:cs="Arial"/>
                <w:color w:val="000000"/>
              </w:rPr>
            </w:pPr>
            <w:r w:rsidRPr="006F6AC5">
              <w:rPr>
                <w:rFonts w:ascii="Times" w:eastAsia="Times New Roman" w:hAnsi="Times" w:cs="Arial"/>
                <w:color w:val="000000"/>
              </w:rPr>
              <w:t>1.16 (0.87,1.55)</w:t>
            </w:r>
          </w:p>
        </w:tc>
        <w:tc>
          <w:tcPr>
            <w:tcW w:w="3118" w:type="dxa"/>
            <w:tcBorders>
              <w:top w:val="single" w:sz="4" w:space="0" w:color="auto"/>
              <w:left w:val="nil"/>
              <w:bottom w:val="single" w:sz="4" w:space="0" w:color="auto"/>
              <w:right w:val="single" w:sz="4" w:space="0" w:color="auto"/>
            </w:tcBorders>
            <w:shd w:val="clear" w:color="auto" w:fill="auto"/>
            <w:vAlign w:val="center"/>
          </w:tcPr>
          <w:p w14:paraId="19A873B0" w14:textId="77777777" w:rsidR="00C8190C" w:rsidRPr="006F6AC5" w:rsidRDefault="00C8190C" w:rsidP="00E50605">
            <w:pPr>
              <w:spacing w:after="0" w:line="480" w:lineRule="auto"/>
              <w:jc w:val="center"/>
              <w:rPr>
                <w:rFonts w:ascii="Times" w:eastAsia="Times New Roman" w:hAnsi="Times" w:cs="Arial"/>
                <w:color w:val="000000"/>
              </w:rPr>
            </w:pPr>
            <w:r w:rsidRPr="006F6AC5">
              <w:rPr>
                <w:rFonts w:ascii="Times" w:eastAsia="Times New Roman" w:hAnsi="Times" w:cs="Arial"/>
                <w:color w:val="000000"/>
              </w:rPr>
              <w:t>1.17 (0.87,1.59)</w:t>
            </w:r>
          </w:p>
        </w:tc>
      </w:tr>
      <w:tr w:rsidR="00C8190C" w:rsidRPr="006F6AC5" w14:paraId="7C5697EE" w14:textId="77777777" w:rsidTr="00AC7EA4">
        <w:trPr>
          <w:trHeight w:val="57"/>
        </w:trPr>
        <w:tc>
          <w:tcPr>
            <w:tcW w:w="289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B0DEFF" w14:textId="77777777" w:rsidR="00C8190C" w:rsidRPr="006F6AC5" w:rsidRDefault="00C8190C" w:rsidP="00E50605">
            <w:pPr>
              <w:spacing w:after="0" w:line="480" w:lineRule="auto"/>
              <w:rPr>
                <w:rFonts w:ascii="Times" w:eastAsia="Times New Roman" w:hAnsi="Times" w:cs="Arial"/>
                <w:b/>
                <w:bCs/>
                <w:color w:val="000000"/>
              </w:rPr>
            </w:pPr>
            <w:r w:rsidRPr="006F6AC5">
              <w:rPr>
                <w:rFonts w:ascii="Times" w:eastAsia="Times New Roman" w:hAnsi="Times" w:cs="Arial"/>
                <w:b/>
                <w:bCs/>
                <w:color w:val="000000"/>
              </w:rPr>
              <w:t>30-day ED visit</w:t>
            </w:r>
          </w:p>
        </w:tc>
        <w:tc>
          <w:tcPr>
            <w:tcW w:w="3118" w:type="dxa"/>
            <w:tcBorders>
              <w:top w:val="single" w:sz="4" w:space="0" w:color="auto"/>
              <w:left w:val="nil"/>
              <w:bottom w:val="single" w:sz="4" w:space="0" w:color="auto"/>
              <w:right w:val="single" w:sz="4" w:space="0" w:color="auto"/>
            </w:tcBorders>
            <w:shd w:val="clear" w:color="auto" w:fill="auto"/>
            <w:vAlign w:val="center"/>
          </w:tcPr>
          <w:p w14:paraId="7767A10B" w14:textId="77777777" w:rsidR="00C8190C" w:rsidRPr="006F6AC5" w:rsidRDefault="00C8190C" w:rsidP="00E50605">
            <w:pPr>
              <w:spacing w:after="0" w:line="480" w:lineRule="auto"/>
              <w:jc w:val="center"/>
              <w:rPr>
                <w:rFonts w:ascii="Times" w:eastAsia="Times New Roman" w:hAnsi="Times" w:cs="Arial"/>
                <w:color w:val="000000"/>
              </w:rPr>
            </w:pPr>
          </w:p>
        </w:tc>
        <w:tc>
          <w:tcPr>
            <w:tcW w:w="3118" w:type="dxa"/>
            <w:tcBorders>
              <w:top w:val="single" w:sz="4" w:space="0" w:color="auto"/>
              <w:left w:val="nil"/>
              <w:bottom w:val="single" w:sz="4" w:space="0" w:color="auto"/>
              <w:right w:val="single" w:sz="4" w:space="0" w:color="auto"/>
            </w:tcBorders>
            <w:shd w:val="clear" w:color="auto" w:fill="auto"/>
            <w:vAlign w:val="center"/>
          </w:tcPr>
          <w:p w14:paraId="5D9A1CFA" w14:textId="77777777" w:rsidR="00C8190C" w:rsidRPr="006F6AC5" w:rsidRDefault="00C8190C" w:rsidP="00E50605">
            <w:pPr>
              <w:spacing w:after="0" w:line="480" w:lineRule="auto"/>
              <w:jc w:val="center"/>
              <w:rPr>
                <w:rFonts w:ascii="Times" w:eastAsia="Times New Roman" w:hAnsi="Times" w:cs="Arial"/>
                <w:color w:val="000000"/>
              </w:rPr>
            </w:pPr>
          </w:p>
        </w:tc>
      </w:tr>
      <w:tr w:rsidR="00C8190C" w:rsidRPr="006F6AC5" w14:paraId="79F721EA" w14:textId="77777777" w:rsidTr="00AC7EA4">
        <w:trPr>
          <w:trHeight w:val="57"/>
        </w:trPr>
        <w:tc>
          <w:tcPr>
            <w:tcW w:w="289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0F81FE" w14:textId="77777777" w:rsidR="00C8190C" w:rsidRPr="006F6AC5" w:rsidRDefault="00C8190C" w:rsidP="00E50605">
            <w:pPr>
              <w:spacing w:after="0" w:line="480" w:lineRule="auto"/>
              <w:ind w:left="234"/>
              <w:rPr>
                <w:rFonts w:ascii="Times" w:eastAsia="Times New Roman" w:hAnsi="Times" w:cs="Arial"/>
                <w:b/>
                <w:bCs/>
                <w:color w:val="000000"/>
              </w:rPr>
            </w:pPr>
            <w:r w:rsidRPr="006F6AC5">
              <w:rPr>
                <w:rFonts w:ascii="Times" w:eastAsia="Times New Roman" w:hAnsi="Times" w:cs="Arial"/>
                <w:b/>
                <w:bCs/>
                <w:color w:val="000000"/>
              </w:rPr>
              <w:t>Crude OR (95% CI)</w:t>
            </w:r>
          </w:p>
        </w:tc>
        <w:tc>
          <w:tcPr>
            <w:tcW w:w="3118" w:type="dxa"/>
            <w:tcBorders>
              <w:top w:val="single" w:sz="4" w:space="0" w:color="auto"/>
              <w:left w:val="nil"/>
              <w:bottom w:val="single" w:sz="4" w:space="0" w:color="auto"/>
              <w:right w:val="single" w:sz="4" w:space="0" w:color="auto"/>
            </w:tcBorders>
            <w:shd w:val="clear" w:color="auto" w:fill="auto"/>
            <w:vAlign w:val="center"/>
          </w:tcPr>
          <w:p w14:paraId="6AFAC2EA" w14:textId="77777777" w:rsidR="00C8190C" w:rsidRPr="006F6AC5" w:rsidRDefault="00C8190C" w:rsidP="00E50605">
            <w:pPr>
              <w:spacing w:after="0" w:line="480" w:lineRule="auto"/>
              <w:jc w:val="center"/>
              <w:rPr>
                <w:rFonts w:ascii="Times" w:eastAsia="Times New Roman" w:hAnsi="Times" w:cs="Arial"/>
                <w:color w:val="000000"/>
              </w:rPr>
            </w:pPr>
            <w:r w:rsidRPr="006F6AC5">
              <w:rPr>
                <w:rFonts w:ascii="Times" w:eastAsia="Times New Roman" w:hAnsi="Times" w:cs="Arial"/>
                <w:bCs/>
                <w:color w:val="000000"/>
              </w:rPr>
              <w:t>1.03 (0.8,1.33)</w:t>
            </w:r>
          </w:p>
        </w:tc>
        <w:tc>
          <w:tcPr>
            <w:tcW w:w="3118" w:type="dxa"/>
            <w:tcBorders>
              <w:top w:val="single" w:sz="4" w:space="0" w:color="auto"/>
              <w:left w:val="nil"/>
              <w:bottom w:val="single" w:sz="4" w:space="0" w:color="auto"/>
              <w:right w:val="single" w:sz="4" w:space="0" w:color="auto"/>
            </w:tcBorders>
            <w:shd w:val="clear" w:color="auto" w:fill="auto"/>
            <w:vAlign w:val="center"/>
          </w:tcPr>
          <w:p w14:paraId="31147C73" w14:textId="77777777" w:rsidR="00C8190C" w:rsidRPr="006F6AC5" w:rsidRDefault="00C8190C" w:rsidP="00E50605">
            <w:pPr>
              <w:spacing w:after="0" w:line="480" w:lineRule="auto"/>
              <w:jc w:val="center"/>
              <w:rPr>
                <w:rFonts w:ascii="Times" w:eastAsia="Times New Roman" w:hAnsi="Times" w:cs="Arial"/>
                <w:color w:val="000000"/>
              </w:rPr>
            </w:pPr>
            <w:r w:rsidRPr="006F6AC5">
              <w:rPr>
                <w:rFonts w:ascii="Times" w:eastAsia="Times New Roman" w:hAnsi="Times" w:cs="Arial"/>
                <w:bCs/>
                <w:color w:val="000000"/>
              </w:rPr>
              <w:t>1.08 (0.8,1.42)</w:t>
            </w:r>
          </w:p>
        </w:tc>
      </w:tr>
      <w:tr w:rsidR="00C8190C" w:rsidRPr="006F6AC5" w14:paraId="6B6D8418" w14:textId="77777777" w:rsidTr="00AC7EA4">
        <w:trPr>
          <w:trHeight w:val="57"/>
        </w:trPr>
        <w:tc>
          <w:tcPr>
            <w:tcW w:w="289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8DCFB8E" w14:textId="77777777" w:rsidR="00C8190C" w:rsidRPr="006F6AC5" w:rsidRDefault="00C8190C" w:rsidP="00E50605">
            <w:pPr>
              <w:spacing w:after="0" w:line="480" w:lineRule="auto"/>
              <w:ind w:left="234"/>
              <w:rPr>
                <w:rFonts w:ascii="Times" w:eastAsia="Times New Roman" w:hAnsi="Times" w:cs="Arial"/>
                <w:b/>
                <w:bCs/>
                <w:color w:val="000000"/>
              </w:rPr>
            </w:pPr>
            <w:r w:rsidRPr="006F6AC5">
              <w:rPr>
                <w:rFonts w:ascii="Times" w:eastAsia="Times New Roman" w:hAnsi="Times" w:cs="Arial"/>
                <w:b/>
                <w:bCs/>
                <w:color w:val="000000"/>
              </w:rPr>
              <w:t>Adjusted OR (95% CI)</w:t>
            </w:r>
          </w:p>
        </w:tc>
        <w:tc>
          <w:tcPr>
            <w:tcW w:w="3118" w:type="dxa"/>
            <w:tcBorders>
              <w:top w:val="single" w:sz="4" w:space="0" w:color="auto"/>
              <w:left w:val="nil"/>
              <w:bottom w:val="single" w:sz="4" w:space="0" w:color="auto"/>
              <w:right w:val="single" w:sz="4" w:space="0" w:color="auto"/>
            </w:tcBorders>
            <w:shd w:val="clear" w:color="auto" w:fill="auto"/>
            <w:vAlign w:val="center"/>
          </w:tcPr>
          <w:p w14:paraId="70AB3FA3" w14:textId="77777777" w:rsidR="00C8190C" w:rsidRPr="006F6AC5" w:rsidRDefault="00C8190C" w:rsidP="00E50605">
            <w:pPr>
              <w:spacing w:after="0" w:line="480" w:lineRule="auto"/>
              <w:jc w:val="center"/>
              <w:rPr>
                <w:rFonts w:ascii="Times" w:eastAsia="Times New Roman" w:hAnsi="Times" w:cs="Arial"/>
                <w:color w:val="000000"/>
              </w:rPr>
            </w:pPr>
            <w:r w:rsidRPr="006F6AC5">
              <w:rPr>
                <w:rFonts w:ascii="Times" w:eastAsia="Times New Roman" w:hAnsi="Times" w:cs="Arial"/>
                <w:color w:val="000000"/>
              </w:rPr>
              <w:t>1.03 (0.8,1.34)</w:t>
            </w:r>
          </w:p>
        </w:tc>
        <w:tc>
          <w:tcPr>
            <w:tcW w:w="3118" w:type="dxa"/>
            <w:tcBorders>
              <w:top w:val="single" w:sz="4" w:space="0" w:color="auto"/>
              <w:left w:val="nil"/>
              <w:bottom w:val="single" w:sz="4" w:space="0" w:color="auto"/>
              <w:right w:val="single" w:sz="4" w:space="0" w:color="auto"/>
            </w:tcBorders>
            <w:shd w:val="clear" w:color="auto" w:fill="auto"/>
            <w:vAlign w:val="center"/>
          </w:tcPr>
          <w:p w14:paraId="74B5543C" w14:textId="77777777" w:rsidR="00C8190C" w:rsidRPr="006F6AC5" w:rsidRDefault="00C8190C" w:rsidP="00E50605">
            <w:pPr>
              <w:spacing w:after="0" w:line="480" w:lineRule="auto"/>
              <w:jc w:val="center"/>
              <w:rPr>
                <w:rFonts w:ascii="Times" w:eastAsia="Times New Roman" w:hAnsi="Times" w:cs="Arial"/>
                <w:color w:val="000000"/>
              </w:rPr>
            </w:pPr>
            <w:r w:rsidRPr="006F6AC5">
              <w:rPr>
                <w:rFonts w:ascii="Times" w:eastAsia="Times New Roman" w:hAnsi="Times" w:cs="Arial"/>
                <w:color w:val="000000"/>
              </w:rPr>
              <w:t>1.07 (0.82,1.41)</w:t>
            </w:r>
          </w:p>
        </w:tc>
      </w:tr>
    </w:tbl>
    <w:p w14:paraId="63718820" w14:textId="77777777" w:rsidR="004170A2" w:rsidRPr="006F6AC5" w:rsidRDefault="0072007D" w:rsidP="00E50605">
      <w:pPr>
        <w:spacing w:after="0" w:line="480" w:lineRule="auto"/>
        <w:rPr>
          <w:rFonts w:ascii="Times" w:hAnsi="Times" w:cs="Arial"/>
        </w:rPr>
      </w:pPr>
      <w:r w:rsidRPr="006F6AC5">
        <w:rPr>
          <w:rFonts w:ascii="Times" w:hAnsi="Times" w:cs="Arial"/>
        </w:rPr>
        <w:t xml:space="preserve">OR = odds ratio; </w:t>
      </w:r>
      <w:r w:rsidR="004170A2" w:rsidRPr="006F6AC5">
        <w:rPr>
          <w:rFonts w:ascii="Times" w:hAnsi="Times" w:cs="Arial"/>
        </w:rPr>
        <w:t>CI = confidence interval</w:t>
      </w:r>
    </w:p>
    <w:p w14:paraId="4B76B814" w14:textId="5EED1512" w:rsidR="0029134B" w:rsidRPr="006F6AC5" w:rsidRDefault="0029134B" w:rsidP="00E50605">
      <w:pPr>
        <w:spacing w:after="0" w:line="480" w:lineRule="auto"/>
        <w:rPr>
          <w:rFonts w:ascii="Times" w:hAnsi="Times" w:cs="Arial"/>
        </w:rPr>
      </w:pPr>
    </w:p>
    <w:sectPr w:rsidR="0029134B" w:rsidRPr="006F6AC5" w:rsidSect="00DE47DB">
      <w:headerReference w:type="default" r:id="rId9"/>
      <w:pgSz w:w="12240" w:h="15840"/>
      <w:pgMar w:top="1418" w:right="1418" w:bottom="1418" w:left="1418"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762FE2" w14:textId="77777777" w:rsidR="00D527A6" w:rsidRDefault="00D527A6" w:rsidP="005F105E">
      <w:pPr>
        <w:spacing w:after="0"/>
      </w:pPr>
      <w:r>
        <w:separator/>
      </w:r>
    </w:p>
  </w:endnote>
  <w:endnote w:type="continuationSeparator" w:id="0">
    <w:p w14:paraId="43C93424" w14:textId="77777777" w:rsidR="00D527A6" w:rsidRDefault="00D527A6" w:rsidP="005F105E">
      <w:pPr>
        <w:spacing w:after="0"/>
      </w:pPr>
      <w:r>
        <w:continuationSeparator/>
      </w:r>
    </w:p>
  </w:endnote>
  <w:endnote w:type="continuationNotice" w:id="1">
    <w:p w14:paraId="3656E390" w14:textId="77777777" w:rsidR="00D527A6" w:rsidRDefault="00D527A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26E8A1" w14:textId="77777777" w:rsidR="00D527A6" w:rsidRDefault="00D527A6" w:rsidP="005F105E">
      <w:pPr>
        <w:spacing w:after="0"/>
      </w:pPr>
      <w:r>
        <w:separator/>
      </w:r>
    </w:p>
  </w:footnote>
  <w:footnote w:type="continuationSeparator" w:id="0">
    <w:p w14:paraId="489DEC04" w14:textId="77777777" w:rsidR="00D527A6" w:rsidRDefault="00D527A6" w:rsidP="005F105E">
      <w:pPr>
        <w:spacing w:after="0"/>
      </w:pPr>
      <w:r>
        <w:continuationSeparator/>
      </w:r>
    </w:p>
  </w:footnote>
  <w:footnote w:type="continuationNotice" w:id="1">
    <w:p w14:paraId="1E2757D5" w14:textId="77777777" w:rsidR="00D527A6" w:rsidRDefault="00D527A6">
      <w:pPr>
        <w:spacing w:after="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913B24" w14:textId="77777777" w:rsidR="0029134B" w:rsidRDefault="0029134B">
    <w:pPr>
      <w:pStyle w:val="Header"/>
    </w:pPr>
  </w:p>
  <w:p w14:paraId="7F969AE2" w14:textId="77777777" w:rsidR="0029134B" w:rsidRDefault="0029134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679C3"/>
    <w:multiLevelType w:val="multilevel"/>
    <w:tmpl w:val="E04AFFE2"/>
    <w:lvl w:ilvl="0">
      <w:start w:val="1"/>
      <w:numFmt w:val="decimal"/>
      <w:lvlText w:val="E%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5170BB7"/>
    <w:multiLevelType w:val="hybridMultilevel"/>
    <w:tmpl w:val="40962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802549A"/>
    <w:multiLevelType w:val="multilevel"/>
    <w:tmpl w:val="3D6A5974"/>
    <w:lvl w:ilvl="0">
      <w:start w:val="1"/>
      <w:numFmt w:val="decimal"/>
      <w:lvlText w:val="%1."/>
      <w:lvlJc w:val="left"/>
      <w:pPr>
        <w:ind w:left="720" w:hanging="360"/>
      </w:pPr>
      <w:rPr>
        <w:rFonts w:asciiTheme="minorHAnsi" w:hAnsiTheme="minorHAnsi" w:cstheme="minorBid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540F115C"/>
    <w:multiLevelType w:val="multilevel"/>
    <w:tmpl w:val="12BC2DB4"/>
    <w:lvl w:ilvl="0">
      <w:start w:val="1"/>
      <w:numFmt w:val="decimal"/>
      <w:lvlText w:val="E%1."/>
      <w:lvlJc w:val="left"/>
      <w:pPr>
        <w:ind w:left="284" w:firstLine="76"/>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drawingGridHorizontalSpacing w:val="12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6"/>
  </w:docVars>
  <w:rsids>
    <w:rsidRoot w:val="00C842DA"/>
    <w:rsid w:val="00006735"/>
    <w:rsid w:val="00031557"/>
    <w:rsid w:val="000344BC"/>
    <w:rsid w:val="0003486D"/>
    <w:rsid w:val="00064CD1"/>
    <w:rsid w:val="0007386B"/>
    <w:rsid w:val="0008485F"/>
    <w:rsid w:val="00126FE9"/>
    <w:rsid w:val="00132EAB"/>
    <w:rsid w:val="00205D8C"/>
    <w:rsid w:val="00221EC3"/>
    <w:rsid w:val="0024495D"/>
    <w:rsid w:val="002609DD"/>
    <w:rsid w:val="0029134B"/>
    <w:rsid w:val="002B1F0F"/>
    <w:rsid w:val="002B746D"/>
    <w:rsid w:val="002E4B81"/>
    <w:rsid w:val="002F4A98"/>
    <w:rsid w:val="002F6646"/>
    <w:rsid w:val="003163DB"/>
    <w:rsid w:val="003660A1"/>
    <w:rsid w:val="003B31A4"/>
    <w:rsid w:val="003E5895"/>
    <w:rsid w:val="004063AE"/>
    <w:rsid w:val="004119B7"/>
    <w:rsid w:val="004170A2"/>
    <w:rsid w:val="0041717C"/>
    <w:rsid w:val="00446DA5"/>
    <w:rsid w:val="004E0048"/>
    <w:rsid w:val="004E10EB"/>
    <w:rsid w:val="00501112"/>
    <w:rsid w:val="005013F3"/>
    <w:rsid w:val="00504D87"/>
    <w:rsid w:val="00522D84"/>
    <w:rsid w:val="0053656A"/>
    <w:rsid w:val="005B56B7"/>
    <w:rsid w:val="005C5D1B"/>
    <w:rsid w:val="005C6815"/>
    <w:rsid w:val="005F105E"/>
    <w:rsid w:val="005F5615"/>
    <w:rsid w:val="00671E85"/>
    <w:rsid w:val="00695460"/>
    <w:rsid w:val="00697E72"/>
    <w:rsid w:val="006F6AC5"/>
    <w:rsid w:val="00714112"/>
    <w:rsid w:val="0072007D"/>
    <w:rsid w:val="007309C9"/>
    <w:rsid w:val="0075709E"/>
    <w:rsid w:val="007E20FB"/>
    <w:rsid w:val="00840AAE"/>
    <w:rsid w:val="008802D5"/>
    <w:rsid w:val="00891DD7"/>
    <w:rsid w:val="0089726A"/>
    <w:rsid w:val="008A2E97"/>
    <w:rsid w:val="008B3264"/>
    <w:rsid w:val="009155AC"/>
    <w:rsid w:val="009253B6"/>
    <w:rsid w:val="009337CC"/>
    <w:rsid w:val="009376B8"/>
    <w:rsid w:val="009A4A77"/>
    <w:rsid w:val="009C1CD9"/>
    <w:rsid w:val="009D2E61"/>
    <w:rsid w:val="00A374EF"/>
    <w:rsid w:val="00A668C2"/>
    <w:rsid w:val="00A67414"/>
    <w:rsid w:val="00AB299D"/>
    <w:rsid w:val="00AC7EA4"/>
    <w:rsid w:val="00AD37A7"/>
    <w:rsid w:val="00AD63CE"/>
    <w:rsid w:val="00AF0802"/>
    <w:rsid w:val="00AF3173"/>
    <w:rsid w:val="00B00FF0"/>
    <w:rsid w:val="00B37C44"/>
    <w:rsid w:val="00B46209"/>
    <w:rsid w:val="00B52951"/>
    <w:rsid w:val="00B65DEA"/>
    <w:rsid w:val="00BC0112"/>
    <w:rsid w:val="00BF5BAE"/>
    <w:rsid w:val="00C072CF"/>
    <w:rsid w:val="00C101E4"/>
    <w:rsid w:val="00C42F30"/>
    <w:rsid w:val="00C8190C"/>
    <w:rsid w:val="00C842DA"/>
    <w:rsid w:val="00CA0121"/>
    <w:rsid w:val="00CC5265"/>
    <w:rsid w:val="00CD10FC"/>
    <w:rsid w:val="00CE5AC6"/>
    <w:rsid w:val="00D12E28"/>
    <w:rsid w:val="00D14F31"/>
    <w:rsid w:val="00D21F20"/>
    <w:rsid w:val="00D527A6"/>
    <w:rsid w:val="00D53BA5"/>
    <w:rsid w:val="00D85C0E"/>
    <w:rsid w:val="00D85DFB"/>
    <w:rsid w:val="00DA660A"/>
    <w:rsid w:val="00DB39E4"/>
    <w:rsid w:val="00DC38FC"/>
    <w:rsid w:val="00DD7489"/>
    <w:rsid w:val="00DE47DB"/>
    <w:rsid w:val="00E1307E"/>
    <w:rsid w:val="00E2218A"/>
    <w:rsid w:val="00E50605"/>
    <w:rsid w:val="00E60D4C"/>
    <w:rsid w:val="00E731AE"/>
    <w:rsid w:val="00E95B06"/>
    <w:rsid w:val="00EA25D7"/>
    <w:rsid w:val="00EA6349"/>
    <w:rsid w:val="00EB51EA"/>
    <w:rsid w:val="00EC110B"/>
    <w:rsid w:val="00EE4546"/>
    <w:rsid w:val="00EE763B"/>
    <w:rsid w:val="00EF4785"/>
    <w:rsid w:val="00F201B0"/>
    <w:rsid w:val="00F35B18"/>
    <w:rsid w:val="00F3610D"/>
    <w:rsid w:val="00F66700"/>
    <w:rsid w:val="00FB59BC"/>
    <w:rsid w:val="00FC7147"/>
    <w:rsid w:val="00FD5D0F"/>
    <w:rsid w:val="00FF2E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1DB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2DA"/>
    <w:pPr>
      <w:spacing w:after="120"/>
    </w:pPr>
    <w:rPr>
      <w:rFonts w:eastAsiaTheme="minorEastAsia"/>
    </w:rPr>
  </w:style>
  <w:style w:type="paragraph" w:styleId="Heading1">
    <w:name w:val="heading 1"/>
    <w:basedOn w:val="Normal"/>
    <w:next w:val="Normal"/>
    <w:link w:val="Heading1Char"/>
    <w:uiPriority w:val="9"/>
    <w:qFormat/>
    <w:rsid w:val="00C842DA"/>
    <w:pPr>
      <w:keepNext/>
      <w:keepLines/>
      <w:spacing w:before="240" w:after="240"/>
      <w:outlineLvl w:val="0"/>
    </w:pPr>
    <w:rPr>
      <w:rFonts w:eastAsiaTheme="majorEastAsia" w:cstheme="majorBidi"/>
      <w:b/>
      <w:bCs/>
      <w:color w:val="000000" w:themeColor="text1"/>
    </w:rPr>
  </w:style>
  <w:style w:type="paragraph" w:styleId="Heading2">
    <w:name w:val="heading 2"/>
    <w:basedOn w:val="Normal"/>
    <w:next w:val="Normal"/>
    <w:link w:val="Heading2Char"/>
    <w:uiPriority w:val="9"/>
    <w:unhideWhenUsed/>
    <w:qFormat/>
    <w:rsid w:val="00C842DA"/>
    <w:pPr>
      <w:keepNext/>
      <w:keepLines/>
      <w:spacing w:before="240" w:after="240"/>
      <w:outlineLvl w:val="1"/>
    </w:pPr>
    <w:rPr>
      <w:rFonts w:eastAsiaTheme="majorEastAsia" w:cstheme="majorBidi"/>
      <w:bCs/>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unhideWhenUsed/>
    <w:rsid w:val="00C842DA"/>
    <w:rPr>
      <w:sz w:val="18"/>
      <w:szCs w:val="18"/>
    </w:rPr>
  </w:style>
  <w:style w:type="paragraph" w:styleId="CommentText">
    <w:name w:val="annotation text"/>
    <w:basedOn w:val="Normal"/>
    <w:link w:val="CommentTextChar"/>
    <w:uiPriority w:val="99"/>
    <w:unhideWhenUsed/>
    <w:rsid w:val="00C842DA"/>
  </w:style>
  <w:style w:type="character" w:customStyle="1" w:styleId="CommentTextChar">
    <w:name w:val="Comment Text Char"/>
    <w:basedOn w:val="DefaultParagraphFont"/>
    <w:link w:val="CommentText"/>
    <w:uiPriority w:val="99"/>
    <w:rsid w:val="00C842DA"/>
    <w:rPr>
      <w:rFonts w:eastAsiaTheme="minorEastAsia"/>
    </w:rPr>
  </w:style>
  <w:style w:type="paragraph" w:styleId="BalloonText">
    <w:name w:val="Balloon Text"/>
    <w:basedOn w:val="Normal"/>
    <w:link w:val="BalloonTextChar"/>
    <w:uiPriority w:val="99"/>
    <w:semiHidden/>
    <w:unhideWhenUsed/>
    <w:rsid w:val="00C842DA"/>
    <w:pPr>
      <w:spacing w:after="0"/>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C842DA"/>
    <w:rPr>
      <w:rFonts w:ascii="Times New Roman" w:eastAsiaTheme="minorEastAsia" w:hAnsi="Times New Roman"/>
      <w:sz w:val="18"/>
      <w:szCs w:val="18"/>
    </w:rPr>
  </w:style>
  <w:style w:type="character" w:customStyle="1" w:styleId="Heading1Char">
    <w:name w:val="Heading 1 Char"/>
    <w:basedOn w:val="DefaultParagraphFont"/>
    <w:link w:val="Heading1"/>
    <w:uiPriority w:val="9"/>
    <w:rsid w:val="00C842DA"/>
    <w:rPr>
      <w:rFonts w:eastAsiaTheme="majorEastAsia" w:cstheme="majorBidi"/>
      <w:b/>
      <w:bCs/>
      <w:color w:val="000000" w:themeColor="text1"/>
    </w:rPr>
  </w:style>
  <w:style w:type="character" w:customStyle="1" w:styleId="Heading2Char">
    <w:name w:val="Heading 2 Char"/>
    <w:basedOn w:val="DefaultParagraphFont"/>
    <w:link w:val="Heading2"/>
    <w:uiPriority w:val="9"/>
    <w:rsid w:val="00C842DA"/>
    <w:rPr>
      <w:rFonts w:eastAsiaTheme="majorEastAsia" w:cstheme="majorBidi"/>
      <w:bCs/>
      <w:i/>
      <w:color w:val="000000" w:themeColor="text1"/>
    </w:rPr>
  </w:style>
  <w:style w:type="paragraph" w:styleId="CommentSubject">
    <w:name w:val="annotation subject"/>
    <w:basedOn w:val="CommentText"/>
    <w:next w:val="CommentText"/>
    <w:link w:val="CommentSubjectChar"/>
    <w:uiPriority w:val="99"/>
    <w:semiHidden/>
    <w:unhideWhenUsed/>
    <w:rsid w:val="0053656A"/>
    <w:rPr>
      <w:b/>
      <w:bCs/>
      <w:sz w:val="20"/>
      <w:szCs w:val="20"/>
    </w:rPr>
  </w:style>
  <w:style w:type="character" w:customStyle="1" w:styleId="CommentSubjectChar">
    <w:name w:val="Comment Subject Char"/>
    <w:basedOn w:val="CommentTextChar"/>
    <w:link w:val="CommentSubject"/>
    <w:uiPriority w:val="99"/>
    <w:semiHidden/>
    <w:rsid w:val="0053656A"/>
    <w:rPr>
      <w:rFonts w:eastAsiaTheme="minorEastAsia"/>
      <w:b/>
      <w:bCs/>
      <w:sz w:val="20"/>
      <w:szCs w:val="20"/>
    </w:rPr>
  </w:style>
  <w:style w:type="paragraph" w:styleId="Header">
    <w:name w:val="header"/>
    <w:basedOn w:val="Normal"/>
    <w:link w:val="HeaderChar"/>
    <w:uiPriority w:val="99"/>
    <w:unhideWhenUsed/>
    <w:rsid w:val="005F105E"/>
    <w:pPr>
      <w:tabs>
        <w:tab w:val="center" w:pos="4680"/>
        <w:tab w:val="right" w:pos="9360"/>
      </w:tabs>
      <w:spacing w:after="0"/>
    </w:pPr>
  </w:style>
  <w:style w:type="character" w:customStyle="1" w:styleId="HeaderChar">
    <w:name w:val="Header Char"/>
    <w:basedOn w:val="DefaultParagraphFont"/>
    <w:link w:val="Header"/>
    <w:uiPriority w:val="99"/>
    <w:rsid w:val="005F105E"/>
    <w:rPr>
      <w:rFonts w:eastAsiaTheme="minorEastAsia"/>
    </w:rPr>
  </w:style>
  <w:style w:type="paragraph" w:styleId="Footer">
    <w:name w:val="footer"/>
    <w:basedOn w:val="Normal"/>
    <w:link w:val="FooterChar"/>
    <w:uiPriority w:val="99"/>
    <w:unhideWhenUsed/>
    <w:rsid w:val="005F105E"/>
    <w:pPr>
      <w:tabs>
        <w:tab w:val="center" w:pos="4680"/>
        <w:tab w:val="right" w:pos="9360"/>
      </w:tabs>
      <w:spacing w:after="0"/>
    </w:pPr>
  </w:style>
  <w:style w:type="character" w:customStyle="1" w:styleId="FooterChar">
    <w:name w:val="Footer Char"/>
    <w:basedOn w:val="DefaultParagraphFont"/>
    <w:link w:val="Footer"/>
    <w:uiPriority w:val="99"/>
    <w:rsid w:val="005F105E"/>
    <w:rPr>
      <w:rFonts w:eastAsiaTheme="minorEastAsia"/>
    </w:rPr>
  </w:style>
  <w:style w:type="paragraph" w:styleId="ListParagraph">
    <w:name w:val="List Paragraph"/>
    <w:basedOn w:val="Normal"/>
    <w:uiPriority w:val="34"/>
    <w:qFormat/>
    <w:rsid w:val="00F35B18"/>
    <w:pPr>
      <w:ind w:left="720"/>
      <w:contextualSpacing/>
    </w:pPr>
  </w:style>
  <w:style w:type="paragraph" w:styleId="Revision">
    <w:name w:val="Revision"/>
    <w:hidden/>
    <w:uiPriority w:val="99"/>
    <w:semiHidden/>
    <w:rsid w:val="00064CD1"/>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2DA"/>
    <w:pPr>
      <w:spacing w:after="120"/>
    </w:pPr>
    <w:rPr>
      <w:rFonts w:eastAsiaTheme="minorEastAsia"/>
    </w:rPr>
  </w:style>
  <w:style w:type="paragraph" w:styleId="Heading1">
    <w:name w:val="heading 1"/>
    <w:basedOn w:val="Normal"/>
    <w:next w:val="Normal"/>
    <w:link w:val="Heading1Char"/>
    <w:uiPriority w:val="9"/>
    <w:qFormat/>
    <w:rsid w:val="00C842DA"/>
    <w:pPr>
      <w:keepNext/>
      <w:keepLines/>
      <w:spacing w:before="240" w:after="240"/>
      <w:outlineLvl w:val="0"/>
    </w:pPr>
    <w:rPr>
      <w:rFonts w:eastAsiaTheme="majorEastAsia" w:cstheme="majorBidi"/>
      <w:b/>
      <w:bCs/>
      <w:color w:val="000000" w:themeColor="text1"/>
    </w:rPr>
  </w:style>
  <w:style w:type="paragraph" w:styleId="Heading2">
    <w:name w:val="heading 2"/>
    <w:basedOn w:val="Normal"/>
    <w:next w:val="Normal"/>
    <w:link w:val="Heading2Char"/>
    <w:uiPriority w:val="9"/>
    <w:unhideWhenUsed/>
    <w:qFormat/>
    <w:rsid w:val="00C842DA"/>
    <w:pPr>
      <w:keepNext/>
      <w:keepLines/>
      <w:spacing w:before="240" w:after="240"/>
      <w:outlineLvl w:val="1"/>
    </w:pPr>
    <w:rPr>
      <w:rFonts w:eastAsiaTheme="majorEastAsia" w:cstheme="majorBidi"/>
      <w:bCs/>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unhideWhenUsed/>
    <w:rsid w:val="00C842DA"/>
    <w:rPr>
      <w:sz w:val="18"/>
      <w:szCs w:val="18"/>
    </w:rPr>
  </w:style>
  <w:style w:type="paragraph" w:styleId="CommentText">
    <w:name w:val="annotation text"/>
    <w:basedOn w:val="Normal"/>
    <w:link w:val="CommentTextChar"/>
    <w:uiPriority w:val="99"/>
    <w:unhideWhenUsed/>
    <w:rsid w:val="00C842DA"/>
  </w:style>
  <w:style w:type="character" w:customStyle="1" w:styleId="CommentTextChar">
    <w:name w:val="Comment Text Char"/>
    <w:basedOn w:val="DefaultParagraphFont"/>
    <w:link w:val="CommentText"/>
    <w:uiPriority w:val="99"/>
    <w:rsid w:val="00C842DA"/>
    <w:rPr>
      <w:rFonts w:eastAsiaTheme="minorEastAsia"/>
    </w:rPr>
  </w:style>
  <w:style w:type="paragraph" w:styleId="BalloonText">
    <w:name w:val="Balloon Text"/>
    <w:basedOn w:val="Normal"/>
    <w:link w:val="BalloonTextChar"/>
    <w:uiPriority w:val="99"/>
    <w:semiHidden/>
    <w:unhideWhenUsed/>
    <w:rsid w:val="00C842DA"/>
    <w:pPr>
      <w:spacing w:after="0"/>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C842DA"/>
    <w:rPr>
      <w:rFonts w:ascii="Times New Roman" w:eastAsiaTheme="minorEastAsia" w:hAnsi="Times New Roman"/>
      <w:sz w:val="18"/>
      <w:szCs w:val="18"/>
    </w:rPr>
  </w:style>
  <w:style w:type="character" w:customStyle="1" w:styleId="Heading1Char">
    <w:name w:val="Heading 1 Char"/>
    <w:basedOn w:val="DefaultParagraphFont"/>
    <w:link w:val="Heading1"/>
    <w:uiPriority w:val="9"/>
    <w:rsid w:val="00C842DA"/>
    <w:rPr>
      <w:rFonts w:eastAsiaTheme="majorEastAsia" w:cstheme="majorBidi"/>
      <w:b/>
      <w:bCs/>
      <w:color w:val="000000" w:themeColor="text1"/>
    </w:rPr>
  </w:style>
  <w:style w:type="character" w:customStyle="1" w:styleId="Heading2Char">
    <w:name w:val="Heading 2 Char"/>
    <w:basedOn w:val="DefaultParagraphFont"/>
    <w:link w:val="Heading2"/>
    <w:uiPriority w:val="9"/>
    <w:rsid w:val="00C842DA"/>
    <w:rPr>
      <w:rFonts w:eastAsiaTheme="majorEastAsia" w:cstheme="majorBidi"/>
      <w:bCs/>
      <w:i/>
      <w:color w:val="000000" w:themeColor="text1"/>
    </w:rPr>
  </w:style>
  <w:style w:type="paragraph" w:styleId="CommentSubject">
    <w:name w:val="annotation subject"/>
    <w:basedOn w:val="CommentText"/>
    <w:next w:val="CommentText"/>
    <w:link w:val="CommentSubjectChar"/>
    <w:uiPriority w:val="99"/>
    <w:semiHidden/>
    <w:unhideWhenUsed/>
    <w:rsid w:val="0053656A"/>
    <w:rPr>
      <w:b/>
      <w:bCs/>
      <w:sz w:val="20"/>
      <w:szCs w:val="20"/>
    </w:rPr>
  </w:style>
  <w:style w:type="character" w:customStyle="1" w:styleId="CommentSubjectChar">
    <w:name w:val="Comment Subject Char"/>
    <w:basedOn w:val="CommentTextChar"/>
    <w:link w:val="CommentSubject"/>
    <w:uiPriority w:val="99"/>
    <w:semiHidden/>
    <w:rsid w:val="0053656A"/>
    <w:rPr>
      <w:rFonts w:eastAsiaTheme="minorEastAsia"/>
      <w:b/>
      <w:bCs/>
      <w:sz w:val="20"/>
      <w:szCs w:val="20"/>
    </w:rPr>
  </w:style>
  <w:style w:type="paragraph" w:styleId="Header">
    <w:name w:val="header"/>
    <w:basedOn w:val="Normal"/>
    <w:link w:val="HeaderChar"/>
    <w:uiPriority w:val="99"/>
    <w:unhideWhenUsed/>
    <w:rsid w:val="005F105E"/>
    <w:pPr>
      <w:tabs>
        <w:tab w:val="center" w:pos="4680"/>
        <w:tab w:val="right" w:pos="9360"/>
      </w:tabs>
      <w:spacing w:after="0"/>
    </w:pPr>
  </w:style>
  <w:style w:type="character" w:customStyle="1" w:styleId="HeaderChar">
    <w:name w:val="Header Char"/>
    <w:basedOn w:val="DefaultParagraphFont"/>
    <w:link w:val="Header"/>
    <w:uiPriority w:val="99"/>
    <w:rsid w:val="005F105E"/>
    <w:rPr>
      <w:rFonts w:eastAsiaTheme="minorEastAsia"/>
    </w:rPr>
  </w:style>
  <w:style w:type="paragraph" w:styleId="Footer">
    <w:name w:val="footer"/>
    <w:basedOn w:val="Normal"/>
    <w:link w:val="FooterChar"/>
    <w:uiPriority w:val="99"/>
    <w:unhideWhenUsed/>
    <w:rsid w:val="005F105E"/>
    <w:pPr>
      <w:tabs>
        <w:tab w:val="center" w:pos="4680"/>
        <w:tab w:val="right" w:pos="9360"/>
      </w:tabs>
      <w:spacing w:after="0"/>
    </w:pPr>
  </w:style>
  <w:style w:type="character" w:customStyle="1" w:styleId="FooterChar">
    <w:name w:val="Footer Char"/>
    <w:basedOn w:val="DefaultParagraphFont"/>
    <w:link w:val="Footer"/>
    <w:uiPriority w:val="99"/>
    <w:rsid w:val="005F105E"/>
    <w:rPr>
      <w:rFonts w:eastAsiaTheme="minorEastAsia"/>
    </w:rPr>
  </w:style>
  <w:style w:type="paragraph" w:styleId="ListParagraph">
    <w:name w:val="List Paragraph"/>
    <w:basedOn w:val="Normal"/>
    <w:uiPriority w:val="34"/>
    <w:qFormat/>
    <w:rsid w:val="00F35B18"/>
    <w:pPr>
      <w:ind w:left="720"/>
      <w:contextualSpacing/>
    </w:pPr>
  </w:style>
  <w:style w:type="paragraph" w:styleId="Revision">
    <w:name w:val="Revision"/>
    <w:hidden/>
    <w:uiPriority w:val="99"/>
    <w:semiHidden/>
    <w:rsid w:val="00064CD1"/>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370579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04A8064E-6E15-4968-A1C6-F71AB523DD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1457</Words>
  <Characters>8582</Characters>
  <Application>Microsoft Office Word</Application>
  <DocSecurity>0</DocSecurity>
  <Lines>150</Lines>
  <Paragraphs>55</Paragraphs>
  <ScaleCrop>false</ScaleCrop>
  <HeadingPairs>
    <vt:vector size="2" baseType="variant">
      <vt:variant>
        <vt:lpstr>Title</vt:lpstr>
      </vt:variant>
      <vt:variant>
        <vt:i4>1</vt:i4>
      </vt:variant>
    </vt:vector>
  </HeadingPairs>
  <TitlesOfParts>
    <vt:vector size="1" baseType="lpstr">
      <vt:lpstr/>
    </vt:vector>
  </TitlesOfParts>
  <Company>Alberta Health Services</Company>
  <LinksUpToDate>false</LinksUpToDate>
  <CharactersWithSpaces>9984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Sachin R. Pendharkar</dc:creator>
  <cp:lastModifiedBy>FEFABILENA</cp:lastModifiedBy>
  <cp:revision>14</cp:revision>
  <dcterms:created xsi:type="dcterms:W3CDTF">2017-06-26T15:43:00Z</dcterms:created>
  <dcterms:modified xsi:type="dcterms:W3CDTF">2018-05-22T13:31:00Z</dcterms:modified>
</cp:coreProperties>
</file>