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F8" w:rsidRDefault="00FA2BF8" w:rsidP="00FA2BF8">
      <w:pPr>
        <w:spacing w:line="480" w:lineRule="auto"/>
        <w:rPr>
          <w:szCs w:val="24"/>
          <w:lang w:val="en-C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58D62" wp14:editId="490DA837">
                <wp:simplePos x="0" y="0"/>
                <wp:positionH relativeFrom="column">
                  <wp:posOffset>1371600</wp:posOffset>
                </wp:positionH>
                <wp:positionV relativeFrom="paragraph">
                  <wp:posOffset>7520940</wp:posOffset>
                </wp:positionV>
                <wp:extent cx="1912620" cy="480060"/>
                <wp:effectExtent l="0" t="0" r="0" b="0"/>
                <wp:wrapNone/>
                <wp:docPr id="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2BF8" w:rsidRDefault="00FA2BF8" w:rsidP="00FA2BF8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theme="minorBidi"/>
                                <w:sz w:val="21"/>
                                <w:szCs w:val="21"/>
                              </w:rPr>
                              <w:t>Good Perceived Mental Health</w:t>
                            </w:r>
                            <w:r>
                              <w:rPr>
                                <w:rFonts w:eastAsia="Calibri" w:cstheme="minorBidi"/>
                                <w:position w:val="-5"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058D6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8pt;margin-top:592.2pt;width:150.6pt;height:37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" filled="f" stroked="f" strokeweight=".5pt">
                <v:textbox>
                  <w:txbxContent>
                    <w:p w:rsidR="00FA2BF8" w:rsidRDefault="00FA2BF8" w:rsidP="00FA2BF8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theme="minorBidi"/>
                          <w:sz w:val="21"/>
                          <w:szCs w:val="21"/>
                        </w:rPr>
                        <w:t>Good Perceived Mental Health</w:t>
                      </w:r>
                      <w:r>
                        <w:rPr>
                          <w:rFonts w:eastAsia="Calibri" w:cstheme="minorBidi"/>
                          <w:position w:val="-5"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B27FD" wp14:editId="5D39DEDD">
                <wp:simplePos x="0" y="0"/>
                <wp:positionH relativeFrom="column">
                  <wp:posOffset>3573780</wp:posOffset>
                </wp:positionH>
                <wp:positionV relativeFrom="paragraph">
                  <wp:posOffset>7505700</wp:posOffset>
                </wp:positionV>
                <wp:extent cx="1828800" cy="480060"/>
                <wp:effectExtent l="0" t="0" r="0" b="0"/>
                <wp:wrapNone/>
                <wp:docPr id="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2BF8" w:rsidRDefault="00FA2BF8" w:rsidP="00FA2BF8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theme="minorBidi"/>
                                <w:sz w:val="21"/>
                                <w:szCs w:val="21"/>
                              </w:rPr>
                              <w:t>Poor Perceived Mental Health</w:t>
                            </w:r>
                            <w:r>
                              <w:rPr>
                                <w:rFonts w:eastAsia="Calibri" w:cstheme="minorBidi"/>
                                <w:position w:val="-5"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B27FD" id="_x0000_s1027" type="#_x0000_t202" style="position:absolute;margin-left:281.4pt;margin-top:591pt;width:2in;height:37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" filled="f" stroked="f" strokeweight=".5pt">
                <v:textbox>
                  <w:txbxContent>
                    <w:p w:rsidR="00FA2BF8" w:rsidRDefault="00FA2BF8" w:rsidP="00FA2BF8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theme="minorBidi"/>
                          <w:sz w:val="21"/>
                          <w:szCs w:val="21"/>
                        </w:rPr>
                        <w:t>Poor Perceived Mental Health</w:t>
                      </w:r>
                      <w:r>
                        <w:rPr>
                          <w:rFonts w:eastAsia="Calibri" w:cstheme="minorBidi"/>
                          <w:position w:val="-5"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27A8D8" wp14:editId="5C8510CD">
            <wp:extent cx="6858000" cy="7391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333CB" w:rsidRPr="00FA2BF8" w:rsidRDefault="00FA2BF8" w:rsidP="00FA2BF8">
      <w:pPr>
        <w:spacing w:line="480" w:lineRule="auto"/>
        <w:rPr>
          <w:szCs w:val="24"/>
          <w:lang w:val="en-CA"/>
        </w:rPr>
      </w:pPr>
    </w:p>
    <w:sectPr w:rsidR="00B333CB" w:rsidRPr="00FA2BF8" w:rsidSect="00FA2B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F8"/>
    <w:rsid w:val="00523B1E"/>
    <w:rsid w:val="0061147C"/>
    <w:rsid w:val="0073496D"/>
    <w:rsid w:val="00FA2BF8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C0161"/>
  <w15:chartTrackingRefBased/>
  <w15:docId w15:val="{5A27080A-D3DC-457C-92DA-1662E7F1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2BF8"/>
    <w:pPr>
      <w:spacing w:before="100" w:beforeAutospacing="1" w:after="100" w:afterAutospacing="1" w:line="240" w:lineRule="auto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%202\SPMH%20crude%20figur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7672747156605421"/>
          <c:y val="8.4433398079881927E-2"/>
          <c:w val="0.53745552639253424"/>
          <c:h val="0.8583463214005465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Sheet1!$K$2:$K$25</c:f>
                <c:numCache>
                  <c:formatCode>General</c:formatCode>
                  <c:ptCount val="24"/>
                  <c:pt idx="0">
                    <c:v>0.30000000000000004</c:v>
                  </c:pt>
                  <c:pt idx="1">
                    <c:v>0.94</c:v>
                  </c:pt>
                  <c:pt idx="2">
                    <c:v>0.27000000000000013</c:v>
                  </c:pt>
                  <c:pt idx="3">
                    <c:v>0.31999999999999984</c:v>
                  </c:pt>
                  <c:pt idx="4">
                    <c:v>0.8899999999999999</c:v>
                  </c:pt>
                  <c:pt idx="5">
                    <c:v>0.32000000000000006</c:v>
                  </c:pt>
                  <c:pt idx="6">
                    <c:v>0.17000000000000004</c:v>
                  </c:pt>
                  <c:pt idx="7">
                    <c:v>0.36</c:v>
                  </c:pt>
                  <c:pt idx="8">
                    <c:v>0.18999999999999995</c:v>
                  </c:pt>
                  <c:pt idx="9">
                    <c:v>0.20000000000000007</c:v>
                  </c:pt>
                  <c:pt idx="10">
                    <c:v>0.40000000000000013</c:v>
                  </c:pt>
                  <c:pt idx="11">
                    <c:v>0.22999999999999998</c:v>
                  </c:pt>
                  <c:pt idx="12">
                    <c:v>0.19000000000000006</c:v>
                  </c:pt>
                  <c:pt idx="13">
                    <c:v>0.25</c:v>
                  </c:pt>
                  <c:pt idx="14">
                    <c:v>0.26000000000000012</c:v>
                  </c:pt>
                  <c:pt idx="15">
                    <c:v>0.18999999999999995</c:v>
                  </c:pt>
                  <c:pt idx="16">
                    <c:v>0.30999999999999994</c:v>
                  </c:pt>
                  <c:pt idx="17">
                    <c:v>0.37000000000000011</c:v>
                  </c:pt>
                  <c:pt idx="18">
                    <c:v>0.13</c:v>
                  </c:pt>
                  <c:pt idx="19">
                    <c:v>0.35</c:v>
                  </c:pt>
                  <c:pt idx="20">
                    <c:v>0.15000000000000002</c:v>
                  </c:pt>
                  <c:pt idx="21">
                    <c:v>0.13</c:v>
                  </c:pt>
                  <c:pt idx="22">
                    <c:v>0.24</c:v>
                  </c:pt>
                  <c:pt idx="23">
                    <c:v>0.24999999999999989</c:v>
                  </c:pt>
                </c:numCache>
              </c:numRef>
            </c:plus>
            <c:minus>
              <c:numRef>
                <c:f>Sheet1!$I$2:$I$25</c:f>
                <c:numCache>
                  <c:formatCode>General</c:formatCode>
                  <c:ptCount val="24"/>
                  <c:pt idx="0">
                    <c:v>0.24</c:v>
                  </c:pt>
                  <c:pt idx="1">
                    <c:v>0.62000000000000011</c:v>
                  </c:pt>
                  <c:pt idx="2">
                    <c:v>0.19999999999999996</c:v>
                  </c:pt>
                  <c:pt idx="3">
                    <c:v>0.26</c:v>
                  </c:pt>
                  <c:pt idx="4">
                    <c:v>0.59000000000000008</c:v>
                  </c:pt>
                  <c:pt idx="5">
                    <c:v>0.24</c:v>
                  </c:pt>
                  <c:pt idx="6">
                    <c:v>0.1399999999999999</c:v>
                  </c:pt>
                  <c:pt idx="7">
                    <c:v>0.27</c:v>
                  </c:pt>
                  <c:pt idx="8">
                    <c:v>0.15000000000000002</c:v>
                  </c:pt>
                  <c:pt idx="9">
                    <c:v>0.16000000000000003</c:v>
                  </c:pt>
                  <c:pt idx="10">
                    <c:v>0.28999999999999992</c:v>
                  </c:pt>
                  <c:pt idx="11">
                    <c:v>0.18000000000000005</c:v>
                  </c:pt>
                  <c:pt idx="12">
                    <c:v>0.16000000000000003</c:v>
                  </c:pt>
                  <c:pt idx="13">
                    <c:v>0.18</c:v>
                  </c:pt>
                  <c:pt idx="14">
                    <c:v>0.20999999999999996</c:v>
                  </c:pt>
                  <c:pt idx="15">
                    <c:v>0.14000000000000001</c:v>
                  </c:pt>
                  <c:pt idx="16">
                    <c:v>0.19</c:v>
                  </c:pt>
                  <c:pt idx="17">
                    <c:v>0.26999999999999991</c:v>
                  </c:pt>
                  <c:pt idx="18">
                    <c:v>0.12</c:v>
                  </c:pt>
                  <c:pt idx="19">
                    <c:v>0.25</c:v>
                  </c:pt>
                  <c:pt idx="20">
                    <c:v>0.11999999999999994</c:v>
                  </c:pt>
                  <c:pt idx="21">
                    <c:v>0.10999999999999999</c:v>
                  </c:pt>
                  <c:pt idx="22">
                    <c:v>0.18</c:v>
                  </c:pt>
                  <c:pt idx="23">
                    <c:v>0.19000000000000006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Sheet1!$F$2:$F$47</c:f>
              <c:numCache>
                <c:formatCode>General</c:formatCode>
                <c:ptCount val="46"/>
                <c:pt idx="0">
                  <c:v>1.25</c:v>
                </c:pt>
                <c:pt idx="1">
                  <c:v>1.85</c:v>
                </c:pt>
                <c:pt idx="2">
                  <c:v>0.84</c:v>
                </c:pt>
                <c:pt idx="3">
                  <c:v>1.33</c:v>
                </c:pt>
                <c:pt idx="4">
                  <c:v>1.78</c:v>
                </c:pt>
                <c:pt idx="5">
                  <c:v>1.01</c:v>
                </c:pt>
                <c:pt idx="6">
                  <c:v>0.82</c:v>
                </c:pt>
                <c:pt idx="7">
                  <c:v>0.92</c:v>
                </c:pt>
                <c:pt idx="8">
                  <c:v>0.67</c:v>
                </c:pt>
                <c:pt idx="9">
                  <c:v>0.9</c:v>
                </c:pt>
                <c:pt idx="10">
                  <c:v>0.97</c:v>
                </c:pt>
                <c:pt idx="11">
                  <c:v>0.81</c:v>
                </c:pt>
                <c:pt idx="12">
                  <c:v>0.86</c:v>
                </c:pt>
                <c:pt idx="13">
                  <c:v>0.6</c:v>
                </c:pt>
                <c:pt idx="14">
                  <c:v>0.83</c:v>
                </c:pt>
                <c:pt idx="15">
                  <c:v>0.64</c:v>
                </c:pt>
                <c:pt idx="16">
                  <c:v>0.52</c:v>
                </c:pt>
                <c:pt idx="17">
                  <c:v>0.95</c:v>
                </c:pt>
                <c:pt idx="18">
                  <c:v>0.74</c:v>
                </c:pt>
                <c:pt idx="19">
                  <c:v>0.89</c:v>
                </c:pt>
                <c:pt idx="20">
                  <c:v>0.56999999999999995</c:v>
                </c:pt>
                <c:pt idx="21">
                  <c:v>0.64</c:v>
                </c:pt>
                <c:pt idx="22">
                  <c:v>0.61</c:v>
                </c:pt>
                <c:pt idx="23">
                  <c:v>0.91</c:v>
                </c:pt>
              </c:numCache>
            </c:numRef>
          </c:xVal>
          <c:yVal>
            <c:numRef>
              <c:f>Sheet1!$G$2:$G$47</c:f>
              <c:numCache>
                <c:formatCode>General</c:formatCode>
                <c:ptCount val="46"/>
                <c:pt idx="0">
                  <c:v>36</c:v>
                </c:pt>
                <c:pt idx="1">
                  <c:v>35</c:v>
                </c:pt>
                <c:pt idx="2">
                  <c:v>34</c:v>
                </c:pt>
                <c:pt idx="3">
                  <c:v>32</c:v>
                </c:pt>
                <c:pt idx="4">
                  <c:v>31</c:v>
                </c:pt>
                <c:pt idx="5">
                  <c:v>30</c:v>
                </c:pt>
                <c:pt idx="6">
                  <c:v>27</c:v>
                </c:pt>
                <c:pt idx="7">
                  <c:v>26</c:v>
                </c:pt>
                <c:pt idx="8">
                  <c:v>25</c:v>
                </c:pt>
                <c:pt idx="9">
                  <c:v>23</c:v>
                </c:pt>
                <c:pt idx="10">
                  <c:v>22</c:v>
                </c:pt>
                <c:pt idx="11">
                  <c:v>21</c:v>
                </c:pt>
                <c:pt idx="12">
                  <c:v>18</c:v>
                </c:pt>
                <c:pt idx="13">
                  <c:v>17</c:v>
                </c:pt>
                <c:pt idx="14">
                  <c:v>16</c:v>
                </c:pt>
                <c:pt idx="15">
                  <c:v>13</c:v>
                </c:pt>
                <c:pt idx="16">
                  <c:v>12</c:v>
                </c:pt>
                <c:pt idx="17">
                  <c:v>11</c:v>
                </c:pt>
                <c:pt idx="18">
                  <c:v>8</c:v>
                </c:pt>
                <c:pt idx="19">
                  <c:v>7</c:v>
                </c:pt>
                <c:pt idx="20">
                  <c:v>6</c:v>
                </c:pt>
                <c:pt idx="21">
                  <c:v>3</c:v>
                </c:pt>
                <c:pt idx="22">
                  <c:v>2</c:v>
                </c:pt>
                <c:pt idx="23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53C-43E3-ABEB-94864160A1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6756975"/>
        <c:axId val="1596763215"/>
      </c:scatterChart>
      <c:valAx>
        <c:axId val="1596756975"/>
        <c:scaling>
          <c:orientation val="minMax"/>
          <c:max val="3.6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Odds</a:t>
                </a:r>
                <a:r>
                  <a:rPr lang="en-US" sz="1050" baseline="0"/>
                  <a:t> Ratio</a:t>
                </a:r>
                <a:endParaRPr lang="en-US" sz="1050"/>
              </a:p>
            </c:rich>
          </c:tx>
          <c:layout>
            <c:manualLayout>
              <c:xMode val="edge"/>
              <c:yMode val="edge"/>
              <c:x val="0.37939982502187225"/>
              <c:y val="0.9733839326785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63215"/>
        <c:crosses val="autoZero"/>
        <c:crossBetween val="midCat"/>
        <c:majorUnit val="1"/>
      </c:valAx>
      <c:valAx>
        <c:axId val="1596763215"/>
        <c:scaling>
          <c:orientation val="minMax"/>
          <c:max val="37"/>
          <c:min val="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solidFill>
            <a:schemeClr val="tx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56975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0.03411</cdr:x>
      <cdr:y>0.0444</cdr:y>
    </cdr:from>
    <cdr:to>
      <cdr:x>0.20646</cdr:x>
      <cdr:y>0.97347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46282" y="318884"/>
          <a:ext cx="1244372" cy="667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Sitting Time (14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14.1 to 18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18.1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Walking (2.25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2.26 to 4.5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4.6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Light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Moderate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Strenuous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Strengthening Activity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0.0409</cdr:x>
      <cdr:y>0.01724</cdr:y>
    </cdr:from>
    <cdr:to>
      <cdr:x>0.16755</cdr:x>
      <cdr:y>0.14456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95277" y="1238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Activity (referent category)</a:t>
          </a:r>
        </a:p>
      </cdr:txBody>
    </cdr:sp>
  </cdr:relSizeAnchor>
  <cdr:relSizeAnchor xmlns:cdr="http://schemas.openxmlformats.org/drawingml/2006/chartDrawing">
    <cdr:from>
      <cdr:x>0.80871</cdr:x>
      <cdr:y>0.03846</cdr:y>
    </cdr:from>
    <cdr:to>
      <cdr:x>0.93536</cdr:x>
      <cdr:y>0.16578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838827" y="2762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0.81003</cdr:x>
      <cdr:y>0.01989</cdr:y>
    </cdr:from>
    <cdr:to>
      <cdr:x>0.93668</cdr:x>
      <cdr:y>0.97215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848352" y="142875"/>
          <a:ext cx="914400" cy="6838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200" u="none">
              <a:latin typeface="Times New Roman" panose="02020603050405020304" pitchFamily="18" charset="0"/>
              <a:cs typeface="Times New Roman" panose="02020603050405020304" pitchFamily="18" charset="0"/>
            </a:rPr>
            <a:t>     </a:t>
          </a:r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 OR (95% CI)</a:t>
          </a:r>
        </a:p>
        <a:p xmlns:a="http://schemas.openxmlformats.org/drawingml/2006/main">
          <a:pPr algn="ctr"/>
          <a:endParaRPr lang="en-US" sz="110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ctr"/>
          <a:endParaRPr lang="en-US" sz="105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1.25* (1.01, 1.55)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1.85** (1.23, 2.79)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0.84 (0.64, 1.11)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1.33** (1.07, 1.65)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1.78** (1.19, 2.67)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1.01 (0.77, 1.33)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2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0.82* (0.68, 0.99)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0.92 (0.65, 1.28)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0.67** (0.52, 0.86)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0.90 (0.74, 1.10)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0.97 (0.68, 1.37)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0.81 (0.63, 1.04)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0.86 (0.70, 1.05)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0.60** (0.42, 0.85)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0.83 (0.62, 1.09)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0.64** (0.50, 0.83)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0.52** (0.33, 0.83)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0.95 (0.68, 1.32)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0.74*** (0.62, 0.87)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0.89 (0.64, 1.24)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0.57*** (0.45, 0.72)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0.64*** (0.53, 0.77)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0.61** (0.43, 0.85)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0.91 (0.72, 1.16)</a:t>
          </a:r>
          <a:endParaRPr lang="en-US" sz="1200" u="sng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UOIT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Good</dc:creator>
  <cp:keywords/>
  <dc:description/>
  <cp:lastModifiedBy>Joshua Good</cp:lastModifiedBy>
  <cp:revision>1</cp:revision>
  <dcterms:created xsi:type="dcterms:W3CDTF">2018-05-11T19:22:00Z</dcterms:created>
  <dcterms:modified xsi:type="dcterms:W3CDTF">2018-05-11T19:23:00Z</dcterms:modified>
</cp:coreProperties>
</file>