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62" w:rsidRDefault="00E96E62" w:rsidP="00E96E62">
      <w:bookmarkStart w:id="0" w:name="_GoBack"/>
      <w:bookmarkEnd w:id="0"/>
      <w:r>
        <w:rPr>
          <w:noProof/>
        </w:rPr>
        <w:drawing>
          <wp:inline distT="0" distB="0" distL="0" distR="0" wp14:anchorId="1B499561" wp14:editId="70F473BE">
            <wp:extent cx="6858000" cy="7391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333CB" w:rsidRPr="00E96E62" w:rsidRDefault="00E96E62" w:rsidP="00E96E62">
      <w:pPr>
        <w:spacing w:line="480" w:lineRule="auto"/>
        <w:rPr>
          <w:szCs w:val="24"/>
          <w:lang w:val="en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92121" wp14:editId="1248D86A">
                <wp:simplePos x="0" y="0"/>
                <wp:positionH relativeFrom="column">
                  <wp:posOffset>1867304</wp:posOffset>
                </wp:positionH>
                <wp:positionV relativeFrom="paragraph">
                  <wp:posOffset>6523</wp:posOffset>
                </wp:positionV>
                <wp:extent cx="1828800" cy="480060"/>
                <wp:effectExtent l="0" t="0" r="0" b="0"/>
                <wp:wrapNone/>
                <wp:docPr id="1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6E62" w:rsidRDefault="00E96E62" w:rsidP="00E96E62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eastAsia="Calibri" w:cstheme="minorBidi"/>
                                <w:sz w:val="21"/>
                                <w:szCs w:val="21"/>
                              </w:rPr>
                              <w:t>Healthy Aging</w:t>
                            </w:r>
                            <w:r>
                              <w:rPr>
                                <w:rFonts w:eastAsia="Calibri" w:cstheme="minorBidi"/>
                                <w:position w:val="-5"/>
                                <w:sz w:val="21"/>
                                <w:szCs w:val="21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09212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7.05pt;margin-top:.5pt;width:2in;height:37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" filled="f" stroked="f" strokeweight=".5pt">
                <v:textbox>
                  <w:txbxContent>
                    <w:p w:rsidR="00E96E62" w:rsidRDefault="00E96E62" w:rsidP="00E96E62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eastAsia="Calibri" w:cstheme="minorBidi"/>
                          <w:sz w:val="21"/>
                          <w:szCs w:val="21"/>
                        </w:rPr>
                        <w:t>Healthy Aging</w:t>
                      </w:r>
                      <w:r>
                        <w:rPr>
                          <w:rFonts w:eastAsia="Calibri" w:cstheme="minorBidi"/>
                          <w:position w:val="-5"/>
                          <w:sz w:val="21"/>
                          <w:szCs w:val="21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A323DE" wp14:editId="00A3A876">
                <wp:simplePos x="0" y="0"/>
                <wp:positionH relativeFrom="column">
                  <wp:posOffset>3848793</wp:posOffset>
                </wp:positionH>
                <wp:positionV relativeFrom="paragraph">
                  <wp:posOffset>6350</wp:posOffset>
                </wp:positionV>
                <wp:extent cx="1828800" cy="480060"/>
                <wp:effectExtent l="0" t="0" r="0" b="0"/>
                <wp:wrapNone/>
                <wp:docPr id="1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6E62" w:rsidRDefault="00E96E62" w:rsidP="00E96E62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eastAsia="Calibri" w:cstheme="minorBidi"/>
                                <w:sz w:val="21"/>
                                <w:szCs w:val="21"/>
                              </w:rPr>
                              <w:t>Unhealthy Aging</w:t>
                            </w:r>
                            <w:r>
                              <w:rPr>
                                <w:rFonts w:eastAsia="Calibri" w:cstheme="minorBidi"/>
                                <w:position w:val="-5"/>
                                <w:sz w:val="21"/>
                                <w:szCs w:val="21"/>
                                <w:vertAlign w:val="subscri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A323DE" id="_x0000_s1027" type="#_x0000_t202" style="position:absolute;margin-left:303.05pt;margin-top:.5pt;width:2in;height:37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" filled="f" stroked="f" strokeweight=".5pt">
                <v:textbox>
                  <w:txbxContent>
                    <w:p w:rsidR="00E96E62" w:rsidRDefault="00E96E62" w:rsidP="00E96E62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eastAsia="Calibri" w:cstheme="minorBidi"/>
                          <w:sz w:val="21"/>
                          <w:szCs w:val="21"/>
                        </w:rPr>
                        <w:t>Unhealthy Aging</w:t>
                      </w:r>
                      <w:r>
                        <w:rPr>
                          <w:rFonts w:eastAsia="Calibri" w:cstheme="minorBidi"/>
                          <w:position w:val="-5"/>
                          <w:sz w:val="21"/>
                          <w:szCs w:val="21"/>
                          <w:vertAlign w:val="subscript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4"/>
          <w:lang w:val="en-CA"/>
        </w:rPr>
        <w:t xml:space="preserve"> </w:t>
      </w:r>
    </w:p>
    <w:sectPr w:rsidR="00B333CB" w:rsidRPr="00E96E62" w:rsidSect="00FA07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62"/>
    <w:rsid w:val="00523B1E"/>
    <w:rsid w:val="0061147C"/>
    <w:rsid w:val="0073496D"/>
    <w:rsid w:val="00E96E62"/>
    <w:rsid w:val="00FD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1AE45"/>
  <w15:chartTrackingRefBased/>
  <w15:docId w15:val="{6E136C7E-446F-417D-A07B-11F07BC5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6E62"/>
    <w:pPr>
      <w:spacing w:before="100" w:beforeAutospacing="1" w:after="100" w:afterAutospacing="1" w:line="240" w:lineRule="auto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Paper%202\SPHA%20crude%20figure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1746821230679501"/>
          <c:y val="8.4433398079881927E-2"/>
          <c:w val="0.4967147856517935"/>
          <c:h val="0.85834632140054656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Sheet1!$G$1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0"/>
            <c:plus>
              <c:numRef>
                <c:f>Sheet1!$K$2:$K$25</c:f>
                <c:numCache>
                  <c:formatCode>General</c:formatCode>
                  <c:ptCount val="24"/>
                  <c:pt idx="0">
                    <c:v>0.33000000000000007</c:v>
                  </c:pt>
                  <c:pt idx="1">
                    <c:v>0.89000000000000012</c:v>
                  </c:pt>
                  <c:pt idx="2">
                    <c:v>0.37000000000000011</c:v>
                  </c:pt>
                  <c:pt idx="3">
                    <c:v>0.41000000000000014</c:v>
                  </c:pt>
                  <c:pt idx="4">
                    <c:v>1.3399999999999999</c:v>
                  </c:pt>
                  <c:pt idx="5">
                    <c:v>0.42000000000000015</c:v>
                  </c:pt>
                  <c:pt idx="6">
                    <c:v>0.15000000000000002</c:v>
                  </c:pt>
                  <c:pt idx="7">
                    <c:v>0.33999999999999997</c:v>
                  </c:pt>
                  <c:pt idx="8">
                    <c:v>0.20000000000000007</c:v>
                  </c:pt>
                  <c:pt idx="9">
                    <c:v>0.15000000000000002</c:v>
                  </c:pt>
                  <c:pt idx="10">
                    <c:v>0.30000000000000004</c:v>
                  </c:pt>
                  <c:pt idx="11">
                    <c:v>0.19000000000000006</c:v>
                  </c:pt>
                  <c:pt idx="12">
                    <c:v>0.18000000000000005</c:v>
                  </c:pt>
                  <c:pt idx="13">
                    <c:v>0.24</c:v>
                  </c:pt>
                  <c:pt idx="14">
                    <c:v>0.24</c:v>
                  </c:pt>
                  <c:pt idx="15">
                    <c:v>0.14999999999999991</c:v>
                  </c:pt>
                  <c:pt idx="16">
                    <c:v>0.28000000000000003</c:v>
                  </c:pt>
                  <c:pt idx="17">
                    <c:v>0.29000000000000004</c:v>
                  </c:pt>
                  <c:pt idx="18">
                    <c:v>8.9999999999999969E-2</c:v>
                  </c:pt>
                  <c:pt idx="19">
                    <c:v>0.31999999999999995</c:v>
                  </c:pt>
                  <c:pt idx="20">
                    <c:v>0.11999999999999994</c:v>
                  </c:pt>
                  <c:pt idx="21">
                    <c:v>9.9999999999999978E-2</c:v>
                  </c:pt>
                  <c:pt idx="22">
                    <c:v>0.22000000000000008</c:v>
                  </c:pt>
                  <c:pt idx="23">
                    <c:v>0.16000000000000003</c:v>
                  </c:pt>
                </c:numCache>
              </c:numRef>
            </c:plus>
            <c:minus>
              <c:numRef>
                <c:f>Sheet1!$I$2:$I$25</c:f>
                <c:numCache>
                  <c:formatCode>General</c:formatCode>
                  <c:ptCount val="24"/>
                  <c:pt idx="0">
                    <c:v>0.27</c:v>
                  </c:pt>
                  <c:pt idx="1">
                    <c:v>0.60000000000000009</c:v>
                  </c:pt>
                  <c:pt idx="2">
                    <c:v>0.29000000000000004</c:v>
                  </c:pt>
                  <c:pt idx="3">
                    <c:v>0.34000000000000008</c:v>
                  </c:pt>
                  <c:pt idx="4">
                    <c:v>0.89999999999999991</c:v>
                  </c:pt>
                  <c:pt idx="5">
                    <c:v>0.31999999999999984</c:v>
                  </c:pt>
                  <c:pt idx="6">
                    <c:v>0.13</c:v>
                  </c:pt>
                  <c:pt idx="7">
                    <c:v>0.25</c:v>
                  </c:pt>
                  <c:pt idx="8">
                    <c:v>0.14999999999999991</c:v>
                  </c:pt>
                  <c:pt idx="9">
                    <c:v>0.12</c:v>
                  </c:pt>
                  <c:pt idx="10">
                    <c:v>0.21999999999999997</c:v>
                  </c:pt>
                  <c:pt idx="11">
                    <c:v>0.14999999999999991</c:v>
                  </c:pt>
                  <c:pt idx="12">
                    <c:v>0.15000000000000002</c:v>
                  </c:pt>
                  <c:pt idx="13">
                    <c:v>0.16999999999999998</c:v>
                  </c:pt>
                  <c:pt idx="14">
                    <c:v>0.18000000000000005</c:v>
                  </c:pt>
                  <c:pt idx="15">
                    <c:v>0.12000000000000005</c:v>
                  </c:pt>
                  <c:pt idx="16">
                    <c:v>0.18</c:v>
                  </c:pt>
                  <c:pt idx="17">
                    <c:v>0.21000000000000008</c:v>
                  </c:pt>
                  <c:pt idx="18">
                    <c:v>7.0000000000000007E-2</c:v>
                  </c:pt>
                  <c:pt idx="19">
                    <c:v>0.22999999999999998</c:v>
                  </c:pt>
                  <c:pt idx="20">
                    <c:v>9.0000000000000024E-2</c:v>
                  </c:pt>
                  <c:pt idx="21">
                    <c:v>9.0000000000000024E-2</c:v>
                  </c:pt>
                  <c:pt idx="22">
                    <c:v>0.15999999999999998</c:v>
                  </c:pt>
                  <c:pt idx="23">
                    <c:v>0.13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Sheet1!$F$2:$F$47</c:f>
              <c:numCache>
                <c:formatCode>General</c:formatCode>
                <c:ptCount val="46"/>
                <c:pt idx="0">
                  <c:v>1.45</c:v>
                </c:pt>
                <c:pt idx="1">
                  <c:v>1.81</c:v>
                </c:pt>
                <c:pt idx="2">
                  <c:v>1.24</c:v>
                </c:pt>
                <c:pt idx="3">
                  <c:v>1.79</c:v>
                </c:pt>
                <c:pt idx="4">
                  <c:v>2.75</c:v>
                </c:pt>
                <c:pt idx="5">
                  <c:v>1.4</c:v>
                </c:pt>
                <c:pt idx="6">
                  <c:v>0.77</c:v>
                </c:pt>
                <c:pt idx="7">
                  <c:v>0.85</c:v>
                </c:pt>
                <c:pt idx="8">
                  <c:v>0.71</c:v>
                </c:pt>
                <c:pt idx="9">
                  <c:v>0.71</c:v>
                </c:pt>
                <c:pt idx="10">
                  <c:v>0.73</c:v>
                </c:pt>
                <c:pt idx="11">
                  <c:v>0.71</c:v>
                </c:pt>
                <c:pt idx="12">
                  <c:v>0.86</c:v>
                </c:pt>
                <c:pt idx="13">
                  <c:v>0.57999999999999996</c:v>
                </c:pt>
                <c:pt idx="14">
                  <c:v>0.81</c:v>
                </c:pt>
                <c:pt idx="15">
                  <c:v>0.55000000000000004</c:v>
                </c:pt>
                <c:pt idx="16">
                  <c:v>0.51</c:v>
                </c:pt>
                <c:pt idx="17">
                  <c:v>0.78</c:v>
                </c:pt>
                <c:pt idx="18">
                  <c:v>0.5</c:v>
                </c:pt>
                <c:pt idx="19">
                  <c:v>0.83</c:v>
                </c:pt>
                <c:pt idx="20">
                  <c:v>0.45</c:v>
                </c:pt>
                <c:pt idx="21">
                  <c:v>0.53</c:v>
                </c:pt>
                <c:pt idx="22">
                  <c:v>0.56999999999999995</c:v>
                </c:pt>
                <c:pt idx="23">
                  <c:v>0.63</c:v>
                </c:pt>
              </c:numCache>
            </c:numRef>
          </c:xVal>
          <c:yVal>
            <c:numRef>
              <c:f>Sheet1!$G$2:$G$47</c:f>
              <c:numCache>
                <c:formatCode>General</c:formatCode>
                <c:ptCount val="46"/>
                <c:pt idx="0">
                  <c:v>36</c:v>
                </c:pt>
                <c:pt idx="1">
                  <c:v>35</c:v>
                </c:pt>
                <c:pt idx="2">
                  <c:v>34</c:v>
                </c:pt>
                <c:pt idx="3">
                  <c:v>32</c:v>
                </c:pt>
                <c:pt idx="4">
                  <c:v>31</c:v>
                </c:pt>
                <c:pt idx="5">
                  <c:v>30</c:v>
                </c:pt>
                <c:pt idx="6">
                  <c:v>27</c:v>
                </c:pt>
                <c:pt idx="7">
                  <c:v>26</c:v>
                </c:pt>
                <c:pt idx="8">
                  <c:v>25</c:v>
                </c:pt>
                <c:pt idx="9">
                  <c:v>23</c:v>
                </c:pt>
                <c:pt idx="10">
                  <c:v>22</c:v>
                </c:pt>
                <c:pt idx="11">
                  <c:v>21</c:v>
                </c:pt>
                <c:pt idx="12">
                  <c:v>18</c:v>
                </c:pt>
                <c:pt idx="13">
                  <c:v>17</c:v>
                </c:pt>
                <c:pt idx="14">
                  <c:v>16</c:v>
                </c:pt>
                <c:pt idx="15">
                  <c:v>13</c:v>
                </c:pt>
                <c:pt idx="16">
                  <c:v>12</c:v>
                </c:pt>
                <c:pt idx="17">
                  <c:v>11</c:v>
                </c:pt>
                <c:pt idx="18">
                  <c:v>8</c:v>
                </c:pt>
                <c:pt idx="19">
                  <c:v>7</c:v>
                </c:pt>
                <c:pt idx="20">
                  <c:v>6</c:v>
                </c:pt>
                <c:pt idx="21">
                  <c:v>3</c:v>
                </c:pt>
                <c:pt idx="22">
                  <c:v>2</c:v>
                </c:pt>
                <c:pt idx="23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398-41F7-8546-B2AF4B3156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96756975"/>
        <c:axId val="1596763215"/>
      </c:scatterChart>
      <c:valAx>
        <c:axId val="1596756975"/>
        <c:scaling>
          <c:orientation val="minMax"/>
          <c:max val="4.5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/>
                  <a:t>Odds</a:t>
                </a:r>
                <a:r>
                  <a:rPr lang="en-US" sz="1050" baseline="0"/>
                  <a:t> Ratio </a:t>
                </a:r>
                <a:endParaRPr lang="en-US" sz="1050"/>
              </a:p>
            </c:rich>
          </c:tx>
          <c:layout>
            <c:manualLayout>
              <c:xMode val="edge"/>
              <c:yMode val="edge"/>
              <c:x val="0.38865908428113155"/>
              <c:y val="0.97338393267851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96763215"/>
        <c:crosses val="autoZero"/>
        <c:crossBetween val="midCat"/>
        <c:majorUnit val="1"/>
      </c:valAx>
      <c:valAx>
        <c:axId val="1596763215"/>
        <c:scaling>
          <c:orientation val="minMax"/>
          <c:max val="37"/>
          <c:min val="0"/>
        </c:scaling>
        <c:delete val="0"/>
        <c:axPos val="l"/>
        <c:numFmt formatCode="General" sourceLinked="1"/>
        <c:majorTickMark val="none"/>
        <c:minorTickMark val="none"/>
        <c:tickLblPos val="none"/>
        <c:spPr>
          <a:solidFill>
            <a:schemeClr val="tx1"/>
          </a:solidFill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96756975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0.03411</cdr:x>
      <cdr:y>0.0444</cdr:y>
    </cdr:from>
    <cdr:to>
      <cdr:x>0.20646</cdr:x>
      <cdr:y>0.97347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46282" y="318884"/>
          <a:ext cx="1244372" cy="66724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Sitting Time (14 hours/week or less)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14.1 to 18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18.1 to 24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Walking (2.25 hours/week or less)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1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2.26 to 4.5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1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4.6 to 24 hours/week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Light Intensity PA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Moderate Intensity PA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Strenuous Intensity PA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1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Strengthening Activity (No time reported)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1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Greater than 0 hours/week</a:t>
          </a:r>
          <a:endParaRPr kumimoji="0" lang="en-US" sz="1100" b="0" i="1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Asthma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COPD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LLN</a:t>
          </a:r>
        </a:p>
        <a:p xmlns:a="http://schemas.openxmlformats.org/drawingml/2006/main">
          <a:endParaRPr lang="en-US" sz="11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0.0409</cdr:x>
      <cdr:y>0.01724</cdr:y>
    </cdr:from>
    <cdr:to>
      <cdr:x>0.16755</cdr:x>
      <cdr:y>0.14456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95277" y="1238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 u="sng">
              <a:latin typeface="Times New Roman" panose="02020603050405020304" pitchFamily="18" charset="0"/>
              <a:cs typeface="Times New Roman" panose="02020603050405020304" pitchFamily="18" charset="0"/>
            </a:rPr>
            <a:t>Activity (referent category)</a:t>
          </a:r>
        </a:p>
      </cdr:txBody>
    </cdr:sp>
  </cdr:relSizeAnchor>
  <cdr:relSizeAnchor xmlns:cdr="http://schemas.openxmlformats.org/drawingml/2006/chartDrawing">
    <cdr:from>
      <cdr:x>0.80871</cdr:x>
      <cdr:y>0.03846</cdr:y>
    </cdr:from>
    <cdr:to>
      <cdr:x>0.93536</cdr:x>
      <cdr:y>0.16578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5838827" y="2762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2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0.81003</cdr:x>
      <cdr:y>0.01989</cdr:y>
    </cdr:from>
    <cdr:to>
      <cdr:x>0.93668</cdr:x>
      <cdr:y>0.97215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5848352" y="142875"/>
          <a:ext cx="914400" cy="6838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en-US" sz="1200" u="none">
              <a:latin typeface="Times New Roman" panose="02020603050405020304" pitchFamily="18" charset="0"/>
              <a:cs typeface="Times New Roman" panose="02020603050405020304" pitchFamily="18" charset="0"/>
            </a:rPr>
            <a:t>     </a:t>
          </a:r>
          <a:r>
            <a:rPr lang="en-US" sz="1200" u="sng">
              <a:latin typeface="Times New Roman" panose="02020603050405020304" pitchFamily="18" charset="0"/>
              <a:cs typeface="Times New Roman" panose="02020603050405020304" pitchFamily="18" charset="0"/>
            </a:rPr>
            <a:t> OR (95% CI)</a:t>
          </a:r>
        </a:p>
        <a:p xmlns:a="http://schemas.openxmlformats.org/drawingml/2006/main">
          <a:pPr algn="ctr"/>
          <a:endParaRPr lang="en-US" sz="1100" u="sng"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algn="ctr"/>
          <a:endParaRPr lang="en-US" sz="1050" u="sng">
            <a:latin typeface="Times New Roman" panose="02020603050405020304" pitchFamily="18" charset="0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1.45*** (1.18, 1.78)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1.81** (1.21, 2.70)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1.24 (0.95, 1.61)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 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1.79*** (1.45, 2.20)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2.75*** (1.85, 4.09)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1.40* (1.08, 1.82)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2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0.77** (0.64, 0.92)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0.85 (0.60, 1.19)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0.71** (0.56, 0.91)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0.71*** (0.59, 0.86)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0.73 (0.51, 1.03)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0.71** (0.56, 0.90)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0.86 (0.71, 1.04)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0.58** (0.41, 0.82)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0.81 (0.63, 1.05)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0.55*** (0.43, 0.70)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0.51** (0.33, 0.79)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0.78 (0.57, 1.07)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0.50*** (0.43, 0.59)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0.83 (0.60, 1.15)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0.45*** (0.36, 0.57)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  </a:t>
          </a:r>
          <a:endParaRPr kumimoji="0" lang="en-US" sz="110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0.53*** (0.44, 0.63)</a:t>
          </a:r>
          <a:r>
            <a:rPr kumimoji="0" lang="en-US" sz="1100" b="0" i="0" u="none" strike="noStrike" kern="0" cap="none" spc="1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1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0.57*** (0.41, 0.79)</a:t>
          </a:r>
          <a:r>
            <a:rPr kumimoji="0" lang="en-US" sz="11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endParaRPr kumimoji="0" lang="en-US" sz="1050" b="0" i="0" u="none" strike="noStrike" kern="0" cap="none" spc="0" normalizeH="0" baseline="0" noProof="0">
            <a:ln>
              <a:noFill/>
            </a:ln>
            <a:solidFill>
              <a:sysClr val="windowText" lastClr="000000"/>
            </a:solidFill>
            <a:effectLst/>
            <a:uLnTx/>
            <a:uFillTx/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20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kumimoji="0" lang="en-US" sz="1050" b="0" i="0" u="none" strike="noStrike" kern="0" cap="none" spc="0" normalizeH="0" baseline="0" noProof="0">
              <a:ln>
                <a:noFill/>
              </a:ln>
              <a:solidFill>
                <a:sysClr val="windowText" lastClr="000000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0.63*** (0.50, 0.79)</a:t>
          </a:r>
          <a:endParaRPr lang="en-US" sz="1200" u="sng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UOIT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Good</dc:creator>
  <cp:keywords/>
  <dc:description/>
  <cp:lastModifiedBy>Joshua Good</cp:lastModifiedBy>
  <cp:revision>1</cp:revision>
  <dcterms:created xsi:type="dcterms:W3CDTF">2018-05-11T19:23:00Z</dcterms:created>
  <dcterms:modified xsi:type="dcterms:W3CDTF">2018-05-11T19:23:00Z</dcterms:modified>
</cp:coreProperties>
</file>