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outlineLvl w:val="0"/>
        <w:rPr>
          <w:rFonts w:hint="default" w:ascii="Calibri" w:hAnsi="Calibri" w:cs="Calibri"/>
          <w:b/>
          <w:bCs/>
          <w:sz w:val="24"/>
          <w:shd w:val="clear" w:color="auto" w:fill="FFFFFF"/>
        </w:rPr>
      </w:pPr>
      <w:r>
        <w:rPr>
          <w:rFonts w:hint="default" w:ascii="Calibri" w:hAnsi="Calibri" w:cs="Calibri"/>
          <w:b/>
          <w:bCs/>
          <w:sz w:val="24"/>
          <w:shd w:val="clear" w:color="auto" w:fill="FFFFFF"/>
        </w:rPr>
        <w:t>Appendix 1: Details of Participating centers</w:t>
      </w:r>
    </w:p>
    <w:tbl>
      <w:tblPr>
        <w:tblStyle w:val="2"/>
        <w:tblW w:w="838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1"/>
        <w:gridCol w:w="1407"/>
        <w:gridCol w:w="1153"/>
        <w:gridCol w:w="1200"/>
        <w:gridCol w:w="153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02" w:hRule="atLeast"/>
        </w:trPr>
        <w:tc>
          <w:tcPr>
            <w:tcW w:w="309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outlineLvl w:val="0"/>
              <w:rPr>
                <w:rFonts w:hint="default" w:ascii="Calibri" w:hAnsi="Calibri" w:cs="Calibri"/>
                <w:sz w:val="24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  <w:t>Name of the hospital</w:t>
            </w:r>
          </w:p>
        </w:tc>
        <w:tc>
          <w:tcPr>
            <w:tcW w:w="140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spacing w:before="240" w:after="64" w:line="360" w:lineRule="auto"/>
              <w:jc w:val="center"/>
              <w:outlineLvl w:val="0"/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  <w:t>Province, city</w:t>
            </w:r>
          </w:p>
        </w:tc>
        <w:tc>
          <w:tcPr>
            <w:tcW w:w="1153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spacing w:before="240" w:after="64" w:line="360" w:lineRule="auto"/>
              <w:jc w:val="center"/>
              <w:outlineLvl w:val="0"/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  <w:t>Teaching Hospital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/>
              <w:keepLines/>
              <w:spacing w:before="240" w:after="64" w:line="360" w:lineRule="auto"/>
              <w:jc w:val="center"/>
              <w:outlineLvl w:val="0"/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  <w:t>Beds</w:t>
            </w:r>
          </w:p>
        </w:tc>
        <w:tc>
          <w:tcPr>
            <w:tcW w:w="1537" w:type="dxa"/>
            <w:tcBorders>
              <w:top w:val="single" w:color="auto" w:sz="4" w:space="0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/>
              <w:keepLines/>
              <w:spacing w:before="240" w:after="64" w:line="360" w:lineRule="auto"/>
              <w:jc w:val="center"/>
              <w:outlineLvl w:val="0"/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  <w:t>Staff</w:t>
            </w:r>
            <w:r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  <w:lang w:val="en-US" w:eastAsia="zh-CN"/>
              </w:rPr>
              <w:t>s</w:t>
            </w:r>
            <w:r>
              <w:rPr>
                <w:rFonts w:hint="default" w:ascii="Calibri" w:hAnsi="Calibri" w:cs="Calibri"/>
                <w:b/>
                <w:bCs/>
                <w:color w:val="000000"/>
                <w:szCs w:val="21"/>
                <w:shd w:val="clear" w:color="auto" w:fill="FFFFFF"/>
              </w:rPr>
              <w:t xml:space="preserve"> of Clinical Microbioloy Lab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1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>Beijing Jishuitan Hospital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>4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  <w:vertAlign w:val="superscript"/>
              </w:rPr>
              <w:t>th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 xml:space="preserve"> Medical College of Peking University</w:t>
            </w:r>
          </w:p>
        </w:tc>
        <w:tc>
          <w:tcPr>
            <w:tcW w:w="1407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Beijing</w:t>
            </w:r>
          </w:p>
        </w:tc>
        <w:tc>
          <w:tcPr>
            <w:tcW w:w="1153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Yes</w:t>
            </w:r>
          </w:p>
        </w:tc>
        <w:tc>
          <w:tcPr>
            <w:tcW w:w="1200" w:type="dxa"/>
            <w:tcBorders>
              <w:top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1500</w:t>
            </w:r>
          </w:p>
        </w:tc>
        <w:tc>
          <w:tcPr>
            <w:tcW w:w="1537" w:type="dxa"/>
            <w:tcBorders>
              <w:top w:val="single" w:color="auto" w:sz="4" w:space="0"/>
              <w:left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 w:eastAsiaTheme="minorEastAsia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1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Beijing Chao-Yang Hospital</w:t>
            </w:r>
            <w:r>
              <w:rPr>
                <w:rStyle w:val="5"/>
                <w:rFonts w:hint="default" w:ascii="Calibri" w:hAnsi="Calibri" w:cs="Calibri"/>
                <w:color w:val="000000"/>
                <w:sz w:val="21"/>
                <w:szCs w:val="21"/>
              </w:rPr>
              <w:t xml:space="preserve"> </w:t>
            </w:r>
            <w:r>
              <w:rPr>
                <w:rStyle w:val="5"/>
                <w:rFonts w:hint="default" w:ascii="Calibri" w:hAnsi="Calibri" w:cs="Calibri"/>
                <w:b w:val="0"/>
                <w:color w:val="000000"/>
                <w:sz w:val="21"/>
                <w:szCs w:val="21"/>
              </w:rPr>
              <w:t xml:space="preserve">Affiliated to 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Capital Medical University</w:t>
            </w:r>
          </w:p>
        </w:tc>
        <w:tc>
          <w:tcPr>
            <w:tcW w:w="1407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Beijing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Yes</w:t>
            </w:r>
          </w:p>
        </w:tc>
        <w:tc>
          <w:tcPr>
            <w:tcW w:w="1200" w:type="dxa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highlight w:val="yellow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1400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 w:eastAsiaTheme="minorEastAsia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1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000000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line="360" w:lineRule="auto"/>
              <w:jc w:val="left"/>
              <w:textAlignment w:val="auto"/>
              <w:rPr>
                <w:rFonts w:hint="default" w:ascii="Calibri" w:hAnsi="Calibri" w:cs="Calibr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Style w:val="5"/>
                <w:rFonts w:hint="default" w:ascii="Calibri" w:hAnsi="Calibri" w:cs="Calibri"/>
                <w:b w:val="0"/>
                <w:color w:val="000000"/>
                <w:sz w:val="21"/>
                <w:szCs w:val="21"/>
              </w:rPr>
              <w:t>the 2nd People’s Hospital of Yunnan Province</w:t>
            </w:r>
          </w:p>
        </w:tc>
        <w:tc>
          <w:tcPr>
            <w:tcW w:w="1407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Style w:val="5"/>
                <w:rFonts w:hint="default" w:ascii="Calibri" w:hAnsi="Calibri" w:cs="Calibri"/>
                <w:b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default" w:ascii="Calibri" w:hAnsi="Calibri" w:cs="Calibri"/>
                <w:b w:val="0"/>
                <w:color w:val="000000"/>
                <w:sz w:val="21"/>
                <w:szCs w:val="21"/>
              </w:rPr>
              <w:t>Kunming,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Style w:val="5"/>
                <w:rFonts w:hint="default" w:ascii="Calibri" w:hAnsi="Calibri" w:cs="Calibri"/>
                <w:b w:val="0"/>
                <w:color w:val="000000"/>
                <w:sz w:val="21"/>
                <w:szCs w:val="21"/>
              </w:rPr>
              <w:t>Yan</w:t>
            </w:r>
            <w:r>
              <w:rPr>
                <w:rStyle w:val="5"/>
                <w:rFonts w:hint="default" w:ascii="Calibri" w:hAnsi="Calibri" w:cs="Calibri"/>
                <w:b w:val="0"/>
                <w:bCs w:val="0"/>
                <w:color w:val="000000"/>
                <w:sz w:val="21"/>
                <w:szCs w:val="21"/>
              </w:rPr>
              <w:t>’</w:t>
            </w:r>
            <w:r>
              <w:rPr>
                <w:rStyle w:val="5"/>
                <w:rFonts w:hint="default" w:ascii="Calibri" w:hAnsi="Calibri" w:cs="Calibri"/>
                <w:b w:val="0"/>
                <w:color w:val="000000"/>
                <w:sz w:val="21"/>
                <w:szCs w:val="21"/>
              </w:rPr>
              <w:t>an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Yes</w:t>
            </w:r>
          </w:p>
        </w:tc>
        <w:tc>
          <w:tcPr>
            <w:tcW w:w="1200" w:type="dxa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1302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 w:eastAsiaTheme="minorEastAsia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3091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line="360" w:lineRule="auto"/>
              <w:jc w:val="left"/>
              <w:textAlignment w:val="auto"/>
              <w:rPr>
                <w:rFonts w:hint="default" w:ascii="Calibri" w:hAnsi="Calibri" w:cs="Calibri"/>
                <w:bCs/>
                <w:color w:val="000000"/>
                <w:sz w:val="21"/>
                <w:szCs w:val="21"/>
              </w:rPr>
            </w:pPr>
            <w:r>
              <w:rPr>
                <w:rStyle w:val="5"/>
                <w:rFonts w:hint="default" w:ascii="Calibri" w:hAnsi="Calibri" w:cs="Calibri"/>
                <w:b w:val="0"/>
                <w:color w:val="000000"/>
                <w:sz w:val="21"/>
                <w:szCs w:val="21"/>
              </w:rPr>
              <w:t>Qingdao Municipal Hospital</w:t>
            </w:r>
          </w:p>
        </w:tc>
        <w:tc>
          <w:tcPr>
            <w:tcW w:w="1407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ShanDong,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Qingdao</w:t>
            </w:r>
          </w:p>
        </w:tc>
        <w:tc>
          <w:tcPr>
            <w:tcW w:w="1153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Yes</w:t>
            </w:r>
          </w:p>
        </w:tc>
        <w:tc>
          <w:tcPr>
            <w:tcW w:w="1200" w:type="dxa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1200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 w:eastAsiaTheme="minorEastAsia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1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outlineLvl w:val="0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  <w:lang w:val="en-US" w:eastAsia="zh-CN"/>
              </w:rPr>
              <w:t>Beijing Huimin</w:t>
            </w:r>
            <w:r>
              <w:rPr>
                <w:rFonts w:hint="default" w:ascii="Calibri" w:hAnsi="Calibri" w:cs="Calibri"/>
                <w:color w:val="000000"/>
                <w:sz w:val="21"/>
                <w:szCs w:val="21"/>
              </w:rPr>
              <w:t xml:space="preserve"> Hospital</w:t>
            </w:r>
          </w:p>
        </w:tc>
        <w:tc>
          <w:tcPr>
            <w:tcW w:w="1407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color w:val="000000"/>
                <w:sz w:val="21"/>
                <w:szCs w:val="21"/>
                <w:shd w:val="clear" w:color="auto" w:fill="FFFFFF"/>
              </w:rPr>
              <w:t>Beijing</w:t>
            </w:r>
          </w:p>
        </w:tc>
        <w:tc>
          <w:tcPr>
            <w:tcW w:w="1153" w:type="dxa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Yes</w:t>
            </w:r>
          </w:p>
        </w:tc>
        <w:tc>
          <w:tcPr>
            <w:tcW w:w="1200" w:type="dxa"/>
            <w:tcBorders>
              <w:top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 w:eastAsiaTheme="minorEastAsia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000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0"/>
              <w:rPr>
                <w:rFonts w:hint="default" w:ascii="Calibri" w:hAnsi="Calibri" w:cs="Calibri" w:eastAsiaTheme="minorEastAsia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default" w:ascii="Calibri" w:hAnsi="Calibri" w:cs="Calibri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2</w:t>
            </w:r>
          </w:p>
        </w:tc>
      </w:tr>
    </w:tbl>
    <w:p>
      <w:pPr>
        <w:rPr>
          <w:rFonts w:hint="default" w:ascii="Calibri" w:hAnsi="Calibri" w:cs="Calibri"/>
          <w:lang w:val="en-US" w:eastAsia="zh-CN"/>
        </w:rPr>
      </w:pPr>
    </w:p>
    <w:p>
      <w:pPr>
        <w:spacing w:line="360" w:lineRule="auto"/>
        <w:rPr>
          <w:rFonts w:hint="default" w:ascii="Calibri" w:hAnsi="Calibri" w:cs="Calibri"/>
          <w:b/>
          <w:bCs/>
          <w:sz w:val="24"/>
          <w:szCs w:val="24"/>
          <w:lang w:val="en-US" w:eastAsia="zh-CN"/>
        </w:rPr>
      </w:pPr>
      <w:r>
        <w:rPr>
          <w:rFonts w:hint="default" w:ascii="Calibri" w:hAnsi="Calibri" w:cs="Calibri"/>
          <w:b/>
          <w:bCs/>
          <w:sz w:val="24"/>
          <w:szCs w:val="24"/>
          <w:lang w:val="en-US" w:eastAsia="zh-CN"/>
        </w:rPr>
        <w:t xml:space="preserve">Appendix </w:t>
      </w:r>
      <w:r>
        <w:rPr>
          <w:rFonts w:hint="default" w:ascii="Calibri" w:hAnsi="Calibri" w:cs="Calibri"/>
          <w:b/>
          <w:bCs/>
          <w:sz w:val="24"/>
          <w:szCs w:val="24"/>
          <w:lang w:val="en-US" w:eastAsia="zh-CN"/>
        </w:rPr>
        <w:t>2</w:t>
      </w:r>
      <w:r>
        <w:rPr>
          <w:rFonts w:hint="default" w:ascii="Calibri" w:hAnsi="Calibri" w:cs="Calibri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eastAsia="华文琥珀" w:cs="Calibri"/>
          <w:b/>
          <w:bCs/>
          <w:color w:val="000000"/>
          <w:sz w:val="24"/>
          <w:szCs w:val="24"/>
        </w:rPr>
        <w:t xml:space="preserve">Definition of </w:t>
      </w:r>
      <w:r>
        <w:rPr>
          <w:rFonts w:hint="default" w:ascii="Calibri" w:hAnsi="Calibri" w:cs="Calibri"/>
          <w:b/>
          <w:bCs/>
          <w:color w:val="000000"/>
          <w:sz w:val="24"/>
          <w:szCs w:val="24"/>
        </w:rPr>
        <w:t xml:space="preserve">microbiological criteria of </w:t>
      </w:r>
      <w:r>
        <w:rPr>
          <w:rFonts w:hint="default" w:ascii="Calibri" w:hAnsi="Calibri" w:cs="Calibri"/>
          <w:b/>
          <w:bCs/>
          <w:sz w:val="24"/>
          <w:szCs w:val="24"/>
          <w:vertAlign w:val="baseline"/>
          <w:lang w:val="en-US" w:eastAsia="zh-CN"/>
        </w:rPr>
        <w:t>c</w:t>
      </w:r>
      <w:r>
        <w:rPr>
          <w:rFonts w:hint="default" w:ascii="Calibri" w:hAnsi="Calibri" w:cs="Calibri"/>
          <w:b/>
          <w:bCs/>
          <w:sz w:val="24"/>
          <w:szCs w:val="24"/>
          <w:vertAlign w:val="baseline"/>
          <w:lang w:val="en-US" w:eastAsia="zh-CN"/>
        </w:rPr>
        <w:t xml:space="preserve">oinfected </w:t>
      </w:r>
      <w:r>
        <w:rPr>
          <w:rFonts w:hint="default" w:ascii="Calibri" w:hAnsi="Calibri" w:cs="Calibri"/>
          <w:b/>
          <w:bCs/>
          <w:sz w:val="24"/>
          <w:szCs w:val="24"/>
          <w:vertAlign w:val="baseline"/>
          <w:lang w:val="en-US" w:eastAsia="zh-CN"/>
        </w:rPr>
        <w:t xml:space="preserve">other </w:t>
      </w:r>
      <w:r>
        <w:rPr>
          <w:rFonts w:hint="default" w:ascii="Calibri" w:hAnsi="Calibri" w:cs="Calibri"/>
          <w:b/>
          <w:bCs/>
          <w:sz w:val="24"/>
          <w:szCs w:val="24"/>
          <w:vertAlign w:val="baseline"/>
          <w:lang w:val="en-US" w:eastAsia="zh-CN"/>
        </w:rPr>
        <w:t>pathogens</w:t>
      </w:r>
    </w:p>
    <w:p>
      <w:pPr>
        <w:spacing w:line="360" w:lineRule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  <w:highlight w:val="yellow"/>
        </w:rPr>
      </w:pPr>
      <w:r>
        <w:rPr>
          <w:rFonts w:hint="default" w:ascii="Calibri" w:hAnsi="Calibri" w:eastAsia="华文琥珀" w:cs="Calibri"/>
          <w:b/>
          <w:bCs/>
          <w:color w:val="000000"/>
          <w:sz w:val="24"/>
          <w:szCs w:val="24"/>
        </w:rPr>
        <w:t>Definite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, if one of the following criteria was met: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Positive urinary antigen for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Legionella pneumophila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;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Positive urinary antigen for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Streptococcus pneumoniae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;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Positive bacterial culture from blood or plural fluid except for coagulase negative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Staphylococcus spp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Paired sera with a fourfold or more increase in the titers of antibodies to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Mycoplasma pneumoniae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(MP),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Chlamydia pneumonia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,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 xml:space="preserve">L pneumophila or 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>respiratory viruses (Adenovirus,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 xml:space="preserve"> </w:t>
      </w:r>
      <w:r>
        <w:rPr>
          <w:rFonts w:hint="default" w:ascii="Calibri" w:hAnsi="Calibri" w:eastAsia="华文琥珀" w:cs="Calibri"/>
          <w:color w:val="000000"/>
          <w:sz w:val="24"/>
          <w:szCs w:val="24"/>
        </w:rPr>
        <w:t>Respiratory syncytial virus)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 xml:space="preserve">. 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Or Serum IgM antibody (MIF) 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sym w:font="Symbol" w:char="F0B3"/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1:16 for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Chlamydia pneumonia.</w:t>
      </w:r>
    </w:p>
    <w:p>
      <w:pPr>
        <w:spacing w:line="360" w:lineRule="auto"/>
        <w:jc w:val="left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/>
          <w:bCs/>
          <w:color w:val="000000"/>
          <w:sz w:val="24"/>
          <w:szCs w:val="24"/>
        </w:rPr>
        <w:t>Probable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, if one of the following criteria was met: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Detection of respiratory virus in sputum/bronchoalveolar lavage (BAL)/throat swabs by Realtime-PCR according to manufacturer’s instructions, including respiratory syncytial virus (RSV) types A and B, parainfluenza virus (PIV) types 1, 2, 3 and 4, rhinovirus (HRV), enterovirus (EV), coronavirus (hCoV) types 229E, NL63, OC43 and HKU1, parapneumovirus (hMPV), and adenovirus (AdV), bocavirus;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Bacteria isolated form purulent sputum (defined as an adequate quality sputum sample with &gt; 25 leukocytes and &lt; 10 epithelial cells per × 100 magnification field) with compatible findings of Gram staining;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Detection of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Mycoplasma pneumoniae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(MP),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Chlamydia pneumonia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or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L pneumophila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in sputum/BAL/throat swabs by Realtime-PCR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  <w:lang w:val="en-US" w:eastAsia="zh-CN"/>
        </w:rPr>
        <w:t>;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Serum IgM antibody positive for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Mycoplasma pneumoniae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(MP), or Serum IgG antibody (MIF) </w:t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sym w:font="Symbol" w:char="F0B3"/>
      </w:r>
      <w:r>
        <w:rPr>
          <w:rFonts w:hint="default" w:ascii="Calibri" w:hAnsi="Calibri" w:eastAsia="华文琥珀" w:cs="Calibri"/>
          <w:bCs/>
          <w:color w:val="000000"/>
          <w:sz w:val="24"/>
          <w:szCs w:val="24"/>
        </w:rPr>
        <w:t xml:space="preserve"> 1:512 for </w:t>
      </w:r>
      <w:r>
        <w:rPr>
          <w:rFonts w:hint="default" w:ascii="Calibri" w:hAnsi="Calibri" w:eastAsia="华文琥珀" w:cs="Calibri"/>
          <w:bCs/>
          <w:i/>
          <w:color w:val="000000"/>
          <w:sz w:val="24"/>
          <w:szCs w:val="24"/>
        </w:rPr>
        <w:t>Chlamydia pneumonia.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outlineLvl w:val="0"/>
        <w:rPr>
          <w:rFonts w:hint="default" w:ascii="Calibri" w:hAnsi="Calibri" w:eastAsia="华文琥珀" w:cs="Calibri"/>
          <w:color w:val="000000"/>
          <w:sz w:val="24"/>
          <w:szCs w:val="24"/>
        </w:rPr>
      </w:pPr>
    </w:p>
    <w:p>
      <w:pPr>
        <w:rPr>
          <w:rFonts w:hint="default" w:ascii="Calibri" w:hAnsi="Calibri" w:cs="Calibri"/>
          <w:b/>
          <w:bCs/>
          <w:sz w:val="24"/>
          <w:szCs w:val="24"/>
          <w:lang w:val="en-US" w:eastAsia="zh-CN"/>
        </w:rPr>
      </w:pPr>
      <w:r>
        <w:rPr>
          <w:rFonts w:hint="default" w:ascii="Calibri" w:hAnsi="Calibri" w:cs="Calibri"/>
          <w:b/>
          <w:bCs/>
          <w:sz w:val="24"/>
          <w:szCs w:val="24"/>
          <w:lang w:val="en-US" w:eastAsia="zh-CN"/>
        </w:rPr>
        <w:t xml:space="preserve">Appendix </w:t>
      </w:r>
      <w:r>
        <w:rPr>
          <w:rFonts w:hint="default" w:ascii="Calibri" w:hAnsi="Calibri" w:cs="Calibri"/>
          <w:b/>
          <w:bCs/>
          <w:sz w:val="24"/>
          <w:szCs w:val="24"/>
          <w:lang w:val="en-US" w:eastAsia="zh-CN"/>
        </w:rPr>
        <w:t>3</w:t>
      </w:r>
      <w:r>
        <w:rPr>
          <w:rFonts w:hint="default" w:ascii="Calibri" w:hAnsi="Calibri" w:cs="Calibri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Definition of underlying diseases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>Chronic pulmonary disease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 was defined as: persistent airflow limitation, FEV</w:t>
      </w:r>
      <w:r>
        <w:rPr>
          <w:rFonts w:hint="default" w:ascii="Calibri" w:hAnsi="Calibri" w:cs="Calibri"/>
          <w:sz w:val="24"/>
          <w:szCs w:val="24"/>
          <w:vertAlign w:val="subscript"/>
          <w:lang w:val="en-US" w:eastAsia="zh-CN"/>
        </w:rPr>
        <w:t>1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 / FVC &lt; 70% post bronchodilator;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>Asthma was defined by the history of respiratory symptoms such as wheeze, cough that varied over time and intensity, together with variable respiratory airway limitation;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>Chronic congestive heart failure was defined as cardiomegaly and ejection fraction ≤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>40%;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>Cerebrovascular diseases included transient ischemic attack, cerebral hemorrhage, subarachnoid hemorrhage, cerebral infarction;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>Di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>a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>betes mellitus: included diabetes mellitus type 1 and diabetes mellitus type 2, not included impaired glucose tolerance and impaired fasting glycaemia;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outlineLvl w:val="0"/>
        <w:rPr>
          <w:rFonts w:hint="default" w:ascii="Calibri" w:hAnsi="Calibri" w:cs="Calibri"/>
          <w:color w:val="000000"/>
          <w:sz w:val="24"/>
          <w:szCs w:val="24"/>
        </w:rPr>
      </w:pPr>
      <w:r>
        <w:rPr>
          <w:rFonts w:hint="default" w:ascii="Calibri" w:hAnsi="Calibri" w:cs="Calibri"/>
          <w:color w:val="000000"/>
          <w:sz w:val="24"/>
          <w:szCs w:val="24"/>
        </w:rPr>
        <w:t>Chronic kidney disease included diabetic nephropathy, hypertensive renal damage, chronic glomerulonephritis, chronic pyelonephritis, lupus nephritis, IgA nephropathy, nephrotic syndrome, hereditary kidney disease, etc;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color w:val="C00000"/>
          <w:sz w:val="24"/>
          <w:szCs w:val="24"/>
        </w:rPr>
        <w:t>Immunocompromised status included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 xml:space="preserve">: 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ⅰ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)</w:t>
      </w:r>
      <w:r>
        <w:rPr>
          <w:rFonts w:hint="default" w:ascii="Calibri" w:hAnsi="Calibri" w:cs="Calibri"/>
          <w:color w:val="C00000"/>
          <w:sz w:val="24"/>
          <w:szCs w:val="24"/>
        </w:rPr>
        <w:t xml:space="preserve"> 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r</w:t>
      </w:r>
      <w:r>
        <w:rPr>
          <w:rFonts w:hint="default" w:ascii="Calibri" w:hAnsi="Calibri" w:cs="Calibri"/>
          <w:color w:val="C00000"/>
          <w:sz w:val="24"/>
          <w:szCs w:val="24"/>
        </w:rPr>
        <w:t>ecent history of neutropenia (&lt;0.5 × 10</w:t>
      </w:r>
      <w:r>
        <w:rPr>
          <w:rFonts w:hint="default" w:ascii="Calibri" w:hAnsi="Calibri" w:cs="Calibri"/>
          <w:color w:val="C00000"/>
          <w:sz w:val="24"/>
          <w:szCs w:val="24"/>
          <w:vertAlign w:val="superscript"/>
        </w:rPr>
        <w:t>9</w:t>
      </w:r>
      <w:r>
        <w:rPr>
          <w:rFonts w:hint="default" w:ascii="Calibri" w:hAnsi="Calibri" w:cs="Calibri"/>
          <w:color w:val="C00000"/>
          <w:sz w:val="24"/>
          <w:szCs w:val="24"/>
        </w:rPr>
        <w:t xml:space="preserve"> neutrophils/L [&lt; 500 neutrophils/mm</w:t>
      </w:r>
      <w:r>
        <w:rPr>
          <w:rFonts w:hint="default" w:ascii="Calibri" w:hAnsi="Calibri" w:cs="Calibri"/>
          <w:color w:val="C00000"/>
          <w:sz w:val="24"/>
          <w:szCs w:val="24"/>
          <w:vertAlign w:val="superscript"/>
        </w:rPr>
        <w:t>3</w:t>
      </w:r>
      <w:r>
        <w:rPr>
          <w:rFonts w:hint="default" w:ascii="Calibri" w:hAnsi="Calibri" w:cs="Calibri"/>
          <w:color w:val="C00000"/>
          <w:sz w:val="24"/>
          <w:szCs w:val="24"/>
        </w:rPr>
        <w:t>] for &gt;10 days) temporally related to the onset of invasive fungal disease；ⅱ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) h</w:t>
      </w:r>
      <w:r>
        <w:rPr>
          <w:rFonts w:hint="default" w:ascii="Calibri" w:hAnsi="Calibri" w:cs="Calibri"/>
          <w:color w:val="C00000"/>
          <w:sz w:val="24"/>
          <w:szCs w:val="24"/>
        </w:rPr>
        <w:t>ematologic malignancya; ⅲ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) r</w:t>
      </w:r>
      <w:r>
        <w:rPr>
          <w:rFonts w:hint="default" w:ascii="Calibri" w:hAnsi="Calibri" w:cs="Calibri"/>
          <w:color w:val="C00000"/>
          <w:sz w:val="24"/>
          <w:szCs w:val="24"/>
        </w:rPr>
        <w:t>eceipt of an allogeneic stem cell transplant; ⅳ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) r</w:t>
      </w:r>
      <w:r>
        <w:rPr>
          <w:rFonts w:hint="default" w:ascii="Calibri" w:hAnsi="Calibri" w:cs="Calibri"/>
          <w:color w:val="C00000"/>
          <w:sz w:val="24"/>
          <w:szCs w:val="24"/>
        </w:rPr>
        <w:t xml:space="preserve">eceipt of a solid organ transplant; </w:t>
      </w:r>
      <w:r>
        <w:rPr>
          <w:rFonts w:hint="default" w:ascii="Calibri" w:hAnsi="Calibri" w:eastAsia="微软雅黑" w:cs="Calibri"/>
          <w:color w:val="C00000"/>
          <w:sz w:val="20"/>
          <w:szCs w:val="20"/>
        </w:rPr>
        <w:t>Ⅴ</w:t>
      </w:r>
      <w:r>
        <w:rPr>
          <w:rFonts w:hint="default" w:ascii="Calibri" w:hAnsi="Calibri" w:eastAsia="微软雅黑" w:cs="Calibri"/>
          <w:color w:val="C00000"/>
          <w:sz w:val="24"/>
          <w:szCs w:val="24"/>
          <w:lang w:val="en-US" w:eastAsia="zh-CN"/>
        </w:rPr>
        <w:t>) p</w:t>
      </w:r>
      <w:r>
        <w:rPr>
          <w:rFonts w:hint="default" w:ascii="Calibri" w:hAnsi="Calibri" w:cs="Calibri"/>
          <w:color w:val="C00000"/>
          <w:sz w:val="24"/>
          <w:szCs w:val="24"/>
        </w:rPr>
        <w:t>rolonged use of corticosteroids (excluding among patients with allergic bronchopulmonary aspergillosis) at a therapeutic dose of ≥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cs="Calibri"/>
          <w:color w:val="C00000"/>
          <w:sz w:val="24"/>
          <w:szCs w:val="24"/>
        </w:rPr>
        <w:t>0.3 mg/kg corticosteroids for ≥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cs="Calibri"/>
          <w:color w:val="C00000"/>
          <w:sz w:val="24"/>
          <w:szCs w:val="24"/>
        </w:rPr>
        <w:t>3 weeks in the past 60 days; ⅵ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) t</w:t>
      </w:r>
      <w:r>
        <w:rPr>
          <w:rFonts w:hint="default" w:ascii="Calibri" w:hAnsi="Calibri" w:cs="Calibri"/>
          <w:color w:val="C00000"/>
          <w:sz w:val="24"/>
          <w:szCs w:val="24"/>
        </w:rPr>
        <w:t>reatment with other recognized T-cell immunosuppressants, such as calcineurin inhibitors, tumor necrosis factor-a blockers, lymphocytespecific monoclonal antibodies, immunosuppressive nucleoside analogues during the past 90 days; Ⅶ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) t</w:t>
      </w:r>
      <w:r>
        <w:rPr>
          <w:rFonts w:hint="default" w:ascii="Calibri" w:hAnsi="Calibri" w:cs="Calibri"/>
          <w:color w:val="C00000"/>
          <w:sz w:val="24"/>
          <w:szCs w:val="24"/>
        </w:rPr>
        <w:t>reatment with recognized B-cell immunosuppressants, such as Bruton’s tyrosine kinase inhibitors, eg, ibrutinib; Ⅷ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) i</w:t>
      </w:r>
      <w:r>
        <w:rPr>
          <w:rFonts w:hint="default" w:ascii="Calibri" w:hAnsi="Calibri" w:cs="Calibri"/>
          <w:color w:val="C00000"/>
          <w:sz w:val="24"/>
          <w:szCs w:val="24"/>
        </w:rPr>
        <w:t>nherited severe immunodeficiency (such as chronic granulomatous disease, STAT 3 deficiency, or severe combined immunodeficiency); Ⅸ</w:t>
      </w:r>
      <w:r>
        <w:rPr>
          <w:rFonts w:hint="default" w:ascii="Calibri" w:hAnsi="Calibri" w:cs="Calibri"/>
          <w:color w:val="C00000"/>
          <w:sz w:val="24"/>
          <w:szCs w:val="24"/>
          <w:lang w:val="en-US" w:eastAsia="zh-CN"/>
        </w:rPr>
        <w:t>) a</w:t>
      </w:r>
      <w:r>
        <w:rPr>
          <w:rFonts w:hint="default" w:ascii="Calibri" w:hAnsi="Calibri" w:cs="Calibri"/>
          <w:color w:val="C00000"/>
          <w:sz w:val="24"/>
          <w:szCs w:val="24"/>
        </w:rPr>
        <w:t>cute graft-versus-host disease grade III or IV involving the gut, lungs, or liver that is refractory to first-line treatment with steroids.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>Smoking history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 defined as: cigarette smokers of 10 cigarettes/d during at least the previous year.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 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>Alcoholism history</w:t>
      </w: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 defined as: drinking more than 5 bottles of beer (500ml / bottle) or half a catty liquor once in 2 weeks; or drinking more than 2.5 bottles of beer (500ml / bottle) or 2 ounc of white spirit per day for more than five years.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 Septic shock was defined as hypotension requiring use of vasopressors to maintain mean blood pressure of 65 mmHg or greater and having a serum lactate level greater than 2 mmol/L persisting after adequate fluid resuscitation.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both"/>
        <w:textAlignment w:val="auto"/>
        <w:rPr>
          <w:rFonts w:hint="default" w:ascii="Calibri" w:hAnsi="Calibri" w:cs="Calibri"/>
          <w:sz w:val="24"/>
          <w:szCs w:val="24"/>
          <w:lang w:val="en-US" w:eastAsia="zh-CN"/>
        </w:rPr>
      </w:pPr>
      <w:r>
        <w:rPr>
          <w:rFonts w:hint="default" w:ascii="Calibri" w:hAnsi="Calibri" w:cs="Calibri"/>
          <w:sz w:val="24"/>
          <w:szCs w:val="24"/>
          <w:lang w:val="en-US" w:eastAsia="zh-CN"/>
        </w:rPr>
        <w:t xml:space="preserve"> Acute renal failure was defined as a more than threefold rise in serum creatinine concentration compared to baselinewith an increase of at least 4 mg/dL, accompanied by reduction of urine excretion to &lt; 0.3 mL/kg for≥ 24 h or anuria for ≥ 12 h.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default" w:ascii="Calibri" w:hAnsi="Calibri" w:cs="Calibri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default" w:ascii="Calibri" w:hAnsi="Calibri" w:cs="Calibri"/>
          <w:color w:val="000000"/>
          <w:sz w:val="24"/>
          <w:szCs w:val="24"/>
        </w:rPr>
      </w:pPr>
    </w:p>
    <w:p>
      <w:pPr>
        <w:rPr>
          <w:rFonts w:hint="default" w:ascii="Calibri" w:hAnsi="Calibri" w:cs="Calibri"/>
          <w:b/>
          <w:bCs/>
          <w:sz w:val="15"/>
          <w:szCs w:val="15"/>
          <w:lang w:val="en-US" w:eastAsia="zh-CN"/>
        </w:rPr>
      </w:pPr>
      <w:r>
        <w:rPr>
          <w:rFonts w:hint="default" w:ascii="Calibri" w:hAnsi="Calibri" w:cs="Calibri"/>
          <w:b/>
          <w:bCs/>
          <w:sz w:val="15"/>
          <w:szCs w:val="15"/>
          <w:lang w:val="en-US" w:eastAsia="zh-CN"/>
        </w:rPr>
        <w:t xml:space="preserve">Appendix 4 coinfection with other pathogens 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1"/>
        <w:gridCol w:w="1967"/>
        <w:gridCol w:w="1877"/>
        <w:gridCol w:w="194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Calibri" w:hAnsi="Calibri" w:cs="Calibri" w:eastAsiaTheme="minorEastAsia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Variables</w:t>
            </w:r>
          </w:p>
        </w:tc>
        <w:tc>
          <w:tcPr>
            <w:tcW w:w="1967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Total</w:t>
            </w:r>
          </w:p>
          <w:p>
            <w:pPr>
              <w:jc w:val="center"/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(</w:t>
            </w:r>
            <w:r>
              <w:rPr>
                <w:rFonts w:hint="default" w:ascii="Calibri" w:hAnsi="Calibri" w:cs="Calibri"/>
                <w:b/>
                <w:bCs/>
                <w:i/>
                <w:iCs/>
                <w:sz w:val="15"/>
                <w:szCs w:val="15"/>
                <w:vertAlign w:val="baseline"/>
                <w:lang w:val="en-US" w:eastAsia="zh-CN"/>
              </w:rPr>
              <w:t>n</w:t>
            </w:r>
            <w:r>
              <w:rPr>
                <w:rFonts w:hint="eastAsia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=</w:t>
            </w:r>
            <w:r>
              <w:rPr>
                <w:rFonts w:hint="eastAsia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693)</w:t>
            </w:r>
          </w:p>
        </w:tc>
        <w:tc>
          <w:tcPr>
            <w:tcW w:w="1877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center"/>
              <w:textAlignment w:val="auto"/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IPA group</w:t>
            </w:r>
          </w:p>
          <w:p>
            <w:pPr>
              <w:jc w:val="center"/>
              <w:rPr>
                <w:rFonts w:hint="default" w:ascii="Calibri" w:hAnsi="Calibri" w:cs="Calibri" w:eastAsiaTheme="minorEastAsia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(</w:t>
            </w:r>
            <w:r>
              <w:rPr>
                <w:rFonts w:hint="default" w:ascii="Calibri" w:hAnsi="Calibri" w:cs="Calibri"/>
                <w:b/>
                <w:bCs/>
                <w:i/>
                <w:iCs/>
                <w:sz w:val="15"/>
                <w:szCs w:val="15"/>
                <w:vertAlign w:val="baseline"/>
                <w:lang w:val="en-US" w:eastAsia="zh-CN"/>
              </w:rPr>
              <w:t>n</w:t>
            </w:r>
            <w:r>
              <w:rPr>
                <w:rFonts w:hint="eastAsia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=</w:t>
            </w:r>
            <w:r>
              <w:rPr>
                <w:rFonts w:hint="eastAsia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21)</w:t>
            </w:r>
          </w:p>
        </w:tc>
        <w:tc>
          <w:tcPr>
            <w:tcW w:w="194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Control group</w:t>
            </w:r>
          </w:p>
          <w:p>
            <w:pPr>
              <w:jc w:val="center"/>
              <w:rPr>
                <w:rFonts w:hint="default" w:ascii="Calibri" w:hAnsi="Calibri" w:cs="Calibri" w:eastAsiaTheme="minorEastAsia"/>
                <w:b/>
                <w:b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(</w:t>
            </w:r>
            <w:bookmarkStart w:id="0" w:name="_GoBack"/>
            <w:r>
              <w:rPr>
                <w:rFonts w:hint="default" w:ascii="Calibri" w:hAnsi="Calibri" w:cs="Calibri"/>
                <w:b/>
                <w:bCs/>
                <w:i/>
                <w:iCs/>
                <w:sz w:val="15"/>
                <w:szCs w:val="15"/>
                <w:vertAlign w:val="baseline"/>
                <w:lang w:val="en-US" w:eastAsia="zh-CN"/>
              </w:rPr>
              <w:t>n</w:t>
            </w:r>
            <w:bookmarkEnd w:id="0"/>
            <w:r>
              <w:rPr>
                <w:rFonts w:hint="eastAsia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=</w:t>
            </w:r>
            <w:r>
              <w:rPr>
                <w:rFonts w:hint="eastAsia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sz w:val="15"/>
                <w:szCs w:val="15"/>
                <w:vertAlign w:val="baseline"/>
                <w:lang w:val="en-US" w:eastAsia="zh-CN"/>
              </w:rPr>
              <w:t>672)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Coinfection</w:t>
            </w:r>
          </w:p>
        </w:tc>
        <w:tc>
          <w:tcPr>
            <w:tcW w:w="196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265 (38.2)</w:t>
            </w:r>
          </w:p>
        </w:tc>
        <w:tc>
          <w:tcPr>
            <w:tcW w:w="187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3 (14.3)</w:t>
            </w:r>
          </w:p>
        </w:tc>
        <w:tc>
          <w:tcPr>
            <w:tcW w:w="194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262 (39.0)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Pathogens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</w:rPr>
            </w:pP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Streptococcus pneumoniae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88 (33.2)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87 (33.2)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Klebsiella pneumoniae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81 (30.6)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1(33.3)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80 (30.5)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Staphylococcus aureus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54 (20.4)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0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54 (20.6)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Haemophilus influenzae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17 (6.4)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0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17 (6.5)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Pseudomonas aeruginosa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12 (4.5)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 (66.7)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11 (4.2)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Klebsiella acidogens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7 (2.6)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0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7 (2.7)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Acinetobacter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5 (1.9)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0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5 (1.9)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Proteus spp.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3 (1.1)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0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3 (1.1)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Stenotrophomonas maltophilia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3 (1.1)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0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3 (1.1)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 xml:space="preserve">Escherichia coli 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2 (0.8)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0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2 (0.7)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1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 w:ascii="Calibri" w:hAnsi="Calibri" w:cs="Calibri" w:eastAsiaTheme="minorEastAsia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i/>
                <w:iCs/>
                <w:sz w:val="15"/>
                <w:szCs w:val="15"/>
                <w:vertAlign w:val="baseline"/>
                <w:lang w:val="en-US" w:eastAsia="zh-CN"/>
              </w:rPr>
              <w:t>Citrobacter spp.</w:t>
            </w:r>
          </w:p>
        </w:tc>
        <w:tc>
          <w:tcPr>
            <w:tcW w:w="196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 (0.4)</w:t>
            </w:r>
          </w:p>
        </w:tc>
        <w:tc>
          <w:tcPr>
            <w:tcW w:w="18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0 (0.0)</w:t>
            </w:r>
          </w:p>
        </w:tc>
        <w:tc>
          <w:tcPr>
            <w:tcW w:w="194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Calibri" w:hAnsi="Calibri" w:cs="Calibri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sz w:val="15"/>
                <w:szCs w:val="15"/>
                <w:vertAlign w:val="baseline"/>
                <w:lang w:val="en-US" w:eastAsia="zh-CN"/>
              </w:rPr>
              <w:t>1 (0.4)</w:t>
            </w:r>
          </w:p>
        </w:tc>
      </w:tr>
    </w:tbl>
    <w:p>
      <w:pPr>
        <w:rPr>
          <w:rFonts w:hint="default" w:ascii="Calibri" w:hAnsi="Calibri" w:cs="Calibri"/>
          <w:sz w:val="15"/>
          <w:szCs w:val="15"/>
          <w:lang w:val="en-US" w:eastAsia="zh-CN"/>
        </w:rPr>
      </w:pPr>
      <w:r>
        <w:rPr>
          <w:rFonts w:hint="default" w:ascii="Calibri" w:hAnsi="Calibri" w:cs="Calibri"/>
          <w:sz w:val="15"/>
          <w:szCs w:val="15"/>
          <w:lang w:val="en-US" w:eastAsia="zh-CN"/>
        </w:rPr>
        <w:t>8 patients in the control group were coinfected with  ≥ 2 pathogens</w:t>
      </w:r>
    </w:p>
    <w:p>
      <w:pPr>
        <w:rPr>
          <w:rFonts w:hint="default" w:ascii="Calibri" w:hAnsi="Calibri" w:cs="Calibri"/>
          <w:sz w:val="15"/>
          <w:szCs w:val="15"/>
          <w:lang w:val="en-US" w:eastAsia="zh-CN"/>
        </w:rPr>
      </w:pPr>
    </w:p>
    <w:p>
      <w:pPr>
        <w:rPr>
          <w:rFonts w:hint="default" w:ascii="Calibri" w:hAnsi="Calibri" w:cs="Calibri"/>
          <w:sz w:val="15"/>
          <w:szCs w:val="15"/>
          <w:lang w:val="en-US" w:eastAsia="zh-CN"/>
        </w:rPr>
      </w:pPr>
    </w:p>
    <w:p>
      <w:pPr>
        <w:rPr>
          <w:rFonts w:hint="default" w:ascii="Calibri" w:hAnsi="Calibri" w:cs="Calibri"/>
          <w:b/>
          <w:bCs/>
          <w:sz w:val="15"/>
          <w:szCs w:val="15"/>
          <w:lang w:val="en-US" w:eastAsia="zh-CN"/>
        </w:rPr>
      </w:pPr>
      <w:r>
        <w:rPr>
          <w:rFonts w:hint="default" w:ascii="Calibri" w:hAnsi="Calibri" w:cs="Calibri"/>
          <w:b/>
          <w:bCs/>
          <w:sz w:val="15"/>
          <w:szCs w:val="15"/>
          <w:lang w:val="en-US" w:eastAsia="zh-CN"/>
        </w:rPr>
        <w:t>Appendix 5 Univariate analysis between the survival group and the deceased group</w:t>
      </w:r>
    </w:p>
    <w:tbl>
      <w:tblPr>
        <w:tblStyle w:val="3"/>
        <w:tblW w:w="837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8"/>
        <w:gridCol w:w="1887"/>
        <w:gridCol w:w="1766"/>
        <w:gridCol w:w="14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18" w:type="dxa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Calibri" w:hAnsi="Calibri" w:cs="Calibri" w:eastAsiaTheme="minorEastAsia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188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Survival group</w:t>
            </w:r>
          </w:p>
          <w:p>
            <w:pPr>
              <w:jc w:val="center"/>
              <w:rPr>
                <w:rFonts w:hint="default" w:ascii="Calibri" w:hAnsi="Calibri" w:cs="Calibri" w:eastAsiaTheme="minorEastAsia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Calibri" w:hAnsi="Calibri" w:cs="Calibri"/>
                <w:b/>
                <w:bCs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12)</w:t>
            </w:r>
          </w:p>
        </w:tc>
        <w:tc>
          <w:tcPr>
            <w:tcW w:w="176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Deceased group</w:t>
            </w:r>
          </w:p>
          <w:p>
            <w:pPr>
              <w:jc w:val="center"/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Calibri" w:hAnsi="Calibri" w:cs="Calibri"/>
                <w:b/>
                <w:bCs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eastAsia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=</w:t>
            </w:r>
            <w:r>
              <w:rPr>
                <w:rFonts w:hint="eastAsia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9)</w:t>
            </w:r>
          </w:p>
        </w:tc>
        <w:tc>
          <w:tcPr>
            <w:tcW w:w="140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Calibri" w:hAnsi="Calibri" w:cs="Calibri"/>
                <w:b/>
                <w:bCs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Age (years, mean±SD)</w:t>
            </w:r>
          </w:p>
        </w:tc>
        <w:tc>
          <w:tcPr>
            <w:tcW w:w="188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69.3±8.7</w:t>
            </w:r>
          </w:p>
        </w:tc>
        <w:tc>
          <w:tcPr>
            <w:tcW w:w="176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71.7±11.8</w:t>
            </w:r>
          </w:p>
        </w:tc>
        <w:tc>
          <w:tcPr>
            <w:tcW w:w="140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0.595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Male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(75.0)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(100.0)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Chronic congestive heart failure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 (25.0)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Cerebrovascular disease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 (16.7)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 (22.2)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eastAsia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Chronic pulmonary disease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(33.3)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 (22.2)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Asthma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 (16.7)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(11.1)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eastAsia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Di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betes mellitus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 (83.3)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 (55.6)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Chronic kidney disease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 (16.7)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Leukocytes </w:t>
            </w:r>
            <w:r>
              <w:rPr>
                <w:rFonts w:hint="default" w:ascii="Calibri" w:hAnsi="Calibri" w:eastAsia="宋体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&gt; 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10×10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/L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(75.0)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 (66.7)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eastAsia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Lymphocytes &lt; 0.8×10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/L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 (50.0)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(100.0)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0.043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BUN &gt; 7 mmol/L (n,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(33.3)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 (55.6)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HB &lt; 100 g/L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(33.3)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(11.1)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0.160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Albumin &lt; 35 g/L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(33.3)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 (22.2)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0.944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Serum PCT &gt; 0.1 ng/ml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(8.3)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(11.1)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eastAsia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/FiO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sub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&lt; 300 mmHg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 (66.7)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 (77.8)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ind w:left="360" w:hanging="300" w:hangingChars="200"/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Systemic corticosteroids use </w:t>
            </w:r>
          </w:p>
          <w:p>
            <w:pPr>
              <w:ind w:left="360" w:hanging="300" w:hangingChars="200"/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before IPA diagnosis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(75.0)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(100.0)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ind w:left="180" w:hanging="150" w:hangingChars="100"/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Early NAIs use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(75.0)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 (11.1)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b/>
                <w:b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Anti-fungal treatment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left"/>
              <w:textAlignment w:val="auto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voriconazole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(75.0)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(100.0)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left"/>
              <w:textAlignment w:val="auto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voriconazole+ caspofungin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 (25.0)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 (0.0)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Invasive ventilation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(75.0)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 (100.0)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0.322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8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Septic shock (</w:t>
            </w:r>
            <w:r>
              <w:rPr>
                <w:rFonts w:hint="default" w:ascii="Calibri" w:hAnsi="Calibri" w:cs="Calibri"/>
                <w:i/>
                <w:iCs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%)</w:t>
            </w:r>
          </w:p>
        </w:tc>
        <w:tc>
          <w:tcPr>
            <w:tcW w:w="188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 (83.3)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 (88.9)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Calibri" w:hAnsi="Calibri" w:cs="Calibri" w:eastAsiaTheme="minorEastAsia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&gt;</w:t>
            </w:r>
            <w:r>
              <w:rPr>
                <w:rFonts w:hint="eastAsia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Calibri" w:hAnsi="Calibri" w:cs="Calibri"/>
                <w:color w:val="000000" w:themeColor="text1"/>
                <w:sz w:val="15"/>
                <w:szCs w:val="15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</w:t>
            </w:r>
          </w:p>
        </w:tc>
      </w:tr>
    </w:tbl>
    <w:p>
      <w:pPr>
        <w:rPr>
          <w:rFonts w:hint="default" w:ascii="Calibri" w:hAnsi="Calibri" w:cs="Calibri"/>
          <w:sz w:val="15"/>
          <w:szCs w:val="15"/>
          <w:lang w:val="en-US" w:eastAsia="zh-CN"/>
        </w:rPr>
      </w:pPr>
      <w:r>
        <w:rPr>
          <w:rFonts w:hint="default" w:ascii="Calibri" w:hAnsi="Calibri" w:cs="Calibri"/>
          <w:sz w:val="15"/>
          <w:szCs w:val="15"/>
          <w:lang w:val="en-US" w:eastAsia="zh-CN"/>
        </w:rPr>
        <w:t xml:space="preserve">BUN: blood urea nitrogen; HB: hemoglobin; PCT: procalcitonin; </w:t>
      </w:r>
      <w:r>
        <w:rPr>
          <w:rFonts w:hint="default" w:ascii="Calibri" w:hAnsi="Calibri" w:cs="Calibri"/>
          <w:sz w:val="15"/>
          <w:szCs w:val="15"/>
          <w:vertAlign w:val="baseline"/>
          <w:lang w:val="en-US" w:eastAsia="zh-CN"/>
        </w:rPr>
        <w:t>PO</w:t>
      </w:r>
      <w:r>
        <w:rPr>
          <w:rFonts w:hint="default" w:ascii="Calibri" w:hAnsi="Calibri" w:cs="Calibri"/>
          <w:sz w:val="15"/>
          <w:szCs w:val="15"/>
          <w:vertAlign w:val="subscript"/>
          <w:lang w:val="en-US" w:eastAsia="zh-CN"/>
        </w:rPr>
        <w:t>2</w:t>
      </w:r>
      <w:r>
        <w:rPr>
          <w:rFonts w:hint="default" w:ascii="Calibri" w:hAnsi="Calibri" w:cs="Calibri"/>
          <w:sz w:val="15"/>
          <w:szCs w:val="15"/>
          <w:vertAlign w:val="baseline"/>
          <w:lang w:val="en-US" w:eastAsia="zh-CN"/>
        </w:rPr>
        <w:t>/FiO</w:t>
      </w:r>
      <w:r>
        <w:rPr>
          <w:rFonts w:hint="default" w:ascii="Calibri" w:hAnsi="Calibri" w:cs="Calibri"/>
          <w:sz w:val="15"/>
          <w:szCs w:val="15"/>
          <w:vertAlign w:val="subscript"/>
          <w:lang w:val="en-US" w:eastAsia="zh-CN"/>
        </w:rPr>
        <w:t xml:space="preserve">2: </w:t>
      </w:r>
      <w:r>
        <w:rPr>
          <w:rFonts w:hint="default" w:ascii="Calibri" w:hAnsi="Calibri" w:cs="Calibri"/>
          <w:sz w:val="15"/>
          <w:szCs w:val="15"/>
          <w:lang w:val="en-US" w:eastAsia="zh-CN"/>
        </w:rPr>
        <w:t>arterial pressure of oxygen/fraction of inspiration oxygen; NAIs: neuraminidase inhibitors</w:t>
      </w:r>
    </w:p>
    <w:p>
      <w:pPr>
        <w:rPr>
          <w:rFonts w:hint="default" w:ascii="Calibri" w:hAnsi="Calibri" w:cs="Calibri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59B142C"/>
    <w:multiLevelType w:val="singleLevel"/>
    <w:tmpl w:val="959B142C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97CB00F7"/>
    <w:multiLevelType w:val="singleLevel"/>
    <w:tmpl w:val="97CB00F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53A216BD"/>
    <w:multiLevelType w:val="singleLevel"/>
    <w:tmpl w:val="53A216BD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95DE8"/>
    <w:rsid w:val="094D76D7"/>
    <w:rsid w:val="0BC87E90"/>
    <w:rsid w:val="0D614A62"/>
    <w:rsid w:val="12CA1487"/>
    <w:rsid w:val="143C24BD"/>
    <w:rsid w:val="14F46BC6"/>
    <w:rsid w:val="1526011D"/>
    <w:rsid w:val="1AC26599"/>
    <w:rsid w:val="1D6A4633"/>
    <w:rsid w:val="1DFA5E68"/>
    <w:rsid w:val="1E715CB1"/>
    <w:rsid w:val="1E7A7A6A"/>
    <w:rsid w:val="1EB02505"/>
    <w:rsid w:val="1F47288F"/>
    <w:rsid w:val="24CF4AF0"/>
    <w:rsid w:val="267E2627"/>
    <w:rsid w:val="27D67F2C"/>
    <w:rsid w:val="2843388D"/>
    <w:rsid w:val="287F7272"/>
    <w:rsid w:val="296167BF"/>
    <w:rsid w:val="2BCF3CF3"/>
    <w:rsid w:val="2C490815"/>
    <w:rsid w:val="2E274EB6"/>
    <w:rsid w:val="2EB162B9"/>
    <w:rsid w:val="314B6D4B"/>
    <w:rsid w:val="32897F17"/>
    <w:rsid w:val="3326243E"/>
    <w:rsid w:val="365E4971"/>
    <w:rsid w:val="36D83F2B"/>
    <w:rsid w:val="38E83D22"/>
    <w:rsid w:val="3B135DF8"/>
    <w:rsid w:val="3D44466C"/>
    <w:rsid w:val="3F4B5113"/>
    <w:rsid w:val="43C73450"/>
    <w:rsid w:val="44F545EC"/>
    <w:rsid w:val="45E03659"/>
    <w:rsid w:val="46776EBD"/>
    <w:rsid w:val="49787D9C"/>
    <w:rsid w:val="4C1301E2"/>
    <w:rsid w:val="4EDE7C21"/>
    <w:rsid w:val="52EC60EC"/>
    <w:rsid w:val="56D178D6"/>
    <w:rsid w:val="57FC61D9"/>
    <w:rsid w:val="5952210E"/>
    <w:rsid w:val="5A2C421E"/>
    <w:rsid w:val="5B05111D"/>
    <w:rsid w:val="60E4417D"/>
    <w:rsid w:val="638B477F"/>
    <w:rsid w:val="654C6B5D"/>
    <w:rsid w:val="65EC62EA"/>
    <w:rsid w:val="6769658F"/>
    <w:rsid w:val="68617150"/>
    <w:rsid w:val="68800D3A"/>
    <w:rsid w:val="69340958"/>
    <w:rsid w:val="69EB0DAD"/>
    <w:rsid w:val="6AA07D2B"/>
    <w:rsid w:val="6B095DE8"/>
    <w:rsid w:val="6DD515B2"/>
    <w:rsid w:val="70FD5BE0"/>
    <w:rsid w:val="70FF6403"/>
    <w:rsid w:val="713672DE"/>
    <w:rsid w:val="731263EC"/>
    <w:rsid w:val="75477BBB"/>
    <w:rsid w:val="7935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qFormat/>
    <w:uiPriority w:val="0"/>
    <w:rPr>
      <w:rFonts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2019-09-16T06:18:00Z</dcterms:created>
  <dc:creator>安</dc:creator>
  <cp:lastModifiedBy>安</cp:lastModifiedBy>
  <dcterms:modified xsi:type="dcterms:W3CDTF">2020-07-03T06:08:37Z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