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cs="Times New Roman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OLE_LINK226"/>
      <w:r>
        <w:rPr>
          <w:rFonts w:hint="eastAsia" w:ascii="Times New Roman" w:hAnsi="Times New Roman" w:cs="Times New Roman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Supplemental Materials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for</w:t>
      </w:r>
    </w:p>
    <w:p>
      <w:pPr>
        <w:spacing w:line="480" w:lineRule="auto"/>
        <w:ind w:left="1405" w:hanging="1405" w:hangingChars="500"/>
        <w:rPr>
          <w:rFonts w:ascii="Times New Roman" w:hAnsi="Times New Roman"/>
          <w:b/>
          <w:bCs/>
          <w:sz w:val="28"/>
          <w:szCs w:val="28"/>
        </w:rPr>
      </w:pPr>
      <w:bookmarkStart w:id="1" w:name="_Hlk65447580"/>
      <w:bookmarkStart w:id="2" w:name="OLE_LINK134"/>
      <w:bookmarkStart w:id="3" w:name="OLE_LINK96"/>
      <w:bookmarkStart w:id="4" w:name="OLE_LINK135"/>
      <w:bookmarkStart w:id="5" w:name="OLE_LINK101"/>
      <w:r>
        <w:rPr>
          <w:rFonts w:hint="eastAsia" w:ascii="Times New Roman" w:hAnsi="Times New Roman"/>
          <w:b/>
          <w:bCs/>
          <w:sz w:val="28"/>
          <w:szCs w:val="28"/>
        </w:rPr>
        <w:t>Household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hint="eastAsia" w:ascii="Times New Roman" w:hAnsi="Times New Roman"/>
          <w:b/>
          <w:bCs/>
          <w:sz w:val="28"/>
          <w:szCs w:val="28"/>
        </w:rPr>
        <w:t>mold exposure interacts with inflammation-related</w:t>
      </w:r>
    </w:p>
    <w:p>
      <w:pPr>
        <w:spacing w:line="480" w:lineRule="auto"/>
        <w:ind w:left="1402" w:leftChars="534" w:hanging="281" w:hangingChars="100"/>
        <w:rPr>
          <w:rFonts w:ascii="Times New Roman" w:hAnsi="Times New Roman"/>
          <w:b/>
          <w:bCs/>
          <w:sz w:val="28"/>
          <w:szCs w:val="28"/>
        </w:rPr>
      </w:pPr>
      <w:r>
        <w:rPr>
          <w:rFonts w:hint="eastAsia" w:ascii="Times New Roman" w:hAnsi="Times New Roman"/>
          <w:b/>
          <w:bCs/>
          <w:sz w:val="28"/>
          <w:szCs w:val="28"/>
        </w:rPr>
        <w:t>genetic variants on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hint="eastAsia" w:ascii="Times New Roman" w:hAnsi="Times New Roman"/>
          <w:b/>
          <w:bCs/>
          <w:sz w:val="28"/>
          <w:szCs w:val="28"/>
        </w:rPr>
        <w:t>childhood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hint="eastAsia" w:ascii="Times New Roman" w:hAnsi="Times New Roman"/>
          <w:b/>
          <w:bCs/>
          <w:sz w:val="28"/>
          <w:szCs w:val="28"/>
        </w:rPr>
        <w:t>asthma</w:t>
      </w:r>
      <w:r>
        <w:rPr>
          <w:rFonts w:ascii="Times New Roman" w:hAnsi="Times New Roman"/>
          <w:b/>
          <w:bCs/>
          <w:sz w:val="28"/>
          <w:szCs w:val="28"/>
        </w:rPr>
        <w:t>: a case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control study</w:t>
      </w:r>
    </w:p>
    <w:bookmarkEnd w:id="1"/>
    <w:p>
      <w:pPr>
        <w:spacing w:line="480" w:lineRule="auto"/>
        <w:rPr>
          <w:rFonts w:ascii="Times New Roman" w:hAnsi="Times New Roman"/>
          <w:sz w:val="24"/>
          <w:vertAlign w:val="superscript"/>
        </w:rPr>
      </w:pPr>
      <w:r>
        <w:rPr>
          <w:rFonts w:hint="eastAsia" w:ascii="Times New Roman" w:hAnsi="Times New Roman"/>
          <w:sz w:val="24"/>
        </w:rPr>
        <w:t>Yu</w:t>
      </w:r>
      <w:r>
        <w:rPr>
          <w:rFonts w:ascii="Times New Roman" w:hAnsi="Times New Roman"/>
          <w:sz w:val="24"/>
        </w:rPr>
        <w:t xml:space="preserve"> Z</w:t>
      </w:r>
      <w:r>
        <w:rPr>
          <w:rFonts w:hint="eastAsia" w:ascii="Times New Roman" w:hAnsi="Times New Roman"/>
          <w:sz w:val="24"/>
        </w:rPr>
        <w:t>hang</w:t>
      </w:r>
      <w:r>
        <w:rPr>
          <w:rFonts w:ascii="Times New Roman" w:hAnsi="Times New Roman"/>
          <w:sz w:val="24"/>
          <w:vertAlign w:val="superscript"/>
        </w:rPr>
        <w:t>1,2</w:t>
      </w:r>
      <w:r>
        <w:rPr>
          <w:rFonts w:hint="eastAsia" w:ascii="宋体" w:hAnsi="宋体"/>
          <w:sz w:val="24"/>
        </w:rPr>
        <w:t>†</w:t>
      </w:r>
      <w:r>
        <w:rPr>
          <w:rFonts w:hint="eastAsia"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Li Hua</w:t>
      </w:r>
      <w:r>
        <w:rPr>
          <w:rFonts w:ascii="Times New Roman" w:hAnsi="Times New Roman"/>
          <w:sz w:val="24"/>
          <w:vertAlign w:val="superscript"/>
        </w:rPr>
        <w:t>4</w:t>
      </w:r>
      <w:r>
        <w:rPr>
          <w:rFonts w:hint="eastAsia" w:ascii="宋体" w:hAnsi="宋体"/>
          <w:sz w:val="24"/>
        </w:rPr>
        <w:t>†</w:t>
      </w:r>
      <w:r>
        <w:rPr>
          <w:rFonts w:ascii="Times New Roman" w:hAnsi="Times New Roman"/>
          <w:sz w:val="24"/>
        </w:rPr>
        <w:t>,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Quan-Hua Liu</w:t>
      </w:r>
      <w:r>
        <w:rPr>
          <w:rFonts w:ascii="Times New Roman" w:hAnsi="Times New Roman"/>
          <w:sz w:val="24"/>
          <w:vertAlign w:val="superscript"/>
        </w:rPr>
        <w:t>4</w:t>
      </w:r>
      <w:r>
        <w:rPr>
          <w:rFonts w:ascii="Times New Roman" w:hAnsi="Times New Roman"/>
          <w:sz w:val="24"/>
        </w:rPr>
        <w:t>, S</w:t>
      </w:r>
      <w:r>
        <w:rPr>
          <w:rFonts w:hint="eastAsia" w:ascii="Times New Roman" w:hAnsi="Times New Roman"/>
          <w:sz w:val="24"/>
        </w:rPr>
        <w:t>hu</w:t>
      </w:r>
      <w:r>
        <w:rPr>
          <w:rFonts w:ascii="Times New Roman" w:hAnsi="Times New Roman"/>
          <w:sz w:val="24"/>
        </w:rPr>
        <w:t>-Yuan Chu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, Yue</w:t>
      </w:r>
      <w:r>
        <w:rPr>
          <w:rFonts w:hint="eastAsia"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Xin Gan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hint="eastAsia"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Min Wu</w:t>
      </w:r>
      <w:r>
        <w:rPr>
          <w:rFonts w:hint="eastAsia" w:ascii="Times New Roman" w:hAnsi="Times New Roman"/>
          <w:sz w:val="24"/>
          <w:vertAlign w:val="superscript"/>
        </w:rPr>
        <w:t>5</w:t>
      </w:r>
      <w:r>
        <w:rPr>
          <w:rFonts w:hint="eastAsia"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bookmarkStart w:id="6" w:name="OLE_LINK26"/>
      <w:r>
        <w:rPr>
          <w:rFonts w:ascii="Times New Roman" w:hAnsi="Times New Roman"/>
          <w:sz w:val="24"/>
        </w:rPr>
        <w:t>Y</w:t>
      </w:r>
      <w:r>
        <w:rPr>
          <w:rFonts w:hint="eastAsia"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-Xiao Bao</w:t>
      </w:r>
      <w:bookmarkEnd w:id="6"/>
      <w:r>
        <w:rPr>
          <w:rFonts w:hint="eastAsia" w:ascii="Times New Roman" w:hAnsi="Times New Roman"/>
          <w:sz w:val="24"/>
          <w:vertAlign w:val="superscript"/>
        </w:rPr>
        <w:t>4</w:t>
      </w:r>
      <w:r>
        <w:rPr>
          <w:rFonts w:ascii="Times New Roman" w:hAnsi="Times New Roman"/>
          <w:sz w:val="24"/>
        </w:rPr>
        <w:t>, Qian Chen</w:t>
      </w:r>
      <w:r>
        <w:rPr>
          <w:rFonts w:ascii="Times New Roman" w:hAnsi="Times New Roman"/>
          <w:sz w:val="24"/>
          <w:vertAlign w:val="superscript"/>
        </w:rPr>
        <w:t>2*</w:t>
      </w:r>
      <w:r>
        <w:rPr>
          <w:rFonts w:hint="eastAsia"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Jun Zhang</w:t>
      </w:r>
      <w:r>
        <w:rPr>
          <w:rFonts w:ascii="Times New Roman" w:hAnsi="Times New Roman"/>
          <w:sz w:val="24"/>
          <w:vertAlign w:val="superscript"/>
        </w:rPr>
        <w:t>1,2*</w:t>
      </w:r>
    </w:p>
    <w:bookmarkEnd w:id="2"/>
    <w:bookmarkEnd w:id="3"/>
    <w:bookmarkEnd w:id="4"/>
    <w:bookmarkEnd w:id="5"/>
    <w:p>
      <w:pPr>
        <w:rPr>
          <w:rFonts w:ascii="Times New Roman" w:hAnsi="Times New Roman" w:eastAsia="宋体" w:cs="Times New Roman"/>
          <w:b/>
          <w:color w:val="000000"/>
          <w:kern w:val="0"/>
          <w:sz w:val="24"/>
          <w:szCs w:val="24"/>
          <w:lang w:bidi="ar"/>
        </w:rPr>
      </w:pPr>
    </w:p>
    <w:p>
      <w:pP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bookmarkEnd w:id="0"/>
    <w:p>
      <w:pPr>
        <w:widowControl/>
        <w:autoSpaceDE w:val="0"/>
        <w:spacing w:before="156" w:beforeLines="50" w:line="480" w:lineRule="auto"/>
        <w:rPr>
          <w:rFonts w:ascii="Times New Roman" w:hAnsi="Times New Roman"/>
          <w:b/>
          <w:bCs/>
          <w:sz w:val="28"/>
          <w:szCs w:val="28"/>
          <w:lang w:val="en-GB"/>
        </w:rPr>
      </w:pPr>
      <w:bookmarkStart w:id="7" w:name="_Hlk65447550"/>
      <w:bookmarkStart w:id="8" w:name="OLE_LINK3"/>
      <w:bookmarkStart w:id="9" w:name="OLE_LINK8"/>
      <w:r>
        <w:rPr>
          <w:rFonts w:hint="eastAsia" w:ascii="Times New Roman" w:hAnsi="Times New Roman"/>
          <w:b/>
          <w:bCs/>
          <w:sz w:val="28"/>
          <w:szCs w:val="28"/>
          <w:lang w:val="en-GB"/>
        </w:rPr>
        <w:t>Supplemental</w:t>
      </w:r>
      <w:r>
        <w:rPr>
          <w:rFonts w:ascii="Times New Roman" w:hAnsi="Times New Roman"/>
          <w:b/>
          <w:bCs/>
          <w:sz w:val="28"/>
          <w:szCs w:val="28"/>
          <w:lang w:val="en-GB"/>
        </w:rPr>
        <w:t xml:space="preserve"> Tables and Figure</w:t>
      </w:r>
      <w:bookmarkEnd w:id="7"/>
    </w:p>
    <w:bookmarkEnd w:id="8"/>
    <w:p>
      <w:pPr>
        <w:widowControl/>
        <w:autoSpaceDE w:val="0"/>
        <w:spacing w:line="480" w:lineRule="auto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Table S1. </w:t>
      </w:r>
      <w:r>
        <w:rPr>
          <w:rFonts w:ascii="Times New Roman" w:hAnsi="Times New Roman"/>
          <w:sz w:val="24"/>
        </w:rPr>
        <w:t>The information of selected single nucleotide polymorphisms.</w:t>
      </w:r>
      <w:r>
        <w:rPr>
          <w:rFonts w:ascii="Times New Roman" w:hAnsi="Times New Roman"/>
          <w:b/>
          <w:bCs/>
          <w:sz w:val="24"/>
        </w:rPr>
        <w:t xml:space="preserve"> Table S2. </w:t>
      </w:r>
      <w:r>
        <w:rPr>
          <w:rFonts w:ascii="Times New Roman" w:hAnsi="Times New Roman"/>
          <w:sz w:val="24"/>
        </w:rPr>
        <w:t>Results of primer design.</w:t>
      </w:r>
      <w:r>
        <w:rPr>
          <w:rFonts w:ascii="Times New Roman" w:hAnsi="Times New Roman"/>
          <w:b/>
          <w:bCs/>
          <w:sz w:val="24"/>
        </w:rPr>
        <w:t xml:space="preserve"> Table S3. </w:t>
      </w:r>
      <w:r>
        <w:rPr>
          <w:rFonts w:ascii="Times New Roman" w:hAnsi="Times New Roman"/>
          <w:sz w:val="24"/>
        </w:rPr>
        <w:t>Four by two table of gene and environmental factor in crossover analysis.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b/>
          <w:bCs/>
          <w:color w:val="FF0000"/>
          <w:sz w:val="24"/>
        </w:rPr>
        <w:t>Table S4.</w:t>
      </w:r>
      <w:r>
        <w:rPr>
          <w:rFonts w:hint="eastAsia"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FF0000"/>
          <w:kern w:val="0"/>
          <w:sz w:val="24"/>
        </w:rPr>
        <w:t>Selected inflammat</w:t>
      </w:r>
      <w:r>
        <w:rPr>
          <w:rFonts w:hint="eastAsia" w:ascii="Times New Roman" w:hAnsi="Times New Roman"/>
          <w:color w:val="FF0000"/>
          <w:kern w:val="0"/>
          <w:sz w:val="24"/>
        </w:rPr>
        <w:t>ion-related</w:t>
      </w:r>
      <w:r>
        <w:rPr>
          <w:rStyle w:val="13"/>
          <w:color w:val="FF0000"/>
          <w:sz w:val="24"/>
        </w:rPr>
        <w:t xml:space="preserve"> SNPs and minor allele frequencies in study population</w:t>
      </w:r>
      <w:r>
        <w:rPr>
          <w:rStyle w:val="13"/>
          <w:rFonts w:hint="eastAsia"/>
          <w:color w:val="FF0000"/>
          <w:sz w:val="24"/>
        </w:rPr>
        <w:t>.</w:t>
      </w:r>
      <w:r>
        <w:rPr>
          <w:rStyle w:val="13"/>
          <w:rFonts w:hint="eastAsia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color w:val="FF0000"/>
          <w:sz w:val="24"/>
        </w:rPr>
        <w:t>Table S</w:t>
      </w:r>
      <w:r>
        <w:rPr>
          <w:rFonts w:hint="eastAsia" w:ascii="Times New Roman" w:hAnsi="Times New Roman"/>
          <w:b/>
          <w:bCs/>
          <w:color w:val="FF0000"/>
          <w:sz w:val="24"/>
        </w:rPr>
        <w:t>5</w:t>
      </w:r>
      <w:r>
        <w:rPr>
          <w:rFonts w:ascii="Times New Roman" w:hAnsi="Times New Roman"/>
          <w:b/>
          <w:bCs/>
          <w:color w:val="FF0000"/>
          <w:sz w:val="24"/>
        </w:rPr>
        <w:t xml:space="preserve">.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Associations between inflammation-related SNPs and childhood asthma </w:t>
      </w:r>
      <w:r>
        <w:rPr>
          <w:rFonts w:hint="eastAsia" w:ascii="Times New Roman" w:hAnsi="Times New Roman" w:cs="Times New Roman"/>
          <w:color w:val="FF0000"/>
          <w:sz w:val="24"/>
          <w:szCs w:val="24"/>
        </w:rPr>
        <w:t>under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different genetic models</w:t>
      </w:r>
      <w:r>
        <w:rPr>
          <w:rFonts w:ascii="Times New Roman" w:hAnsi="Times New Roman"/>
          <w:color w:val="FF0000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bookmarkStart w:id="10" w:name="OLE_LINK2"/>
      <w:r>
        <w:rPr>
          <w:rFonts w:ascii="Times New Roman" w:hAnsi="Times New Roman"/>
          <w:b/>
          <w:bCs/>
          <w:sz w:val="24"/>
        </w:rPr>
        <w:t>Table S</w:t>
      </w:r>
      <w:r>
        <w:rPr>
          <w:rFonts w:hint="eastAsia" w:ascii="Times New Roman" w:hAnsi="Times New Roman"/>
          <w:b/>
          <w:bCs/>
          <w:sz w:val="24"/>
        </w:rPr>
        <w:t>6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Combined effects of SNPs and </w:t>
      </w:r>
      <w:r>
        <w:rPr>
          <w:rFonts w:ascii="Times New Roman" w:hAnsi="Times New Roman"/>
          <w:color w:val="FF0000"/>
          <w:sz w:val="24"/>
        </w:rPr>
        <w:t>visible</w:t>
      </w:r>
      <w:r>
        <w:rPr>
          <w:rFonts w:ascii="Times New Roman" w:hAnsi="Times New Roman"/>
          <w:sz w:val="24"/>
        </w:rPr>
        <w:t xml:space="preserve"> mold exposure on </w:t>
      </w:r>
      <w:r>
        <w:rPr>
          <w:rFonts w:hint="eastAsia" w:ascii="Times New Roman" w:hAnsi="Times New Roman"/>
          <w:sz w:val="24"/>
        </w:rPr>
        <w:t>childhood</w:t>
      </w:r>
      <w:r>
        <w:rPr>
          <w:rFonts w:ascii="Times New Roman" w:hAnsi="Times New Roman"/>
          <w:sz w:val="24"/>
        </w:rPr>
        <w:t xml:space="preserve"> asthma under the recessive genetic model.</w:t>
      </w:r>
      <w:bookmarkEnd w:id="9"/>
      <w:bookmarkEnd w:id="10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bCs/>
          <w:color w:val="FF0000"/>
          <w:sz w:val="24"/>
        </w:rPr>
        <w:t>Fig S1.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 w:eastAsia="等线" w:cs="Times New Roman"/>
          <w:color w:val="FF0000"/>
          <w:sz w:val="24"/>
          <w:szCs w:val="24"/>
          <w:lang w:bidi="ar"/>
        </w:rPr>
        <w:t>Directed acyclic graph for the interaction between visible mold exposure and SNPs on childhood asthma.</w:t>
      </w:r>
    </w:p>
    <w:p>
      <w:pP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="2222" w:tblpY="401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1792"/>
        <w:gridCol w:w="2075"/>
        <w:gridCol w:w="2152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7898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S1. The information of selected </w:t>
            </w:r>
            <w:r>
              <w:rPr>
                <w:rFonts w:ascii="Times New Roman" w:hAnsi="Times New Roman" w:eastAsia="Cambria" w:cs="Times New Roman"/>
                <w:b/>
                <w:bCs/>
                <w:color w:val="000000"/>
                <w:sz w:val="24"/>
                <w:szCs w:val="24"/>
              </w:rPr>
              <w:t>single nucleotide polymorphisms.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87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SNP</w:t>
            </w:r>
          </w:p>
        </w:tc>
        <w:tc>
          <w:tcPr>
            <w:tcW w:w="179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Gene</w:t>
            </w:r>
          </w:p>
        </w:tc>
        <w:tc>
          <w:tcPr>
            <w:tcW w:w="207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Cambria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Cambria" w:cs="Times New Roman"/>
                <w:b/>
                <w:bCs/>
                <w:szCs w:val="21"/>
              </w:rPr>
              <w:t>Chromosome position</w:t>
            </w:r>
          </w:p>
        </w:tc>
        <w:tc>
          <w:tcPr>
            <w:tcW w:w="215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Cambria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Cambria" w:cs="Times New Roman"/>
                <w:b/>
                <w:bCs/>
                <w:szCs w:val="21"/>
              </w:rPr>
              <w:t>Polymorphism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87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color w:val="000000"/>
                <w:szCs w:val="21"/>
              </w:rPr>
            </w:pPr>
            <w:bookmarkStart w:id="11" w:name="OLE_LINK5"/>
            <w:bookmarkStart w:id="12" w:name="_Hlk63184176"/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rs1042713</w:t>
            </w:r>
            <w:bookmarkEnd w:id="11"/>
          </w:p>
        </w:tc>
        <w:tc>
          <w:tcPr>
            <w:tcW w:w="179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ADRB2</w:t>
            </w:r>
          </w:p>
        </w:tc>
        <w:tc>
          <w:tcPr>
            <w:tcW w:w="2075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szCs w:val="21"/>
              </w:rPr>
              <w:t>5q31-q32</w:t>
            </w:r>
          </w:p>
        </w:tc>
        <w:tc>
          <w:tcPr>
            <w:tcW w:w="215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A/G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rs1042714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ADRB2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szCs w:val="21"/>
              </w:rPr>
              <w:t>5q31-q32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C/G</w:t>
            </w:r>
          </w:p>
        </w:tc>
      </w:tr>
      <w:bookmarkEnd w:id="12"/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color w:val="000000"/>
                <w:szCs w:val="21"/>
              </w:rPr>
            </w:pPr>
            <w:bookmarkStart w:id="13" w:name="OLE_LINK1"/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rs7216389</w:t>
            </w:r>
            <w:bookmarkEnd w:id="13"/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bookmarkStart w:id="14" w:name="OLE_LINK31"/>
            <w:bookmarkStart w:id="15" w:name="OLE_LINK30"/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GSDMB</w:t>
            </w:r>
            <w:bookmarkEnd w:id="14"/>
            <w:bookmarkEnd w:id="15"/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>17q21.1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T/C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color w:val="000000"/>
                <w:szCs w:val="21"/>
              </w:rPr>
            </w:pPr>
            <w:bookmarkStart w:id="16" w:name="OLE_LINK4"/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rs5498</w:t>
            </w:r>
            <w:bookmarkEnd w:id="16"/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ICAM1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19p13.2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A/G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color w:val="000000"/>
                <w:szCs w:val="21"/>
              </w:rPr>
            </w:pPr>
            <w:bookmarkStart w:id="17" w:name="OLE_LINK7"/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rs1800925</w:t>
            </w:r>
            <w:bookmarkEnd w:id="17"/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bookmarkStart w:id="18" w:name="_Hlk49779777"/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IL13</w:t>
            </w:r>
            <w:bookmarkEnd w:id="18"/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szCs w:val="21"/>
              </w:rPr>
              <w:t>5q31.1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C/T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color w:val="000000"/>
                <w:szCs w:val="21"/>
              </w:rPr>
            </w:pPr>
            <w:bookmarkStart w:id="19" w:name="OLE_LINK12"/>
            <w:bookmarkStart w:id="20" w:name="OLE_LINK15"/>
            <w:bookmarkStart w:id="21" w:name="OLE_LINK11"/>
            <w:r>
              <w:rPr>
                <w:rFonts w:ascii="Times New Roman" w:hAnsi="Times New Roman"/>
                <w:bCs/>
                <w:color w:val="000000"/>
                <w:kern w:val="0"/>
                <w:szCs w:val="21"/>
                <w:lang w:bidi="ar"/>
              </w:rPr>
              <w:t>rs2243250</w:t>
            </w:r>
            <w:bookmarkEnd w:id="19"/>
            <w:bookmarkEnd w:id="20"/>
            <w:bookmarkEnd w:id="21"/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IL4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szCs w:val="21"/>
              </w:rPr>
              <w:t>5q31.1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T/C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color w:val="000000"/>
                <w:szCs w:val="21"/>
              </w:rPr>
            </w:pPr>
            <w:bookmarkStart w:id="22" w:name="OLE_LINK10"/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rs1801275</w:t>
            </w:r>
            <w:bookmarkEnd w:id="22"/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IL4R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16p11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A/G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87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rs324015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STAT6</w:t>
            </w:r>
          </w:p>
        </w:tc>
        <w:tc>
          <w:tcPr>
            <w:tcW w:w="2075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12q13.2-q14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Cambria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C/T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7898" w:type="dxa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Definition of abbreviations: SNP = single nucleotide polymorphisms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ADRB2 = beta-2 adrenergic receptor; GSDMB = gasdermin B; ICAM1 = intercellular adhesion molecule-1; IL13 = interleukin 13; IL4 = interleukin 4; IL4R = interleukin-4 receptor; STAT6 = signal transducer and activator of transcription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6.</w:t>
            </w:r>
          </w:p>
        </w:tc>
      </w:tr>
    </w:tbl>
    <w:p>
      <w:pP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widowControl/>
        <w:spacing w:before="156" w:beforeLines="5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="1658" w:tblpY="407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4580"/>
        <w:gridCol w:w="4556"/>
        <w:gridCol w:w="31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3420" w:type="dxa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</w:tcPr>
          <w:p>
            <w:pPr>
              <w:rPr>
                <w:rFonts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S2. Results of primer design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6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SNP_ID</w:t>
            </w:r>
          </w:p>
        </w:tc>
        <w:tc>
          <w:tcPr>
            <w:tcW w:w="45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1s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-PCRP</w:t>
            </w:r>
          </w:p>
        </w:tc>
        <w:tc>
          <w:tcPr>
            <w:tcW w:w="455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2nd-PCRP</w:t>
            </w:r>
          </w:p>
        </w:tc>
        <w:tc>
          <w:tcPr>
            <w:tcW w:w="312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UEP_SEQ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62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rs1042713</w:t>
            </w:r>
          </w:p>
        </w:tc>
        <w:tc>
          <w:tcPr>
            <w:tcW w:w="4580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ACGTTGGATGATGACGATGCCCATGCCCA</w:t>
            </w:r>
          </w:p>
        </w:tc>
        <w:tc>
          <w:tcPr>
            <w:tcW w:w="4556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ACGTTGGATGCAGCGCCTTCTTGCTGGCA</w:t>
            </w:r>
          </w:p>
        </w:tc>
        <w:tc>
          <w:tcPr>
            <w:tcW w:w="3122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TTGCTGGCACCCAAT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rs1042714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ACGTTGGATGCAGCGCCTTCTTGCTGGCA</w:t>
            </w: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ACGTTGGATGATGACGATGCCCATGCCCA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ACACCTCGTCCCTTT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rs7216389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ACGTTGGATGAGTATGAAGTGAGGCAACCC</w:t>
            </w: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ACGTTGGATGACCAAGGCCCTTATTAGTGC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GGGCCGAGTCCATGC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rs5498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ACGTTGGATGACTCACAGAGCACATTCACG</w:t>
            </w: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ACGTTGGATGAGATCTTGAGGGCACCTAC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AGGGGAGGTCACCCGC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rs1800925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ACGTTGGATGCAACACCCAACAGGCAAATG</w:t>
            </w: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ACGTTGGATGAGCCATGTCGCCTTTTCCTG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TTTCCTGCTCTTCCCTC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rs2243250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ACGTTGGATGTAACAGGCAGACTCTCCTAC</w:t>
            </w: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ACGTTGGATGTGATACGACCTGTCCTTCTC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AACTTGGGAGAACATTGT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rs1801275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ACGTTGGATGACCCTGCTCCACCGCATGTA</w:t>
            </w: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ACGTTGGATGATCCTCCGCCGAAATGTCCT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GCCCCACCAGTGGCTATC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rs324015</w:t>
            </w:r>
          </w:p>
        </w:tc>
        <w:tc>
          <w:tcPr>
            <w:tcW w:w="4580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ACGTTGGATGCTCAGAGAGCTCTGTATGTG</w:t>
            </w:r>
          </w:p>
        </w:tc>
        <w:tc>
          <w:tcPr>
            <w:tcW w:w="4556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ACGTTGGATGTGGAAGGGAAGTTCAGGCTC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GGGGTCAGGCTCTGAGACAC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3420" w:type="dxa"/>
            <w:gridSpan w:val="4"/>
            <w:tcBorders>
              <w:top w:val="single" w:color="000000" w:sz="8" w:space="0"/>
              <w:left w:val="nil"/>
              <w:bottom w:val="nil"/>
              <w:right w:val="nil"/>
            </w:tcBorders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1s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t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-PCRP: Polymerase chain reaction (PCR) amplification primer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fo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ward primer sequence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.</w:t>
            </w:r>
          </w:p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2nd-PCRP: Polymerase chain reaction (PCR) amplification primer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reverse primer sequence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.</w:t>
            </w:r>
          </w:p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UEP_SEQ: Unextended primer sequence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.</w:t>
            </w:r>
          </w:p>
          <w:p>
            <w:pPr>
              <w:widowControl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The 10nt sequence ACGTTGGATG was added to the 5′ end of each PCR primer so that they will not interfere in mass spectra.</w:t>
            </w:r>
          </w:p>
        </w:tc>
      </w:tr>
    </w:tbl>
    <w:p>
      <w:pPr>
        <w:widowControl/>
        <w:spacing w:before="159" w:beforeLines="5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widowControl/>
        <w:spacing w:before="159" w:beforeLines="5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docGrid w:type="lines" w:linePitch="319" w:charSpace="0"/>
        </w:sectPr>
      </w:pPr>
    </w:p>
    <w:tbl>
      <w:tblPr>
        <w:tblStyle w:val="5"/>
        <w:tblpPr w:leftFromText="180" w:rightFromText="180" w:vertAnchor="text" w:horzAnchor="page" w:tblpX="2262" w:tblpY="455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752"/>
        <w:gridCol w:w="1126"/>
        <w:gridCol w:w="1247"/>
        <w:gridCol w:w="1490"/>
        <w:gridCol w:w="23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7700" w:type="dxa"/>
            <w:gridSpan w:val="6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3" w:name="OLE_LINK102"/>
            <w:bookmarkStart w:id="24" w:name="OLE_LINK100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Table</w:t>
            </w:r>
            <w:r>
              <w:rPr>
                <w:rStyle w:val="10"/>
                <w:rFonts w:hint="default" w:ascii="Times New Roman" w:hAnsi="Times New Roman" w:cs="Times New Roman"/>
              </w:rPr>
              <w:t xml:space="preserve"> S3. </w:t>
            </w:r>
            <w:r>
              <w:rPr>
                <w:rStyle w:val="9"/>
              </w:rPr>
              <w:t>Four by two table of gene and environment</w:t>
            </w:r>
            <w:r>
              <w:rPr>
                <w:rStyle w:val="9"/>
                <w:rFonts w:hint="eastAsia"/>
              </w:rPr>
              <w:t>al</w:t>
            </w:r>
            <w:r>
              <w:rPr>
                <w:rStyle w:val="9"/>
              </w:rPr>
              <w:t xml:space="preserve"> factor in crossover analys</w:t>
            </w:r>
            <w:r>
              <w:rPr>
                <w:rStyle w:val="10"/>
                <w:rFonts w:hint="default" w:ascii="Times New Roman" w:hAnsi="Times New Roman" w:cs="Times New Roman"/>
              </w:rPr>
              <w:t>i</w:t>
            </w:r>
            <w:r>
              <w:rPr>
                <w:rStyle w:val="9"/>
              </w:rPr>
              <w:t>s</w:t>
            </w:r>
            <w:r>
              <w:rPr>
                <w:rStyle w:val="10"/>
                <w:rFonts w:hint="default" w:ascii="Times New Roman" w:hAnsi="Times New Roman" w:cs="Times New Roman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78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G</w:t>
            </w:r>
          </w:p>
        </w:tc>
        <w:tc>
          <w:tcPr>
            <w:tcW w:w="75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E</w:t>
            </w:r>
          </w:p>
        </w:tc>
        <w:tc>
          <w:tcPr>
            <w:tcW w:w="112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Cases</w:t>
            </w:r>
          </w:p>
        </w:tc>
        <w:tc>
          <w:tcPr>
            <w:tcW w:w="124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Controls</w:t>
            </w:r>
          </w:p>
        </w:tc>
        <w:tc>
          <w:tcPr>
            <w:tcW w:w="149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OR</w:t>
            </w:r>
          </w:p>
        </w:tc>
        <w:tc>
          <w:tcPr>
            <w:tcW w:w="23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M</w:t>
            </w:r>
            <w:r>
              <w:rPr>
                <w:rStyle w:val="11"/>
                <w:rFonts w:hint="default" w:ascii="Times New Roman" w:hAnsi="Times New Roman" w:cs="Times New Roman"/>
              </w:rPr>
              <w:t>eaning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785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2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26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1247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</w:t>
            </w:r>
          </w:p>
        </w:tc>
        <w:tc>
          <w:tcPr>
            <w:tcW w:w="149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OR</w:t>
            </w:r>
            <w:r>
              <w:rPr>
                <w:rStyle w:val="12"/>
              </w:rPr>
              <w:t>00</w:t>
            </w:r>
            <w:r>
              <w:rPr>
                <w:rStyle w:val="12"/>
                <w:vertAlign w:val="baseline"/>
              </w:rPr>
              <w:t xml:space="preserve"> </w:t>
            </w:r>
            <w:r>
              <w:rPr>
                <w:rStyle w:val="13"/>
              </w:rPr>
              <w:t>= 1</w:t>
            </w:r>
          </w:p>
        </w:tc>
        <w:tc>
          <w:tcPr>
            <w:tcW w:w="230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840" w:firstLineChars="400"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</w:t>
            </w:r>
            <w:r>
              <w:rPr>
                <w:rStyle w:val="13"/>
              </w:rPr>
              <w:t>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OR</w:t>
            </w:r>
            <w:r>
              <w:rPr>
                <w:rStyle w:val="12"/>
              </w:rPr>
              <w:t>10</w:t>
            </w:r>
            <w:r>
              <w:rPr>
                <w:rStyle w:val="12"/>
                <w:vertAlign w:val="baseline"/>
              </w:rPr>
              <w:t xml:space="preserve"> </w:t>
            </w:r>
            <w:r>
              <w:rPr>
                <w:rStyle w:val="13"/>
              </w:rPr>
              <w:t>= ad/bc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FF0000"/>
                <w:szCs w:val="21"/>
              </w:rPr>
              <w:t>I</w:t>
            </w:r>
            <w:r>
              <w:rPr>
                <w:rFonts w:ascii="Times New Roman" w:hAnsi="Times New Roman" w:cs="Times New Roman"/>
                <w:color w:val="FF0000"/>
                <w:szCs w:val="21"/>
              </w:rPr>
              <w:t>ndependent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effect of 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OR</w:t>
            </w:r>
            <w:r>
              <w:rPr>
                <w:rStyle w:val="12"/>
              </w:rPr>
              <w:t>01</w:t>
            </w:r>
            <w:r>
              <w:rPr>
                <w:rStyle w:val="12"/>
                <w:vertAlign w:val="baseline"/>
              </w:rPr>
              <w:t xml:space="preserve"> </w:t>
            </w:r>
            <w:r>
              <w:rPr>
                <w:rStyle w:val="13"/>
              </w:rPr>
              <w:t>= af/be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FF0000"/>
                <w:szCs w:val="21"/>
              </w:rPr>
              <w:t xml:space="preserve">Independent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effect of 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85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OR</w:t>
            </w:r>
            <w:r>
              <w:rPr>
                <w:rStyle w:val="12"/>
              </w:rPr>
              <w:t>11</w:t>
            </w:r>
            <w:r>
              <w:rPr>
                <w:rStyle w:val="12"/>
                <w:vertAlign w:val="baseline"/>
              </w:rPr>
              <w:t xml:space="preserve"> </w:t>
            </w:r>
            <w:r>
              <w:rPr>
                <w:rStyle w:val="13"/>
              </w:rPr>
              <w:t>= ah/bg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J</w:t>
            </w:r>
            <w:r>
              <w:rPr>
                <w:rStyle w:val="13"/>
              </w:rPr>
              <w:t>oint effect of G and 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7700" w:type="dxa"/>
            <w:gridSpan w:val="6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Definition of abbreviations: G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=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risk genotype</w:t>
            </w:r>
            <w:r>
              <w:rPr>
                <w:rStyle w:val="13"/>
              </w:rPr>
              <w:t>; E</w:t>
            </w:r>
            <w:r>
              <w:rPr>
                <w:rStyle w:val="13"/>
                <w:rFonts w:hint="eastAsia"/>
              </w:rPr>
              <w:t xml:space="preserve"> =</w:t>
            </w:r>
            <w:r>
              <w:rPr>
                <w:rStyle w:val="13"/>
              </w:rPr>
              <w:t xml:space="preserve"> environment</w:t>
            </w:r>
            <w:r>
              <w:rPr>
                <w:rStyle w:val="13"/>
                <w:rFonts w:hint="eastAsia"/>
              </w:rPr>
              <w:t>al</w:t>
            </w:r>
            <w:r>
              <w:rPr>
                <w:rStyle w:val="13"/>
              </w:rPr>
              <w:t xml:space="preserve"> factor; OR</w:t>
            </w:r>
            <w:r>
              <w:rPr>
                <w:rStyle w:val="13"/>
                <w:rFonts w:hint="eastAsia"/>
              </w:rPr>
              <w:t xml:space="preserve"> =</w:t>
            </w:r>
            <w:r>
              <w:rPr>
                <w:rStyle w:val="13"/>
              </w:rPr>
              <w:t xml:space="preserve"> odds ratio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;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0 and 1 represent absence and presence of the risk factors, respectively.</w:t>
            </w:r>
          </w:p>
        </w:tc>
      </w:tr>
    </w:tbl>
    <w:p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>
          <w:pgSz w:w="11906" w:h="16838"/>
          <w:pgMar w:top="1440" w:right="1803" w:bottom="1440" w:left="1803" w:header="851" w:footer="992" w:gutter="0"/>
          <w:cols w:space="0" w:num="1"/>
          <w:docGrid w:linePitch="319" w:charSpace="0"/>
        </w:sectPr>
      </w:pPr>
    </w:p>
    <w:tbl>
      <w:tblPr>
        <w:tblStyle w:val="4"/>
        <w:tblW w:w="0" w:type="auto"/>
        <w:tblInd w:w="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430"/>
        <w:gridCol w:w="2430"/>
        <w:gridCol w:w="2592"/>
        <w:gridCol w:w="25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440" w:type="dxa"/>
            <w:gridSpan w:val="5"/>
            <w:tcBorders>
              <w:top w:val="nil"/>
              <w:left w:val="nil"/>
              <w:bottom w:val="single" w:color="000000" w:sz="8" w:space="0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 xml:space="preserve">Table 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S4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. Selected inflammat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ion-related</w:t>
            </w:r>
            <w:r>
              <w:rPr>
                <w:rStyle w:val="13"/>
                <w:b/>
                <w:bCs/>
                <w:sz w:val="24"/>
              </w:rPr>
              <w:t xml:space="preserve"> SNPs and minor allele frequencies in study population.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39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24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1"/>
              </w:rPr>
              <w:t>SNP</w:t>
            </w:r>
          </w:p>
        </w:tc>
        <w:tc>
          <w:tcPr>
            <w:tcW w:w="24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Alleles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259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Minor allele frequency</w:t>
            </w:r>
          </w:p>
        </w:tc>
        <w:tc>
          <w:tcPr>
            <w:tcW w:w="259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1"/>
                <w:rFonts w:hint="default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P value for HWE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392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ADRB2</w:t>
            </w:r>
          </w:p>
        </w:tc>
        <w:tc>
          <w:tcPr>
            <w:tcW w:w="243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rs1042713</w:t>
            </w:r>
          </w:p>
        </w:tc>
        <w:tc>
          <w:tcPr>
            <w:tcW w:w="243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A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2592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0.4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96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0.18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ADRB2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rs1042714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0.12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GSDMB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rs7216389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0.2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0.54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ICAM1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rs5498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A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.29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0.35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IL13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rs1800925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0.1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IL4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rs2243250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0.51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IL4R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rs1801275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A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0.1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0.90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392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STAT6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rs324015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259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0.30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12440" w:type="dxa"/>
            <w:gridSpan w:val="5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bookmarkStart w:id="25" w:name="OLE_LINK128"/>
            <w:r>
              <w:rPr>
                <w:rFonts w:hint="eastAsia" w:ascii="Times New Roman" w:hAnsi="Times New Roman"/>
                <w:color w:val="000000"/>
                <w:kern w:val="0"/>
              </w:rPr>
              <w:t xml:space="preserve">Definition of abbreviations: </w:t>
            </w:r>
            <w:bookmarkEnd w:id="25"/>
            <w:r>
              <w:rPr>
                <w:rFonts w:ascii="Times New Roman" w:hAnsi="Times New Roman"/>
                <w:color w:val="000000"/>
                <w:kern w:val="0"/>
              </w:rPr>
              <w:t>SNP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 xml:space="preserve"> = s</w:t>
            </w:r>
            <w:r>
              <w:rPr>
                <w:rFonts w:ascii="Times New Roman" w:hAnsi="Times New Roman"/>
                <w:color w:val="000000"/>
                <w:kern w:val="0"/>
              </w:rPr>
              <w:t>ingle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 xml:space="preserve"> n</w:t>
            </w:r>
            <w:r>
              <w:rPr>
                <w:rFonts w:ascii="Times New Roman" w:hAnsi="Times New Roman"/>
                <w:color w:val="000000"/>
                <w:kern w:val="0"/>
              </w:rPr>
              <w:t>ucleotide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 xml:space="preserve"> p</w:t>
            </w:r>
            <w:r>
              <w:rPr>
                <w:rFonts w:ascii="Times New Roman" w:hAnsi="Times New Roman"/>
                <w:color w:val="000000"/>
                <w:kern w:val="0"/>
              </w:rPr>
              <w:t>olymorphisms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; HWE = H</w:t>
            </w:r>
            <w:r>
              <w:rPr>
                <w:rFonts w:ascii="Times New Roman" w:hAnsi="Times New Roman"/>
                <w:color w:val="000000"/>
                <w:kern w:val="0"/>
              </w:rPr>
              <w:t>ardy Weinberg equilibrium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 xml:space="preserve">; ADRB2 = </w:t>
            </w:r>
            <w:r>
              <w:rPr>
                <w:rFonts w:ascii="Times New Roman" w:hAnsi="Times New Roman"/>
                <w:color w:val="000000"/>
                <w:kern w:val="0"/>
              </w:rPr>
              <w:t>beta-2 adrenergic receptor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 xml:space="preserve">; GSDMB = </w:t>
            </w:r>
            <w:r>
              <w:rPr>
                <w:rFonts w:ascii="Times New Roman" w:hAnsi="Times New Roman"/>
                <w:color w:val="000000"/>
                <w:kern w:val="0"/>
              </w:rPr>
              <w:t>gasdermin B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 xml:space="preserve">; ICAM1 = </w:t>
            </w:r>
            <w:r>
              <w:rPr>
                <w:rFonts w:ascii="Times New Roman" w:hAnsi="Times New Roman"/>
                <w:color w:val="000000"/>
                <w:kern w:val="0"/>
              </w:rPr>
              <w:t>intercellular adhesion molecule-1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 xml:space="preserve">; IL13 = interleukin 13; IL4 = interleukin 4; </w:t>
            </w:r>
            <w:r>
              <w:rPr>
                <w:rFonts w:ascii="Times New Roman" w:hAnsi="Times New Roman"/>
                <w:color w:val="000000"/>
                <w:kern w:val="0"/>
              </w:rPr>
              <w:t>IL4R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 xml:space="preserve"> = </w:t>
            </w:r>
            <w:r>
              <w:rPr>
                <w:rFonts w:ascii="Times New Roman" w:hAnsi="Times New Roman"/>
                <w:color w:val="000000"/>
                <w:kern w:val="0"/>
              </w:rPr>
              <w:t>interleukin-4 receptor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 xml:space="preserve">; </w:t>
            </w:r>
            <w:r>
              <w:rPr>
                <w:rFonts w:ascii="Times New Roman" w:hAnsi="Times New Roman"/>
                <w:color w:val="000000"/>
                <w:kern w:val="0"/>
              </w:rPr>
              <w:t>STAT6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 xml:space="preserve"> = </w:t>
            </w:r>
            <w:r>
              <w:rPr>
                <w:rFonts w:ascii="Times New Roman" w:hAnsi="Times New Roman"/>
                <w:color w:val="000000"/>
                <w:kern w:val="0"/>
              </w:rPr>
              <w:t>signal transducer and activator of transcription6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.</w:t>
            </w:r>
          </w:p>
          <w:p>
            <w:pPr>
              <w:widowControl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Major allele/</w:t>
            </w:r>
            <w:r>
              <w:rPr>
                <w:rFonts w:ascii="Times New Roman" w:hAnsi="Times New Roman"/>
                <w:color w:val="000000"/>
                <w:kern w:val="0"/>
              </w:rPr>
              <w:t>Minor allele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.</w:t>
            </w:r>
          </w:p>
          <w:p>
            <w:pPr>
              <w:widowControl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b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Hardy Weinberg equilibrium 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 xml:space="preserve">was estimated for the </w:t>
            </w:r>
            <w:r>
              <w:rPr>
                <w:rFonts w:ascii="Times New Roman" w:hAnsi="Times New Roman"/>
                <w:color w:val="000000"/>
                <w:kern w:val="0"/>
              </w:rPr>
              <w:t>control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 xml:space="preserve"> group</w:t>
            </w:r>
            <w:bookmarkStart w:id="26" w:name="OLE_LINK86"/>
            <w:r>
              <w:rPr>
                <w:rFonts w:ascii="Times New Roman" w:hAnsi="Times New Roman"/>
                <w:color w:val="000000"/>
                <w:kern w:val="0"/>
              </w:rPr>
              <w:t>.</w:t>
            </w:r>
            <w:bookmarkEnd w:id="26"/>
          </w:p>
        </w:tc>
      </w:tr>
    </w:tbl>
    <w:p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docGrid w:linePitch="319" w:charSpace="0"/>
        </w:sectPr>
      </w:pPr>
    </w:p>
    <w:tbl>
      <w:tblPr>
        <w:tblStyle w:val="4"/>
        <w:tblW w:w="13304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196"/>
        <w:gridCol w:w="2022"/>
        <w:gridCol w:w="240"/>
        <w:gridCol w:w="1863"/>
        <w:gridCol w:w="2128"/>
        <w:gridCol w:w="265"/>
        <w:gridCol w:w="1729"/>
        <w:gridCol w:w="2378"/>
        <w:gridCol w:w="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274" w:hRule="atLeast"/>
        </w:trPr>
        <w:tc>
          <w:tcPr>
            <w:tcW w:w="13285" w:type="dxa"/>
            <w:gridSpan w:val="9"/>
            <w:tcBorders>
              <w:bottom w:val="single" w:color="auto" w:sz="8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S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Associations between inflammation-related SNPs and childhood asthma </w:t>
            </w:r>
            <w:r>
              <w:rPr>
                <w:rFonts w:hint="eastAsia"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under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different genetic models.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6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SNP</w:t>
            </w:r>
          </w:p>
        </w:tc>
        <w:tc>
          <w:tcPr>
            <w:tcW w:w="3218" w:type="dxa"/>
            <w:gridSpan w:val="2"/>
            <w:tcBorders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Recessive model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991" w:type="dxa"/>
            <w:gridSpan w:val="2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Dominant model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126" w:type="dxa"/>
            <w:gridSpan w:val="3"/>
            <w:tcBorders>
              <w:left w:val="nil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Additive model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64" w:type="dxa"/>
            <w:vMerge w:val="continue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196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Genotype</w:t>
            </w:r>
          </w:p>
        </w:tc>
        <w:tc>
          <w:tcPr>
            <w:tcW w:w="2022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aOR (95% CI)</w:t>
            </w:r>
          </w:p>
        </w:tc>
        <w:tc>
          <w:tcPr>
            <w:tcW w:w="240" w:type="dxa"/>
            <w:tcBorders>
              <w:top w:val="nil"/>
              <w:bottom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863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Genotype</w:t>
            </w:r>
          </w:p>
        </w:tc>
        <w:tc>
          <w:tcPr>
            <w:tcW w:w="2128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aOR (95% CI)</w:t>
            </w:r>
          </w:p>
        </w:tc>
        <w:tc>
          <w:tcPr>
            <w:tcW w:w="265" w:type="dxa"/>
            <w:tcBorders>
              <w:top w:val="nil"/>
              <w:bottom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Model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2397" w:type="dxa"/>
            <w:gridSpan w:val="2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aOR (95% 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4" w:type="dxa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rs1042713</w:t>
            </w:r>
          </w:p>
        </w:tc>
        <w:tc>
          <w:tcPr>
            <w:tcW w:w="119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AG+AA</w:t>
            </w:r>
          </w:p>
        </w:tc>
        <w:tc>
          <w:tcPr>
            <w:tcW w:w="2022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40" w:type="dxa"/>
            <w:tcBorders>
              <w:top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63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AA</w:t>
            </w:r>
          </w:p>
        </w:tc>
        <w:tc>
          <w:tcPr>
            <w:tcW w:w="2128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65" w:type="dxa"/>
            <w:tcBorders>
              <w:top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9" w:type="dxa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 allele</w:t>
            </w:r>
          </w:p>
        </w:tc>
        <w:tc>
          <w:tcPr>
            <w:tcW w:w="2397" w:type="dxa"/>
            <w:gridSpan w:val="2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1.05 (0.91, 1.22)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146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GG</w:t>
            </w:r>
          </w:p>
        </w:tc>
        <w:tc>
          <w:tcPr>
            <w:tcW w:w="202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1.00 (0.76, 1.3)</w:t>
            </w:r>
          </w:p>
        </w:tc>
        <w:tc>
          <w:tcPr>
            <w:tcW w:w="240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GG+GA</w:t>
            </w:r>
          </w:p>
        </w:tc>
        <w:tc>
          <w:tcPr>
            <w:tcW w:w="21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1.13 (0.90, 1.41)</w:t>
            </w:r>
          </w:p>
        </w:tc>
        <w:tc>
          <w:tcPr>
            <w:tcW w:w="265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9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rs1042714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CG+CC</w:t>
            </w:r>
          </w:p>
        </w:tc>
        <w:tc>
          <w:tcPr>
            <w:tcW w:w="202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40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</w:t>
            </w:r>
          </w:p>
        </w:tc>
        <w:tc>
          <w:tcPr>
            <w:tcW w:w="21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ref</w:t>
            </w:r>
            <w:bookmarkStart w:id="34" w:name="_GoBack"/>
            <w:bookmarkEnd w:id="34"/>
          </w:p>
        </w:tc>
        <w:tc>
          <w:tcPr>
            <w:tcW w:w="265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9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 allele</w:t>
            </w:r>
          </w:p>
        </w:tc>
        <w:tc>
          <w:tcPr>
            <w:tcW w:w="2397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0.97 (0.75, 1.25)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46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GG</w:t>
            </w:r>
          </w:p>
        </w:tc>
        <w:tc>
          <w:tcPr>
            <w:tcW w:w="202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1.98 (0.56, 7.84)</w:t>
            </w:r>
          </w:p>
        </w:tc>
        <w:tc>
          <w:tcPr>
            <w:tcW w:w="240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GG+GC</w:t>
            </w:r>
          </w:p>
        </w:tc>
        <w:tc>
          <w:tcPr>
            <w:tcW w:w="21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0.94 (0.71, 1.23)</w:t>
            </w:r>
          </w:p>
        </w:tc>
        <w:tc>
          <w:tcPr>
            <w:tcW w:w="265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9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rs7216389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a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CC+CT</w:t>
            </w:r>
          </w:p>
        </w:tc>
        <w:tc>
          <w:tcPr>
            <w:tcW w:w="202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40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</w:t>
            </w:r>
          </w:p>
        </w:tc>
        <w:tc>
          <w:tcPr>
            <w:tcW w:w="21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65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9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 allele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c</w:t>
            </w:r>
          </w:p>
        </w:tc>
        <w:tc>
          <w:tcPr>
            <w:tcW w:w="2397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1.32 (1.11, 1.57)*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6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TT</w:t>
            </w:r>
          </w:p>
        </w:tc>
        <w:tc>
          <w:tcPr>
            <w:tcW w:w="202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1.34 (1.08, 1.66)</w:t>
            </w:r>
          </w:p>
        </w:tc>
        <w:tc>
          <w:tcPr>
            <w:tcW w:w="240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TT+TC</w:t>
            </w:r>
          </w:p>
        </w:tc>
        <w:tc>
          <w:tcPr>
            <w:tcW w:w="21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1.72 (1.09, 2.77)</w:t>
            </w:r>
          </w:p>
        </w:tc>
        <w:tc>
          <w:tcPr>
            <w:tcW w:w="265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72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9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rs5498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AG+AA</w:t>
            </w:r>
          </w:p>
        </w:tc>
        <w:tc>
          <w:tcPr>
            <w:tcW w:w="202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40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AA</w:t>
            </w:r>
          </w:p>
        </w:tc>
        <w:tc>
          <w:tcPr>
            <w:tcW w:w="21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65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9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 allele</w:t>
            </w:r>
          </w:p>
        </w:tc>
        <w:tc>
          <w:tcPr>
            <w:tcW w:w="2397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1.10 (0.93, 1.3)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46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GG</w:t>
            </w:r>
          </w:p>
        </w:tc>
        <w:tc>
          <w:tcPr>
            <w:tcW w:w="202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1.19 (0.80, 1.77)</w:t>
            </w:r>
          </w:p>
        </w:tc>
        <w:tc>
          <w:tcPr>
            <w:tcW w:w="240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GG+GA</w:t>
            </w:r>
          </w:p>
        </w:tc>
        <w:tc>
          <w:tcPr>
            <w:tcW w:w="21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1.10 (0.89, 1.36)</w:t>
            </w:r>
          </w:p>
        </w:tc>
        <w:tc>
          <w:tcPr>
            <w:tcW w:w="265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9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rs1800925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CT+CC</w:t>
            </w:r>
          </w:p>
        </w:tc>
        <w:tc>
          <w:tcPr>
            <w:tcW w:w="202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40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</w:t>
            </w:r>
          </w:p>
        </w:tc>
        <w:tc>
          <w:tcPr>
            <w:tcW w:w="21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65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9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 allele</w:t>
            </w:r>
          </w:p>
        </w:tc>
        <w:tc>
          <w:tcPr>
            <w:tcW w:w="2397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1.13 (0.92, 1.39)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46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TT</w:t>
            </w:r>
          </w:p>
        </w:tc>
        <w:tc>
          <w:tcPr>
            <w:tcW w:w="202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1.09 (0.54, 2.16)</w:t>
            </w:r>
          </w:p>
        </w:tc>
        <w:tc>
          <w:tcPr>
            <w:tcW w:w="240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TT+TC</w:t>
            </w:r>
          </w:p>
        </w:tc>
        <w:tc>
          <w:tcPr>
            <w:tcW w:w="21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1.15 (0.91, 1.45)</w:t>
            </w:r>
          </w:p>
        </w:tc>
        <w:tc>
          <w:tcPr>
            <w:tcW w:w="265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9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rs2243250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CT+TT</w:t>
            </w:r>
          </w:p>
        </w:tc>
        <w:tc>
          <w:tcPr>
            <w:tcW w:w="202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40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TT</w:t>
            </w:r>
          </w:p>
        </w:tc>
        <w:tc>
          <w:tcPr>
            <w:tcW w:w="21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65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9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 allele</w:t>
            </w:r>
          </w:p>
        </w:tc>
        <w:tc>
          <w:tcPr>
            <w:tcW w:w="2397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0.88 (0.73, 1.07)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46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</w:t>
            </w:r>
          </w:p>
        </w:tc>
        <w:tc>
          <w:tcPr>
            <w:tcW w:w="202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0.96 (0.52, 1.74)</w:t>
            </w:r>
          </w:p>
        </w:tc>
        <w:tc>
          <w:tcPr>
            <w:tcW w:w="240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CC+CT</w:t>
            </w:r>
          </w:p>
        </w:tc>
        <w:tc>
          <w:tcPr>
            <w:tcW w:w="21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0.85 (0.68, 1.07)</w:t>
            </w:r>
          </w:p>
        </w:tc>
        <w:tc>
          <w:tcPr>
            <w:tcW w:w="265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9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rs1801275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AG+AA</w:t>
            </w:r>
          </w:p>
        </w:tc>
        <w:tc>
          <w:tcPr>
            <w:tcW w:w="202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40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AA</w:t>
            </w:r>
          </w:p>
        </w:tc>
        <w:tc>
          <w:tcPr>
            <w:tcW w:w="21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65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9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 allele</w:t>
            </w:r>
          </w:p>
        </w:tc>
        <w:tc>
          <w:tcPr>
            <w:tcW w:w="2397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0.94 (0.77, 1.15)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46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GG</w:t>
            </w:r>
          </w:p>
        </w:tc>
        <w:tc>
          <w:tcPr>
            <w:tcW w:w="202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1.12 (0.59, 2.08)</w:t>
            </w:r>
          </w:p>
        </w:tc>
        <w:tc>
          <w:tcPr>
            <w:tcW w:w="240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GG+GA</w:t>
            </w:r>
          </w:p>
        </w:tc>
        <w:tc>
          <w:tcPr>
            <w:tcW w:w="21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0.91 (0.72, 1.15)</w:t>
            </w:r>
          </w:p>
        </w:tc>
        <w:tc>
          <w:tcPr>
            <w:tcW w:w="265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9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146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rs324015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CT+CC</w:t>
            </w:r>
          </w:p>
        </w:tc>
        <w:tc>
          <w:tcPr>
            <w:tcW w:w="202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40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</w:t>
            </w:r>
          </w:p>
        </w:tc>
        <w:tc>
          <w:tcPr>
            <w:tcW w:w="21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65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9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 allele</w:t>
            </w:r>
          </w:p>
        </w:tc>
        <w:tc>
          <w:tcPr>
            <w:tcW w:w="2397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0.90 (0.78, 1.05)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464" w:type="dxa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96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TT</w:t>
            </w:r>
          </w:p>
        </w:tc>
        <w:tc>
          <w:tcPr>
            <w:tcW w:w="2022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0.83 (0.64, 1.06)</w:t>
            </w:r>
          </w:p>
        </w:tc>
        <w:tc>
          <w:tcPr>
            <w:tcW w:w="240" w:type="dxa"/>
            <w:tcBorders>
              <w:bottom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63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TT+TC</w:t>
            </w:r>
          </w:p>
        </w:tc>
        <w:tc>
          <w:tcPr>
            <w:tcW w:w="2128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0.91 (0.72, 1.15)</w:t>
            </w:r>
          </w:p>
        </w:tc>
        <w:tc>
          <w:tcPr>
            <w:tcW w:w="265" w:type="dxa"/>
            <w:tcBorders>
              <w:bottom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9" w:type="dxa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97" w:type="dxa"/>
            <w:gridSpan w:val="2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3304" w:type="dxa"/>
            <w:gridSpan w:val="10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Definition of abbreviations: aOR = </w:t>
            </w:r>
            <w:r>
              <w:rPr>
                <w:rFonts w:ascii="Times New Roman" w:hAnsi="Times New Roman" w:cs="Times New Roman"/>
                <w:color w:val="FF0000"/>
                <w:szCs w:val="21"/>
              </w:rPr>
              <w:t>adjusted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odds ratio; ref = reference genotype coded as 0; CI = confidence interval; SNP = single nucleotide polymorphism.</w:t>
            </w:r>
          </w:p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FF0000"/>
                <w:szCs w:val="21"/>
              </w:rPr>
              <w:t>Models were adjusted for gender and age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</w:t>
            </w:r>
          </w:p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The reference allele of each SNPs was major allele, except for rs7216389 SNP; C allele, the minor allele of rs7216389 SNP, was defined as reference allele because of the low risk effect.</w:t>
            </w:r>
          </w:p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Additive genetic model, the genotypes were categorized into a three-level variable for the number of minor alleles (0,1,2).</w:t>
            </w:r>
          </w:p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The genotypes of rs7216389 SNP were categorized into a three-level variable for the number of major alleles under the additive model (0,1,2).</w:t>
            </w:r>
          </w:p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* </w:t>
            </w:r>
            <w:r>
              <w:rPr>
                <w:rFonts w:ascii="Times New Roman" w:hAnsi="Times New Roman" w:cs="Times New Roman"/>
                <w:color w:val="FF0000"/>
                <w:szCs w:val="21"/>
              </w:rPr>
              <w:t xml:space="preserve">FDR adjusted P value&lt;0.05, </w:t>
            </w:r>
            <w:r>
              <w:rPr>
                <w:rFonts w:ascii="Times New Roman" w:hAnsi="Times New Roman" w:cs="Times New Roman"/>
                <w:color w:val="FF0000"/>
              </w:rPr>
              <w:t>FDR, False discovery rate.</w:t>
            </w:r>
          </w:p>
        </w:tc>
      </w:tr>
      <w:bookmarkEnd w:id="23"/>
      <w:bookmarkEnd w:id="24"/>
    </w:tbl>
    <w:p>
      <w:pPr>
        <w:widowControl/>
        <w:spacing w:before="120" w:beforeLines="5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widowControl/>
        <w:spacing w:before="120" w:beforeLines="5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docGrid w:linePitch="319" w:charSpace="0"/>
        </w:sectPr>
      </w:pPr>
    </w:p>
    <w:tbl>
      <w:tblPr>
        <w:tblStyle w:val="5"/>
        <w:tblW w:w="0" w:type="auto"/>
        <w:tblInd w:w="3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9"/>
        <w:gridCol w:w="1163"/>
        <w:gridCol w:w="1216"/>
        <w:gridCol w:w="1766"/>
        <w:gridCol w:w="2151"/>
        <w:gridCol w:w="2151"/>
        <w:gridCol w:w="21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107" w:type="dxa"/>
            <w:gridSpan w:val="7"/>
            <w:tcBorders>
              <w:bottom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S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Combined effects of SNPs and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visible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mold exposure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childhood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asthma under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recessive genetic model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509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SNPs/ mold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</w:rPr>
              <w:t xml:space="preserve"> exposure</w:t>
            </w:r>
          </w:p>
        </w:tc>
        <w:tc>
          <w:tcPr>
            <w:tcW w:w="1163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No. of asthma cases</w:t>
            </w:r>
          </w:p>
        </w:tc>
        <w:tc>
          <w:tcPr>
            <w:tcW w:w="1216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Group size</w:t>
            </w:r>
          </w:p>
        </w:tc>
        <w:tc>
          <w:tcPr>
            <w:tcW w:w="1766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OR (95% CI)</w:t>
            </w:r>
          </w:p>
        </w:tc>
        <w:tc>
          <w:tcPr>
            <w:tcW w:w="2151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AP</w:t>
            </w:r>
          </w:p>
        </w:tc>
        <w:tc>
          <w:tcPr>
            <w:tcW w:w="2151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</w:t>
            </w:r>
          </w:p>
        </w:tc>
        <w:tc>
          <w:tcPr>
            <w:tcW w:w="2151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RERI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op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s1042713/ mold</w:t>
            </w:r>
          </w:p>
        </w:tc>
        <w:tc>
          <w:tcPr>
            <w:tcW w:w="1163" w:type="dxa"/>
            <w:tcBorders>
              <w:top w:val="single" w:color="000000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16" w:type="dxa"/>
            <w:tcBorders>
              <w:top w:val="single" w:color="000000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66" w:type="dxa"/>
            <w:tcBorders>
              <w:top w:val="single" w:color="000000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op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0.24 (-0.28, 0.76)</w:t>
            </w:r>
          </w:p>
        </w:tc>
        <w:tc>
          <w:tcPr>
            <w:tcW w:w="2151" w:type="dxa"/>
            <w:tcBorders>
              <w:top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1.69 (0.48, 5.9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51" w:type="dxa"/>
            <w:tcBorders>
              <w:top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0.59 (-0.99, 2.17)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AA+AG/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367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941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GG/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90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236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0.95 (0.69, 1.29)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AA+AG/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121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220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1.91 (1.39, 2.62)*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GG/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30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50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2.44 (1.33, 4.57)*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s7216389/ mold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-0.12 (-0.68, 0.44)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0.83 (0.37, 1.86)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-0.3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(-1.59, 1.00)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CT+CC/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170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501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TT/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287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676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1.34 (1.04, 1.73)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CC+CT/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59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106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2.37 (1.51, 3.73)*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TT/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92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164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2.41 (1.65, 3.55)*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s5498/ mold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-0.22 (-1.27, 0.83)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0.68 (0.11, 4.11)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-0.41 (-2.09, 1.28)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AA+GA/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422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1095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GG/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35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82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1.21 (0.74, 1.97)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AA+GA/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135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241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2.07 (1.53, 2.80)*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GG/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29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1.87 (0.85, 4.21)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s2243250/ mold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-0.26 (-2.32, 1.80)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(0.01, 37.27)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-0.43 (-3.15, 2.30)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TT+TC/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442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1137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40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1.03 (0.5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, 2.04)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TT+TC/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147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263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2.03 (1.52, 2.72)*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1.63 (0.33, 8.85)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s1801275/ mold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0.37 (-0.63, 1.37)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2.2 (0.19, 24.91)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1.16 (-3.7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, 6.01)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AA+AG/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443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1143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GG/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34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0.98 (0.45, 2.04)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107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23"/>
                <w:rFonts w:ascii="Times New Roman" w:hAnsi="Times New Roman" w:cs="Times New Roman"/>
                <w:i/>
                <w:iCs/>
                <w:szCs w:val="21"/>
                <w:shd w:val="clear" w:color="auto" w:fill="FFFFFF"/>
              </w:rPr>
              <w:t>Continued to the next 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107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23"/>
                <w:rFonts w:ascii="Times New Roman" w:hAnsi="Times New Roman" w:cs="Times New Roman"/>
                <w:i/>
                <w:iCs/>
                <w:szCs w:val="21"/>
                <w:shd w:val="clear" w:color="auto" w:fill="FFFFFF"/>
              </w:rPr>
              <w:t>Table S6. Continued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AA+AG/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146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262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1.99 (1.49, 2.67)*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GG/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3.13 (0.69, 16.58)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s324015/ mold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-0.32 (-1.1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, 0.46)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0.65 (0.27, 1.57)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-0.77 (-2.6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, 1.05)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CC+TC/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97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280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TT/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360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897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1.32 (0.98, 1.79)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CC+TC/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33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57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2.87 (1.55, 5.38)*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9" w:type="dxa"/>
            <w:tcBorders>
              <w:bottom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ind w:left="210" w:left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TT/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163" w:type="dxa"/>
            <w:tcBorders>
              <w:bottom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118</w:t>
            </w:r>
          </w:p>
        </w:tc>
        <w:tc>
          <w:tcPr>
            <w:tcW w:w="1216" w:type="dxa"/>
            <w:tcBorders>
              <w:bottom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213</w:t>
            </w:r>
          </w:p>
        </w:tc>
        <w:tc>
          <w:tcPr>
            <w:tcW w:w="1766" w:type="dxa"/>
            <w:tcBorders>
              <w:bottom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2.42 (1.64, 3.58)*</w:t>
            </w:r>
          </w:p>
        </w:tc>
        <w:tc>
          <w:tcPr>
            <w:tcW w:w="2151" w:type="dxa"/>
            <w:tcBorders>
              <w:bottom w:val="single" w:color="000000" w:sz="8" w:space="0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bottom w:val="single" w:color="000000" w:sz="8" w:space="0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51" w:type="dxa"/>
            <w:tcBorders>
              <w:bottom w:val="single" w:color="000000" w:sz="8" w:space="0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13107" w:type="dxa"/>
            <w:gridSpan w:val="7"/>
            <w:tcBorders>
              <w:top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Definition of abbreviations: SNP = single nucleotide polymorphisms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; 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ref=reference;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OR = odds ratio; AP = the attributable proportion due to interaction; S = the synergy index; RERI = the relative excess risk due to interaction.</w:t>
            </w:r>
          </w:p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Models were adjusted for age, gender, family history of allergy, parental education level, and ETS before and after birth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</w:t>
            </w:r>
          </w:p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Rs1042714 and rs1800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9</w:t>
            </w:r>
            <w:r>
              <w:rPr>
                <w:rFonts w:ascii="Times New Roman" w:hAnsi="Times New Roman" w:eastAsia="Cambria" w:cs="Times New Roman"/>
                <w:color w:val="000000"/>
                <w:szCs w:val="21"/>
              </w:rPr>
              <w:t>25 SNPs were not performed because of small number of children carrying minor allele homozygotes.</w:t>
            </w:r>
          </w:p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27" w:name="_Hlk63406115"/>
            <w:r>
              <w:rPr>
                <w:rFonts w:ascii="Times New Roman" w:hAnsi="Times New Roman" w:cs="Times New Roman"/>
                <w:color w:val="FF0000"/>
              </w:rPr>
              <w:t>*FDR</w:t>
            </w:r>
            <w:r>
              <w:rPr>
                <w:rFonts w:hint="eastAsia"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adjusted P</w:t>
            </w:r>
            <w:r>
              <w:rPr>
                <w:rFonts w:hint="eastAsia" w:ascii="Times New Roman" w:hAnsi="Times New Roman" w:cs="Times New Roman"/>
                <w:color w:val="FF0000"/>
              </w:rPr>
              <w:t>-</w:t>
            </w:r>
            <w:r>
              <w:rPr>
                <w:rFonts w:ascii="Times New Roman" w:hAnsi="Times New Roman" w:cs="Times New Roman"/>
                <w:color w:val="FF0000"/>
              </w:rPr>
              <w:t>value&lt;0.05; FDR, False discovery</w:t>
            </w:r>
            <w:bookmarkEnd w:id="27"/>
            <w:r>
              <w:rPr>
                <w:rFonts w:ascii="Times New Roman" w:hAnsi="Times New Roman" w:cs="Times New Roman"/>
                <w:color w:val="FF0000"/>
              </w:rPr>
              <w:t xml:space="preserve"> rate.</w:t>
            </w:r>
          </w:p>
        </w:tc>
      </w:tr>
    </w:tbl>
    <w:p>
      <w:pP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docGrid w:linePitch="319" w:charSpace="0"/>
        </w:sectPr>
      </w:pPr>
    </w:p>
    <w:p>
      <w:pPr>
        <w:widowControl/>
        <w:spacing w:before="120" w:beforeLines="50" w:line="360" w:lineRule="auto"/>
        <w:jc w:val="center"/>
      </w:pPr>
      <w:r>
        <w:rPr>
          <w:rFonts w:ascii="Times New Roman" w:hAnsi="Times New Roman"/>
          <w:color w:val="000000"/>
          <w:sz w:val="24"/>
          <w:szCs w:val="24"/>
        </w:rPr>
        <w:drawing>
          <wp:inline distT="0" distB="0" distL="0" distR="0">
            <wp:extent cx="5594350" cy="39624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2431" cy="398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="等线" w:cs="Times New Roman"/>
          <w:color w:val="000000"/>
          <w:sz w:val="24"/>
          <w:szCs w:val="24"/>
          <w:lang w:bidi="ar"/>
        </w:rPr>
        <w:t xml:space="preserve">Fig. S1. </w:t>
      </w:r>
      <w:bookmarkStart w:id="28" w:name="OLE_LINK20"/>
      <w:bookmarkStart w:id="29" w:name="OLE_LINK18"/>
      <w:bookmarkStart w:id="30" w:name="OLE_LINK19"/>
      <w:bookmarkStart w:id="31" w:name="OLE_LINK17"/>
      <w:bookmarkStart w:id="32" w:name="OLE_LINK16"/>
      <w:r>
        <w:rPr>
          <w:rFonts w:ascii="Times New Roman" w:hAnsi="Times New Roman" w:eastAsia="等线" w:cs="Times New Roman"/>
          <w:color w:val="000000"/>
          <w:sz w:val="24"/>
          <w:szCs w:val="24"/>
          <w:lang w:bidi="ar"/>
        </w:rPr>
        <w:t>Directed acyclic graph</w:t>
      </w:r>
      <w:bookmarkEnd w:id="28"/>
      <w:bookmarkEnd w:id="29"/>
      <w:bookmarkEnd w:id="30"/>
      <w:r>
        <w:rPr>
          <w:rFonts w:ascii="Times New Roman" w:hAnsi="Times New Roman" w:eastAsia="等线" w:cs="Times New Roman"/>
          <w:color w:val="000000"/>
          <w:sz w:val="24"/>
          <w:szCs w:val="24"/>
          <w:lang w:bidi="ar"/>
        </w:rPr>
        <w:t xml:space="preserve"> for the interaction between visible mold exposure and SNPs on childhood asthma</w:t>
      </w:r>
      <w:bookmarkEnd w:id="31"/>
      <w:bookmarkEnd w:id="32"/>
      <w:r>
        <w:rPr>
          <w:rFonts w:ascii="Times New Roman" w:hAnsi="Times New Roman" w:eastAsia="等线" w:cs="Times New Roman"/>
          <w:color w:val="000000"/>
          <w:sz w:val="24"/>
          <w:szCs w:val="24"/>
          <w:lang w:bidi="ar"/>
        </w:rPr>
        <w:t xml:space="preserve">. SNP: </w:t>
      </w:r>
      <w:bookmarkStart w:id="33" w:name="OLE_LINK41"/>
      <w:r>
        <w:rPr>
          <w:rFonts w:ascii="Times New Roman" w:hAnsi="Times New Roman" w:eastAsia="等线" w:cs="Times New Roman"/>
          <w:color w:val="000000"/>
          <w:sz w:val="24"/>
          <w:szCs w:val="24"/>
          <w:lang w:bidi="ar"/>
        </w:rPr>
        <w:t>single nucleotide polymorphisms</w:t>
      </w:r>
      <w:bookmarkEnd w:id="33"/>
      <w:r>
        <w:rPr>
          <w:rFonts w:ascii="Times New Roman" w:hAnsi="Times New Roman" w:eastAsia="等线" w:cs="Times New Roman"/>
          <w:color w:val="000000"/>
          <w:sz w:val="24"/>
          <w:szCs w:val="24"/>
          <w:lang w:bidi="ar"/>
        </w:rPr>
        <w:t xml:space="preserve">, SES: </w:t>
      </w:r>
      <w:r>
        <w:fldChar w:fldCharType="begin"/>
      </w:r>
      <w:r>
        <w:instrText xml:space="preserve"> HYPERLINK "C:/Users/zhangyu/Desktop/javascript:;" </w:instrText>
      </w:r>
      <w:r>
        <w:fldChar w:fldCharType="separate"/>
      </w:r>
      <w:r>
        <w:rPr>
          <w:rStyle w:val="8"/>
          <w:rFonts w:ascii="Times New Roman" w:hAnsi="Times New Roman" w:cs="Times New Roman"/>
          <w:color w:val="000000"/>
          <w:sz w:val="24"/>
          <w:szCs w:val="24"/>
          <w:u w:val="none"/>
        </w:rPr>
        <w:t>socioeconomic status</w:t>
      </w:r>
      <w:r>
        <w:rPr>
          <w:rStyle w:val="8"/>
          <w:rFonts w:ascii="Times New Roman" w:hAnsi="Times New Roman" w:cs="Times New Roman"/>
          <w:color w:val="000000"/>
          <w:sz w:val="24"/>
          <w:szCs w:val="24"/>
          <w:u w:val="none"/>
        </w:rPr>
        <w:fldChar w:fldCharType="end"/>
      </w:r>
      <w:r>
        <w:rPr>
          <w:rFonts w:ascii="Times New Roman" w:hAnsi="Times New Roman" w:eastAsia="等线" w:cs="Times New Roman"/>
          <w:color w:val="000000"/>
          <w:sz w:val="24"/>
          <w:szCs w:val="24"/>
          <w:lang w:bidi="ar"/>
        </w:rPr>
        <w:t>. DAGitty version 3.0.</w:t>
      </w:r>
    </w:p>
    <w:sectPr>
      <w:pgSz w:w="11906" w:h="16838"/>
      <w:pgMar w:top="1440" w:right="1803" w:bottom="1440" w:left="1803" w:header="851" w:footer="992" w:gutter="0"/>
      <w:cols w:space="0" w:num="1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haker 2 Lancet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3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mental Healt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x5dwd2sapw05ke9zwr5zx07zpfwarp2ttdv&quot;&gt;My EndNote Library&lt;record-ids&gt;&lt;item&gt;75&lt;/item&gt;&lt;item&gt;360&lt;/item&gt;&lt;item&gt;366&lt;/item&gt;&lt;item&gt;1066&lt;/item&gt;&lt;item&gt;1451&lt;/item&gt;&lt;item&gt;1520&lt;/item&gt;&lt;item&gt;1971&lt;/item&gt;&lt;item&gt;2983&lt;/item&gt;&lt;item&gt;3019&lt;/item&gt;&lt;item&gt;3021&lt;/item&gt;&lt;item&gt;3025&lt;/item&gt;&lt;item&gt;3027&lt;/item&gt;&lt;item&gt;3032&lt;/item&gt;&lt;item&gt;3046&lt;/item&gt;&lt;item&gt;3054&lt;/item&gt;&lt;/record-ids&gt;&lt;/item&gt;&lt;/Libraries&gt;"/>
  </w:docVars>
  <w:rsids>
    <w:rsidRoot w:val="008B6D9E"/>
    <w:rsid w:val="00002BAA"/>
    <w:rsid w:val="00013EAC"/>
    <w:rsid w:val="00054978"/>
    <w:rsid w:val="00062962"/>
    <w:rsid w:val="00081388"/>
    <w:rsid w:val="000D02ED"/>
    <w:rsid w:val="000D69ED"/>
    <w:rsid w:val="00111823"/>
    <w:rsid w:val="00112D3B"/>
    <w:rsid w:val="0012050A"/>
    <w:rsid w:val="00124175"/>
    <w:rsid w:val="0016008A"/>
    <w:rsid w:val="00174D94"/>
    <w:rsid w:val="0017750D"/>
    <w:rsid w:val="001806A5"/>
    <w:rsid w:val="001C7B03"/>
    <w:rsid w:val="002051D3"/>
    <w:rsid w:val="00214CB3"/>
    <w:rsid w:val="00221780"/>
    <w:rsid w:val="00236204"/>
    <w:rsid w:val="00266032"/>
    <w:rsid w:val="0028677F"/>
    <w:rsid w:val="00294DEA"/>
    <w:rsid w:val="002D3787"/>
    <w:rsid w:val="002D7331"/>
    <w:rsid w:val="002E4012"/>
    <w:rsid w:val="0030165D"/>
    <w:rsid w:val="0036089D"/>
    <w:rsid w:val="00367BB0"/>
    <w:rsid w:val="003E25F7"/>
    <w:rsid w:val="004072E2"/>
    <w:rsid w:val="00464B22"/>
    <w:rsid w:val="004734ED"/>
    <w:rsid w:val="00481CD2"/>
    <w:rsid w:val="004929D6"/>
    <w:rsid w:val="004B3FC7"/>
    <w:rsid w:val="004C7F4B"/>
    <w:rsid w:val="004D2349"/>
    <w:rsid w:val="005300A3"/>
    <w:rsid w:val="0054459D"/>
    <w:rsid w:val="00587241"/>
    <w:rsid w:val="005A7C93"/>
    <w:rsid w:val="005B753E"/>
    <w:rsid w:val="005C015E"/>
    <w:rsid w:val="005C48F6"/>
    <w:rsid w:val="005C61FC"/>
    <w:rsid w:val="005E61B7"/>
    <w:rsid w:val="005F4904"/>
    <w:rsid w:val="006376AB"/>
    <w:rsid w:val="00656762"/>
    <w:rsid w:val="00685327"/>
    <w:rsid w:val="006B13DA"/>
    <w:rsid w:val="006B761F"/>
    <w:rsid w:val="006C4EC5"/>
    <w:rsid w:val="006C60FB"/>
    <w:rsid w:val="006D2F11"/>
    <w:rsid w:val="006D6CD2"/>
    <w:rsid w:val="006F558D"/>
    <w:rsid w:val="00703201"/>
    <w:rsid w:val="00710F62"/>
    <w:rsid w:val="00777149"/>
    <w:rsid w:val="007932FF"/>
    <w:rsid w:val="007D350A"/>
    <w:rsid w:val="007E23CB"/>
    <w:rsid w:val="0080062F"/>
    <w:rsid w:val="00801B4E"/>
    <w:rsid w:val="008176DE"/>
    <w:rsid w:val="0086361A"/>
    <w:rsid w:val="00875280"/>
    <w:rsid w:val="00875673"/>
    <w:rsid w:val="008B6D9E"/>
    <w:rsid w:val="008F42EE"/>
    <w:rsid w:val="008F58CA"/>
    <w:rsid w:val="009229F5"/>
    <w:rsid w:val="00945791"/>
    <w:rsid w:val="00985910"/>
    <w:rsid w:val="00997D6C"/>
    <w:rsid w:val="009C7800"/>
    <w:rsid w:val="009D3E27"/>
    <w:rsid w:val="009D74E9"/>
    <w:rsid w:val="009D7AEE"/>
    <w:rsid w:val="009E434C"/>
    <w:rsid w:val="009F3B05"/>
    <w:rsid w:val="00A17D83"/>
    <w:rsid w:val="00A54A1E"/>
    <w:rsid w:val="00A650DD"/>
    <w:rsid w:val="00A869FD"/>
    <w:rsid w:val="00A9435B"/>
    <w:rsid w:val="00A94CE2"/>
    <w:rsid w:val="00AA2855"/>
    <w:rsid w:val="00AC72FD"/>
    <w:rsid w:val="00AD2563"/>
    <w:rsid w:val="00B20A6A"/>
    <w:rsid w:val="00B22BA0"/>
    <w:rsid w:val="00B24164"/>
    <w:rsid w:val="00B30E1D"/>
    <w:rsid w:val="00B36215"/>
    <w:rsid w:val="00B46F8E"/>
    <w:rsid w:val="00B55760"/>
    <w:rsid w:val="00B6308A"/>
    <w:rsid w:val="00B95278"/>
    <w:rsid w:val="00BB0CB9"/>
    <w:rsid w:val="00BC70A5"/>
    <w:rsid w:val="00BD09C3"/>
    <w:rsid w:val="00BE05C9"/>
    <w:rsid w:val="00C076A9"/>
    <w:rsid w:val="00C61528"/>
    <w:rsid w:val="00C66235"/>
    <w:rsid w:val="00C715E9"/>
    <w:rsid w:val="00C7311C"/>
    <w:rsid w:val="00C924B5"/>
    <w:rsid w:val="00CC09DB"/>
    <w:rsid w:val="00CD2A1E"/>
    <w:rsid w:val="00D05EF8"/>
    <w:rsid w:val="00D11836"/>
    <w:rsid w:val="00D37BD5"/>
    <w:rsid w:val="00D52D4E"/>
    <w:rsid w:val="00DA04A9"/>
    <w:rsid w:val="00DB31A3"/>
    <w:rsid w:val="00DE13C1"/>
    <w:rsid w:val="00E01B86"/>
    <w:rsid w:val="00E200C7"/>
    <w:rsid w:val="00E36B3C"/>
    <w:rsid w:val="00E45F6A"/>
    <w:rsid w:val="00E8081D"/>
    <w:rsid w:val="00EA1755"/>
    <w:rsid w:val="00ED0B56"/>
    <w:rsid w:val="00EE5BEB"/>
    <w:rsid w:val="00EF462B"/>
    <w:rsid w:val="00F42ABF"/>
    <w:rsid w:val="00F6137C"/>
    <w:rsid w:val="00F8156A"/>
    <w:rsid w:val="00F845E6"/>
    <w:rsid w:val="00FE0F46"/>
    <w:rsid w:val="01637D1B"/>
    <w:rsid w:val="11853E8E"/>
    <w:rsid w:val="11971B70"/>
    <w:rsid w:val="12E2148B"/>
    <w:rsid w:val="1C863587"/>
    <w:rsid w:val="20CF52D7"/>
    <w:rsid w:val="28E04720"/>
    <w:rsid w:val="29291D3C"/>
    <w:rsid w:val="318C319E"/>
    <w:rsid w:val="392F130D"/>
    <w:rsid w:val="3DF41ED8"/>
    <w:rsid w:val="3FC66DAE"/>
    <w:rsid w:val="40520EEC"/>
    <w:rsid w:val="40BF3169"/>
    <w:rsid w:val="4A9F0B9A"/>
    <w:rsid w:val="4C5E45D3"/>
    <w:rsid w:val="56A87B17"/>
    <w:rsid w:val="594273C0"/>
    <w:rsid w:val="5BCE18CA"/>
    <w:rsid w:val="5D536B71"/>
    <w:rsid w:val="5DB6405C"/>
    <w:rsid w:val="634D247B"/>
    <w:rsid w:val="66A47D03"/>
    <w:rsid w:val="693816BF"/>
    <w:rsid w:val="6D7057D7"/>
    <w:rsid w:val="6E8F16E9"/>
    <w:rsid w:val="6F87343E"/>
    <w:rsid w:val="72610E22"/>
    <w:rsid w:val="73DD5F25"/>
    <w:rsid w:val="7BDA5CDF"/>
    <w:rsid w:val="7D2C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20"/>
    <w:rPr>
      <w:i/>
      <w:iCs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19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</w:rPr>
  </w:style>
  <w:style w:type="character" w:customStyle="1" w:styleId="10">
    <w:name w:val="18"/>
    <w:basedOn w:val="6"/>
    <w:qFormat/>
    <w:uiPriority w:val="0"/>
    <w:rPr>
      <w:rFonts w:hint="eastAsia" w:ascii="宋体" w:hAnsi="宋体" w:eastAsia="宋体"/>
      <w:b/>
      <w:bCs/>
      <w:color w:val="000000"/>
      <w:sz w:val="24"/>
      <w:szCs w:val="24"/>
    </w:rPr>
  </w:style>
  <w:style w:type="character" w:customStyle="1" w:styleId="11">
    <w:name w:val="15"/>
    <w:basedOn w:val="6"/>
    <w:qFormat/>
    <w:uiPriority w:val="0"/>
    <w:rPr>
      <w:rFonts w:hint="eastAsia" w:ascii="宋体" w:hAnsi="宋体" w:eastAsia="宋体"/>
      <w:b/>
      <w:bCs/>
      <w:color w:val="000000"/>
      <w:sz w:val="21"/>
      <w:szCs w:val="21"/>
    </w:rPr>
  </w:style>
  <w:style w:type="character" w:customStyle="1" w:styleId="12">
    <w:name w:val="17"/>
    <w:basedOn w:val="6"/>
    <w:qFormat/>
    <w:uiPriority w:val="0"/>
    <w:rPr>
      <w:rFonts w:hint="default" w:ascii="Times New Roman" w:hAnsi="Times New Roman" w:cs="Times New Roman"/>
      <w:color w:val="000000"/>
      <w:sz w:val="21"/>
      <w:szCs w:val="21"/>
      <w:vertAlign w:val="subscript"/>
    </w:rPr>
  </w:style>
  <w:style w:type="character" w:customStyle="1" w:styleId="13">
    <w:name w:val="16"/>
    <w:basedOn w:val="6"/>
    <w:qFormat/>
    <w:uiPriority w:val="0"/>
    <w:rPr>
      <w:rFonts w:hint="default" w:ascii="Times New Roman" w:hAnsi="Times New Roman" w:cs="Times New Roman"/>
      <w:color w:val="000000"/>
      <w:sz w:val="21"/>
      <w:szCs w:val="21"/>
    </w:rPr>
  </w:style>
  <w:style w:type="paragraph" w:customStyle="1" w:styleId="14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Shaker 2 Lancet" w:hAnsi="等线" w:cs="宋体"/>
      <w:color w:val="000000"/>
      <w:kern w:val="0"/>
      <w:sz w:val="24"/>
    </w:rPr>
  </w:style>
  <w:style w:type="character" w:customStyle="1" w:styleId="15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EndNote Bibliography Title"/>
    <w:basedOn w:val="1"/>
    <w:link w:val="18"/>
    <w:uiPriority w:val="0"/>
    <w:pPr>
      <w:jc w:val="center"/>
    </w:pPr>
    <w:rPr>
      <w:rFonts w:ascii="Calibri" w:hAnsi="Calibri" w:cs="Calibri"/>
      <w:sz w:val="20"/>
    </w:rPr>
  </w:style>
  <w:style w:type="character" w:customStyle="1" w:styleId="18">
    <w:name w:val="EndNote Bibliography Title 字符"/>
    <w:basedOn w:val="6"/>
    <w:link w:val="17"/>
    <w:qFormat/>
    <w:uiPriority w:val="0"/>
    <w:rPr>
      <w:rFonts w:ascii="Calibri" w:hAnsi="Calibri" w:cs="Calibri" w:eastAsiaTheme="minorEastAsia"/>
      <w:kern w:val="2"/>
      <w:szCs w:val="22"/>
    </w:rPr>
  </w:style>
  <w:style w:type="paragraph" w:customStyle="1" w:styleId="19">
    <w:name w:val="EndNote Bibliography"/>
    <w:basedOn w:val="1"/>
    <w:link w:val="20"/>
    <w:uiPriority w:val="0"/>
    <w:rPr>
      <w:rFonts w:ascii="Calibri" w:hAnsi="Calibri" w:cs="Calibri"/>
      <w:sz w:val="20"/>
    </w:rPr>
  </w:style>
  <w:style w:type="character" w:customStyle="1" w:styleId="20">
    <w:name w:val="EndNote Bibliography 字符"/>
    <w:basedOn w:val="6"/>
    <w:link w:val="19"/>
    <w:qFormat/>
    <w:uiPriority w:val="0"/>
    <w:rPr>
      <w:rFonts w:ascii="Calibri" w:hAnsi="Calibri" w:cs="Calibri" w:eastAsiaTheme="minorEastAsia"/>
      <w:kern w:val="2"/>
      <w:szCs w:val="22"/>
    </w:rPr>
  </w:style>
  <w:style w:type="paragraph" w:customStyle="1" w:styleId="21">
    <w:name w:val="src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2">
    <w:name w:val="List Paragraph"/>
    <w:basedOn w:val="1"/>
    <w:uiPriority w:val="99"/>
    <w:pPr>
      <w:ind w:firstLine="420" w:firstLineChars="200"/>
    </w:pPr>
  </w:style>
  <w:style w:type="character" w:customStyle="1" w:styleId="23">
    <w:name w:val="skip"/>
    <w:qFormat/>
    <w:uiPriority w:val="0"/>
  </w:style>
  <w:style w:type="paragraph" w:styleId="24">
    <w:name w:val="No Spacing"/>
    <w:qFormat/>
    <w:uiPriority w:val="1"/>
    <w:pPr>
      <w:widowControl w:val="0"/>
      <w:spacing w:before="156" w:beforeLines="5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B1A695-0A53-4D1D-B81F-7CB0CEA99E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1206</Words>
  <Characters>6878</Characters>
  <Lines>57</Lines>
  <Paragraphs>16</Paragraphs>
  <TotalTime>0</TotalTime>
  <ScaleCrop>false</ScaleCrop>
  <LinksUpToDate>false</LinksUpToDate>
  <CharactersWithSpaces>8068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2020-10-19T09:59:00Z</dcterms:created>
  <dc:creator>zhangyu</dc:creator>
  <cp:lastModifiedBy>13776554820</cp:lastModifiedBy>
  <dcterms:modified xsi:type="dcterms:W3CDTF">2021-03-06T14:05:10Z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