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5971C" w14:textId="77777777" w:rsidR="001717BD" w:rsidRDefault="000241F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22B2D22F" w14:textId="77777777" w:rsidR="001717BD" w:rsidRDefault="001717BD">
      <w:pPr>
        <w:rPr>
          <w:rFonts w:ascii="Times New Roman" w:hAnsi="Times New Roman" w:cs="Times New Roman"/>
          <w:b/>
          <w:bCs/>
          <w:sz w:val="24"/>
        </w:rPr>
      </w:pPr>
    </w:p>
    <w:p w14:paraId="413613B8" w14:textId="77777777" w:rsidR="001717BD" w:rsidRDefault="000241FB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Title: </w:t>
      </w:r>
      <w:r>
        <w:rPr>
          <w:rFonts w:ascii="Times New Roman" w:eastAsia="AdvOT555ca9dc.B" w:hAnsi="Times New Roman"/>
          <w:b/>
          <w:bCs/>
          <w:sz w:val="24"/>
        </w:rPr>
        <w:t xml:space="preserve">Identification of the molecular subgroups in </w:t>
      </w:r>
      <w:r>
        <w:rPr>
          <w:rFonts w:ascii="Times New Roman" w:hAnsi="Times New Roman" w:hint="eastAsia"/>
          <w:b/>
          <w:bCs/>
          <w:sz w:val="24"/>
        </w:rPr>
        <w:t>asthma by gene expression profiles: airway inflammation implications</w:t>
      </w:r>
    </w:p>
    <w:p w14:paraId="529F3EA1" w14:textId="77777777" w:rsidR="001717BD" w:rsidRDefault="001717BD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2327696" w14:textId="77777777" w:rsidR="001717BD" w:rsidRDefault="000241FB">
      <w:pPr>
        <w:spacing w:line="360" w:lineRule="auto"/>
        <w:rPr>
          <w:rFonts w:ascii="Times New Roman" w:hAnsi="Times New Roman" w:cs="Times New Roman"/>
          <w:b/>
          <w:bCs/>
          <w:sz w:val="24"/>
          <w:vertAlign w:val="superscript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Authors: </w:t>
      </w:r>
      <w:r>
        <w:rPr>
          <w:rFonts w:ascii="Times New Roman" w:hAnsi="Times New Roman" w:cs="Times New Roman"/>
          <w:b/>
          <w:bCs/>
          <w:sz w:val="24"/>
        </w:rPr>
        <w:t>Min Li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1,2</w:t>
      </w:r>
      <w:r>
        <w:rPr>
          <w:rFonts w:ascii="Times New Roman" w:eastAsia="NshcxsAdvTTb5929f4c+20" w:hAnsi="Times New Roman" w:cs="Times New Roman"/>
          <w:color w:val="131413"/>
          <w:sz w:val="24"/>
          <w:vertAlign w:val="superscript"/>
        </w:rPr>
        <w:t>†</w:t>
      </w:r>
      <w:r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Wen</w:t>
      </w:r>
      <w:r>
        <w:rPr>
          <w:rFonts w:ascii="Times New Roman" w:hAnsi="Times New Roman" w:cs="Times New Roman" w:hint="eastAsia"/>
          <w:b/>
          <w:bCs/>
          <w:sz w:val="24"/>
        </w:rPr>
        <w:t>y</w:t>
      </w:r>
      <w:r>
        <w:rPr>
          <w:rFonts w:ascii="Times New Roman" w:hAnsi="Times New Roman" w:cs="Times New Roman"/>
          <w:b/>
          <w:bCs/>
          <w:sz w:val="24"/>
        </w:rPr>
        <w:t>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Zhu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NshcxsAdvTTb5929f4c+20" w:hAnsi="Times New Roman" w:cs="Times New Roman"/>
          <w:color w:val="131413"/>
          <w:sz w:val="24"/>
          <w:vertAlign w:val="superscript"/>
        </w:rPr>
        <w:t>†</w:t>
      </w:r>
      <w:r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Ummair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Saeed </w:t>
      </w:r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b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Shi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/>
          <w:b/>
          <w:bCs/>
          <w:sz w:val="24"/>
        </w:rPr>
        <w:t>o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Sun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>, Yan Fang</w:t>
      </w:r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>, C</w:t>
      </w:r>
      <w:r>
        <w:rPr>
          <w:rFonts w:ascii="Times New Roman" w:hAnsi="Times New Roman" w:cs="Times New Roman"/>
          <w:b/>
          <w:bCs/>
          <w:sz w:val="24"/>
        </w:rPr>
        <w:t>hu Wang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 and Zhuang Luo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2*</w:t>
      </w:r>
    </w:p>
    <w:p w14:paraId="24FC3900" w14:textId="77777777" w:rsidR="001717BD" w:rsidRDefault="001717BD">
      <w:pPr>
        <w:spacing w:line="360" w:lineRule="auto"/>
        <w:rPr>
          <w:rFonts w:ascii="Times New Roman" w:hAnsi="Times New Roman" w:cs="Times New Roman"/>
          <w:b/>
          <w:bCs/>
          <w:sz w:val="24"/>
          <w:vertAlign w:val="superscript"/>
        </w:rPr>
      </w:pPr>
    </w:p>
    <w:p w14:paraId="7B238D0A" w14:textId="77777777" w:rsidR="001717BD" w:rsidRDefault="000241FB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</w:rPr>
        <w:t>Department of Respiratory and Critical Care Medicine, West China Hospital, Sichuan University, Chengdu, China</w:t>
      </w:r>
    </w:p>
    <w:p w14:paraId="1DE6A2E2" w14:textId="77777777" w:rsidR="001717BD" w:rsidRDefault="000241FB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</w:rPr>
        <w:t>Department of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Respiratory and Critical Care Medicine, First Affiliated Hospital of Kunming Medical University, Kunming, China</w:t>
      </w:r>
    </w:p>
    <w:p w14:paraId="34038175" w14:textId="77777777" w:rsidR="001717BD" w:rsidRDefault="000241FB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</w:rPr>
        <w:t>Department of Pharmacy, First Affiliated Hospital of Kunming Medical University, Kunming, China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</w:p>
    <w:p w14:paraId="058A38AE" w14:textId="77777777" w:rsidR="001717BD" w:rsidRDefault="000241FB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color w:val="000000"/>
          <w:sz w:val="24"/>
        </w:rPr>
        <w:t>Department of Dermatology, National Orthopedic and General Hospital, Bahawalpur, Pakistan</w:t>
      </w:r>
    </w:p>
    <w:p w14:paraId="22AD1027" w14:textId="77777777" w:rsidR="001717BD" w:rsidRDefault="001717BD">
      <w:pPr>
        <w:rPr>
          <w:rFonts w:ascii="Times New Roman" w:hAnsi="Times New Roman" w:cs="Times New Roman"/>
          <w:b/>
          <w:bCs/>
          <w:sz w:val="24"/>
        </w:rPr>
      </w:pPr>
    </w:p>
    <w:p w14:paraId="235D5646" w14:textId="761EA218" w:rsidR="001717BD" w:rsidRDefault="000241F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Table legend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4EC38DB3" w14:textId="77777777" w:rsidR="001717BD" w:rsidRDefault="001717BD">
      <w:pPr>
        <w:rPr>
          <w:rFonts w:ascii="Times New Roman" w:hAnsi="Times New Roman" w:cs="Times New Roman"/>
          <w:b/>
          <w:bCs/>
          <w:sz w:val="24"/>
        </w:rPr>
      </w:pPr>
    </w:p>
    <w:p w14:paraId="3F1FF6CD" w14:textId="77777777" w:rsidR="001717BD" w:rsidRDefault="000241FB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Supplementary Table S</w:t>
      </w:r>
      <w:r>
        <w:rPr>
          <w:rFonts w:ascii="Times New Roman" w:eastAsia="宋体" w:hAnsi="Times New Roman" w:cs="Times New Roman" w:hint="eastAsia"/>
          <w:sz w:val="24"/>
        </w:rPr>
        <w:t xml:space="preserve">1. The definition of immune terms used for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ssGSEA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.</w:t>
      </w:r>
    </w:p>
    <w:p w14:paraId="484BEA18" w14:textId="77777777" w:rsidR="001717BD" w:rsidRDefault="000241FB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Supplementary Table S</w:t>
      </w:r>
      <w:r>
        <w:rPr>
          <w:rFonts w:ascii="Times New Roman" w:eastAsia="宋体" w:hAnsi="Times New Roman" w:cs="Times New Roman" w:hint="eastAsia"/>
          <w:sz w:val="24"/>
        </w:rPr>
        <w:t>2. The details of the genes in each of the WGCNA modules.</w:t>
      </w:r>
    </w:p>
    <w:p w14:paraId="01EFC4BC" w14:textId="05C50319" w:rsidR="001717BD" w:rsidRDefault="000241FB">
      <w:pPr>
        <w:spacing w:line="360" w:lineRule="auto"/>
        <w:rPr>
          <w:rFonts w:ascii="Times New Roman" w:hAnsi="Times New Roman"/>
          <w:kern w:val="0"/>
          <w:sz w:val="24"/>
        </w:rPr>
      </w:pPr>
      <w:bookmarkStart w:id="0" w:name="_Hlk74254120"/>
      <w:r>
        <w:rPr>
          <w:rFonts w:ascii="Times New Roman" w:eastAsia="宋体" w:hAnsi="Times New Roman" w:cs="Times New Roman"/>
          <w:sz w:val="24"/>
        </w:rPr>
        <w:t>Supplementary</w:t>
      </w:r>
      <w:bookmarkEnd w:id="0"/>
      <w:r>
        <w:rPr>
          <w:rFonts w:ascii="Times New Roman" w:eastAsia="宋体" w:hAnsi="Times New Roman" w:cs="Times New Roman"/>
          <w:sz w:val="24"/>
        </w:rPr>
        <w:t xml:space="preserve"> Table S3. </w:t>
      </w:r>
      <w:r>
        <w:rPr>
          <w:rFonts w:ascii="Times New Roman" w:hAnsi="Times New Roman"/>
          <w:kern w:val="0"/>
          <w:sz w:val="24"/>
        </w:rPr>
        <w:t xml:space="preserve">Demographic and clinical characteristics of the patients </w:t>
      </w:r>
      <w:r w:rsidR="003D6930">
        <w:rPr>
          <w:rFonts w:ascii="Times New Roman" w:hAnsi="Times New Roman" w:hint="eastAsia"/>
          <w:kern w:val="0"/>
          <w:sz w:val="24"/>
        </w:rPr>
        <w:t>with</w:t>
      </w:r>
      <w:r w:rsidR="003D6930">
        <w:rPr>
          <w:rFonts w:ascii="Times New Roman" w:hAnsi="Times New Roman"/>
          <w:kern w:val="0"/>
          <w:sz w:val="24"/>
        </w:rPr>
        <w:t xml:space="preserve"> </w:t>
      </w:r>
      <w:r w:rsidR="003D6930">
        <w:rPr>
          <w:rFonts w:ascii="Times New Roman" w:hAnsi="Times New Roman" w:hint="eastAsia"/>
          <w:kern w:val="0"/>
          <w:sz w:val="24"/>
        </w:rPr>
        <w:t>asthma</w:t>
      </w:r>
      <w:r w:rsidR="003D6930">
        <w:rPr>
          <w:rFonts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 xml:space="preserve">grouped by cluster analysis in validation </w:t>
      </w:r>
      <w:r w:rsidR="00731ECC">
        <w:rPr>
          <w:rFonts w:ascii="Times New Roman" w:hAnsi="Times New Roman"/>
          <w:kern w:val="0"/>
          <w:sz w:val="24"/>
        </w:rPr>
        <w:t>dataset</w:t>
      </w:r>
      <w:r w:rsidR="00C632B9">
        <w:rPr>
          <w:rFonts w:ascii="Times New Roman" w:hAnsi="Times New Roman"/>
          <w:kern w:val="0"/>
          <w:sz w:val="24"/>
        </w:rPr>
        <w:t xml:space="preserve"> (</w:t>
      </w:r>
      <w:r w:rsidR="00EB70FF">
        <w:rPr>
          <w:rFonts w:ascii="Times New Roman" w:hAnsi="Times New Roman"/>
          <w:kern w:val="0"/>
          <w:sz w:val="24"/>
        </w:rPr>
        <w:t>GSE</w:t>
      </w:r>
      <w:r w:rsidR="00EB70FF">
        <w:rPr>
          <w:rFonts w:ascii="Times New Roman" w:hAnsi="Times New Roman" w:cs="Times New Roman" w:hint="eastAsia"/>
          <w:kern w:val="0"/>
          <w:sz w:val="24"/>
        </w:rPr>
        <w:t>41863</w:t>
      </w:r>
      <w:r w:rsidR="00C632B9">
        <w:rPr>
          <w:rFonts w:ascii="Times New Roman" w:hAnsi="Times New Roman"/>
          <w:kern w:val="0"/>
          <w:sz w:val="24"/>
        </w:rPr>
        <w:t>)</w:t>
      </w:r>
      <w:bookmarkStart w:id="1" w:name="_Hlk74254768"/>
    </w:p>
    <w:p w14:paraId="0557A486" w14:textId="61BEB81F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6CAA6988" w14:textId="609F724D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5FF0E364" w14:textId="375050FD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1F3FD5B3" w14:textId="6EF5FB0F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6DAD4FC7" w14:textId="2CDA83B3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55FB2DFC" w14:textId="35677024" w:rsidR="00EB70FF" w:rsidRDefault="00EB70F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5C45EB9E" w14:textId="016D04BD" w:rsidR="005F7E7F" w:rsidRDefault="005F7E7F">
      <w:pPr>
        <w:spacing w:line="360" w:lineRule="auto"/>
        <w:rPr>
          <w:rFonts w:ascii="Times New Roman" w:hAnsi="Times New Roman"/>
          <w:kern w:val="0"/>
          <w:sz w:val="24"/>
        </w:rPr>
      </w:pPr>
    </w:p>
    <w:p w14:paraId="4E5B6F32" w14:textId="77777777" w:rsidR="005F7E7F" w:rsidRPr="00EB70FF" w:rsidRDefault="005F7E7F">
      <w:pPr>
        <w:spacing w:line="360" w:lineRule="auto"/>
        <w:rPr>
          <w:rFonts w:ascii="Times New Roman" w:hAnsi="Times New Roman" w:hint="eastAsia"/>
          <w:kern w:val="0"/>
          <w:sz w:val="24"/>
        </w:rPr>
      </w:pPr>
    </w:p>
    <w:p w14:paraId="2D8E1DD9" w14:textId="2AF652E3" w:rsidR="00EB70FF" w:rsidRDefault="00EB70FF" w:rsidP="00EB70FF">
      <w:pPr>
        <w:spacing w:line="360" w:lineRule="auto"/>
        <w:jc w:val="center"/>
        <w:rPr>
          <w:rFonts w:ascii="Times New Roman" w:eastAsia="宋体" w:hAnsi="Times New Roman" w:cs="宋体"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 S3.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 xml:space="preserve">Demographic and clinical characteristics of the patients </w:t>
      </w:r>
      <w:r w:rsidR="00EF61D9">
        <w:rPr>
          <w:rFonts w:ascii="Times New Roman" w:hAnsi="Times New Roman"/>
          <w:kern w:val="0"/>
          <w:sz w:val="24"/>
        </w:rPr>
        <w:t xml:space="preserve">with asthma </w:t>
      </w:r>
      <w:r>
        <w:rPr>
          <w:rFonts w:ascii="Times New Roman" w:hAnsi="Times New Roman"/>
          <w:kern w:val="0"/>
          <w:sz w:val="24"/>
        </w:rPr>
        <w:t>grouped by cluster analysis in validation cohort (GSE</w:t>
      </w:r>
      <w:r>
        <w:rPr>
          <w:rFonts w:ascii="Times New Roman" w:hAnsi="Times New Roman" w:cs="Times New Roman" w:hint="eastAsia"/>
          <w:kern w:val="0"/>
          <w:sz w:val="24"/>
        </w:rPr>
        <w:t>41863</w:t>
      </w:r>
      <w:r>
        <w:rPr>
          <w:rFonts w:ascii="Times New Roman" w:hAnsi="Times New Roman"/>
          <w:kern w:val="0"/>
          <w:sz w:val="24"/>
        </w:rPr>
        <w:t>)</w:t>
      </w:r>
    </w:p>
    <w:tbl>
      <w:tblPr>
        <w:tblW w:w="8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291"/>
        <w:gridCol w:w="1412"/>
        <w:gridCol w:w="1400"/>
        <w:gridCol w:w="913"/>
        <w:gridCol w:w="1010"/>
      </w:tblGrid>
      <w:tr w:rsidR="00EB70FF" w14:paraId="4B72325F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DAC9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Variables</w:t>
            </w:r>
          </w:p>
          <w:p w14:paraId="07A51967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49BA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53F16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Cluster 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1F2A7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Cluster II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6CB55" w14:textId="77777777" w:rsidR="00EB70FF" w:rsidRDefault="00EB70FF" w:rsidP="00582686">
            <w:pPr>
              <w:rPr>
                <w:rFonts w:ascii="Times New Roman" w:eastAsia="MinionPro-Regular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MinionPro-Regular" w:hAnsi="Times New Roman" w:cs="Times New Roman"/>
                <w:b/>
                <w:bCs/>
                <w:sz w:val="18"/>
                <w:szCs w:val="18"/>
              </w:rPr>
              <w:t>χ2/</w:t>
            </w:r>
            <w:r>
              <w:rPr>
                <w:rFonts w:ascii="Times New Roman" w:eastAsia="MinionPro-Regular" w:hAnsi="Times New Roman" w:cs="Times New Roman"/>
                <w:b/>
                <w:bCs/>
                <w:i/>
                <w:iCs/>
                <w:sz w:val="18"/>
                <w:szCs w:val="18"/>
              </w:rPr>
              <w:t>z</w:t>
            </w:r>
          </w:p>
          <w:p w14:paraId="55334D7A" w14:textId="77777777" w:rsidR="00EB70FF" w:rsidRDefault="00EB70FF" w:rsidP="00582686">
            <w:pPr>
              <w:rPr>
                <w:rFonts w:ascii="Times New Roman" w:eastAsia="MinionPro-Regular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13BE" w14:textId="77777777" w:rsidR="00EB70FF" w:rsidRDefault="00EB70FF" w:rsidP="00582686">
            <w:pPr>
              <w:rPr>
                <w:rFonts w:ascii="Times New Roman" w:eastAsia="TimesNewRomanPS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p-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value</w:t>
            </w:r>
            <w:r>
              <w:rPr>
                <w:rFonts w:ascii="Times New Roman" w:eastAsia="TimesNewRomanPS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B70FF" w14:paraId="522E4A77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31E3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C754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4B0B7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C3617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419D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07FA8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EB70FF" w14:paraId="70847DA6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8993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Age, year, median (Q</w:t>
            </w:r>
            <w:proofErr w:type="gramStart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1,Q</w:t>
            </w:r>
            <w:proofErr w:type="gramEnd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BE24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57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60F0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58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CCC0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2BB72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0.553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DA1C9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0.580</w:t>
            </w:r>
          </w:p>
        </w:tc>
      </w:tr>
      <w:tr w:rsidR="00EB70FF" w14:paraId="33C9136E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489C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Gender,n</w:t>
            </w:r>
            <w:proofErr w:type="spellEnd"/>
            <w:proofErr w:type="gramEnd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F5388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4272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DE29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EE9C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A726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0.950</w:t>
            </w:r>
          </w:p>
        </w:tc>
      </w:tr>
      <w:tr w:rsidR="00EB70FF" w14:paraId="22071A16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2666" w14:textId="77777777" w:rsidR="00EB70FF" w:rsidRDefault="00EB70FF" w:rsidP="0058268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CDCD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F586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 (52.3)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E6F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 (57.5)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BE1BC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FA5C4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EB70FF" w14:paraId="2EF524B0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7538" w14:textId="77777777" w:rsidR="00EB70FF" w:rsidRDefault="00EB70FF" w:rsidP="0058268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D93C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EAA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 (47.7)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4DD16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 (42.5)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24A1E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2326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EB70FF" w14:paraId="0FA3D301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4A68" w14:textId="5C272905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Airway inflammation </w:t>
            </w:r>
            <w:proofErr w:type="gramStart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n(</w:t>
            </w:r>
            <w:proofErr w:type="gramEnd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C42C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AEC0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E1F5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60F06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B23A8" w14:textId="77777777" w:rsidR="00EB70FF" w:rsidRDefault="00EB70FF" w:rsidP="0058268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B70FF" w14:paraId="0653AE6C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8137" w14:textId="77777777" w:rsidR="00EB70FF" w:rsidRDefault="00EB70FF" w:rsidP="0058268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Eosinophilic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E92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38223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14(50.0)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448F7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1(4.2)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FF3D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10.204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9425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EB70FF" w14:paraId="2DDC502A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2765" w14:textId="77777777" w:rsidR="00EB70FF" w:rsidRDefault="00EB70FF" w:rsidP="00582686">
            <w:pPr>
              <w:ind w:firstLineChars="100" w:firstLine="180"/>
              <w:rPr>
                <w:rFonts w:ascii="Times New Roman" w:eastAsia="TimesNewRomanPS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Neutrophilic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3671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86457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28.6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4EE5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9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47.4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5999B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1.695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2B73B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187</w:t>
            </w:r>
          </w:p>
        </w:tc>
      </w:tr>
      <w:tr w:rsidR="00EB70FF" w14:paraId="5D69265C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2D4D" w14:textId="77777777" w:rsidR="00EB70FF" w:rsidRDefault="00EB70FF" w:rsidP="00582686">
            <w:pPr>
              <w:ind w:firstLineChars="100" w:firstLine="180"/>
              <w:rPr>
                <w:rFonts w:ascii="Times New Roman" w:eastAsia="TimesNewRomanPS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Paucigranulocytic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2DF35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9AE07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5F7BE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0C84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4.515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2EB49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0.034</w:t>
            </w:r>
          </w:p>
        </w:tc>
      </w:tr>
      <w:tr w:rsidR="00EB70FF" w14:paraId="26E0F108" w14:textId="77777777" w:rsidTr="0058268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8545" w14:textId="77777777" w:rsidR="00EB70FF" w:rsidRDefault="00EB70FF" w:rsidP="00582686">
            <w:pPr>
              <w:ind w:firstLineChars="100" w:firstLine="180"/>
              <w:rPr>
                <w:rFonts w:ascii="Times New Roman" w:eastAsia="TimesNewRomanPS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" w:hAnsi="Times New Roman" w:cs="Times New Roman"/>
                <w:sz w:val="18"/>
                <w:szCs w:val="18"/>
              </w:rPr>
              <w:t>Mixed Granulocytic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667B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624A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700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45AEB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0CC0D" w14:textId="77777777" w:rsidR="00EB70FF" w:rsidRDefault="00EB70FF" w:rsidP="0058268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84</w:t>
            </w:r>
          </w:p>
        </w:tc>
      </w:tr>
    </w:tbl>
    <w:p w14:paraId="1E8B7F5F" w14:textId="77777777" w:rsidR="00EB70FF" w:rsidRDefault="00EB70FF" w:rsidP="00EB70FF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vertAlign w:val="superscript"/>
        </w:rPr>
        <w:t xml:space="preserve">a </w:t>
      </w:r>
      <w:r>
        <w:rPr>
          <w:rFonts w:ascii="Times New Roman" w:hAnsi="Times New Roman" w:cs="Times New Roman"/>
        </w:rPr>
        <w:t>Compare between Cluster I and Cluster II.</w:t>
      </w:r>
    </w:p>
    <w:p w14:paraId="1B8A4852" w14:textId="46AD912E" w:rsidR="00721059" w:rsidRPr="00EB70FF" w:rsidRDefault="00721059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0BA75EE4" w14:textId="2EF007C0" w:rsidR="00721059" w:rsidRDefault="00721059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4966300F" w14:textId="22832CF5" w:rsidR="00721059" w:rsidRDefault="00721059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1D608ABF" w14:textId="1BB78FC4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6C130587" w14:textId="30C7F625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023AA4B7" w14:textId="1ECDA798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52A34504" w14:textId="5C9B9047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56FAEE3A" w14:textId="7391F944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42148982" w14:textId="28EC17F8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04605379" w14:textId="7E6EFC48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02D14042" w14:textId="309ADF3F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4073415D" w14:textId="209F7696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20951E41" w14:textId="13B65B37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55D5F7EA" w14:textId="0C94A8EC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3E212234" w14:textId="1829EEC6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1BB9D928" w14:textId="43CC81FD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69AE0436" w14:textId="475B59A4" w:rsidR="00EB70FF" w:rsidRDefault="00EB70F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168ACC4F" w14:textId="65CCC378" w:rsidR="008D4738" w:rsidRDefault="008D4738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7B73CB73" w14:textId="77777777" w:rsidR="008D4738" w:rsidRDefault="008D4738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632C1689" w14:textId="18F19113" w:rsidR="00EB70FF" w:rsidRDefault="00721059" w:rsidP="00EB70FF">
      <w:pPr>
        <w:spacing w:line="360" w:lineRule="auto"/>
        <w:rPr>
          <w:rFonts w:ascii="等线" w:eastAsia="等线" w:hAnsi="等线" w:cs="Times New Roman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sz w:val="24"/>
        </w:rPr>
        <w:t>Figures</w:t>
      </w:r>
      <w:bookmarkEnd w:id="1"/>
      <w:r w:rsidR="00EB70FF">
        <w:rPr>
          <w:rFonts w:ascii="等线" w:eastAsia="等线" w:hAnsi="等线" w:cs="Times New Roman" w:hint="eastAsia"/>
        </w:rPr>
        <w:t xml:space="preserve"> </w:t>
      </w:r>
    </w:p>
    <w:p w14:paraId="06574226" w14:textId="77777777" w:rsidR="00777B4D" w:rsidRDefault="00777B4D" w:rsidP="00EB70FF">
      <w:pPr>
        <w:spacing w:line="360" w:lineRule="auto"/>
        <w:rPr>
          <w:rFonts w:ascii="等线" w:eastAsia="等线" w:hAnsi="等线" w:cs="Times New Roman"/>
          <w:szCs w:val="21"/>
        </w:rPr>
      </w:pPr>
    </w:p>
    <w:p w14:paraId="2D695E90" w14:textId="20B4E323" w:rsidR="00EB70FF" w:rsidRDefault="00EB70FF" w:rsidP="00777B4D">
      <w:pPr>
        <w:spacing w:line="360" w:lineRule="auto"/>
        <w:jc w:val="center"/>
        <w:rPr>
          <w:rFonts w:ascii="等线" w:eastAsia="等线" w:hAnsi="等线" w:cs="Times New Roman"/>
        </w:rPr>
      </w:pPr>
      <w:r>
        <w:rPr>
          <w:noProof/>
        </w:rPr>
        <w:drawing>
          <wp:inline distT="0" distB="0" distL="0" distR="0" wp14:anchorId="38E09194" wp14:editId="24F2FD71">
            <wp:extent cx="4197941" cy="1481864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95" cy="148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7728" w14:textId="77777777" w:rsidR="00EB70FF" w:rsidRDefault="00EB70FF" w:rsidP="00EB70F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S1.</w:t>
      </w:r>
      <w:r>
        <w:rPr>
          <w:rFonts w:ascii="Times New Roman" w:eastAsia="等线" w:hAnsi="Times New Roman" w:cs="Times New Roman"/>
          <w:sz w:val="24"/>
        </w:rPr>
        <w:t xml:space="preserve"> Cluster-consensus score bar-plot of the validation dataset. The bar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eastAsia="等线" w:hAnsi="Times New Roman" w:cs="Times New Roman"/>
          <w:sz w:val="24"/>
        </w:rPr>
        <w:t>plot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represent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eastAsia="等线" w:hAnsi="Times New Roman" w:cs="Times New Roman"/>
          <w:sz w:val="24"/>
        </w:rPr>
        <w:t xml:space="preserve"> the consensus scores for subgroups with cluster count</w:t>
      </w:r>
      <w:r>
        <w:rPr>
          <w:rFonts w:ascii="Times New Roman" w:hAnsi="Times New Roman" w:cs="Times New Roman"/>
          <w:sz w:val="24"/>
        </w:rPr>
        <w:t xml:space="preserve"> (k) </w:t>
      </w:r>
      <w:r>
        <w:rPr>
          <w:rFonts w:ascii="Times New Roman" w:eastAsia="等线" w:hAnsi="Times New Roman" w:cs="Times New Roman"/>
          <w:sz w:val="24"/>
        </w:rPr>
        <w:t>ranging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from 2 to 8</w:t>
      </w:r>
      <w:r>
        <w:rPr>
          <w:rFonts w:ascii="Times New Roman" w:hAnsi="Times New Roman" w:cs="Times New Roman"/>
          <w:sz w:val="24"/>
        </w:rPr>
        <w:t>.</w:t>
      </w:r>
    </w:p>
    <w:p w14:paraId="22B0FFE4" w14:textId="7388CA37" w:rsidR="00EB70FF" w:rsidRDefault="00EB70FF" w:rsidP="00EB70FF">
      <w:pPr>
        <w:spacing w:line="360" w:lineRule="auto"/>
        <w:rPr>
          <w:rFonts w:ascii="Times New Roman" w:hAnsi="Times New Roman" w:cs="Times New Roman"/>
          <w:sz w:val="24"/>
        </w:rPr>
      </w:pPr>
    </w:p>
    <w:p w14:paraId="503A9C3E" w14:textId="77777777" w:rsidR="00777B4D" w:rsidRDefault="00777B4D" w:rsidP="00EB70FF">
      <w:pPr>
        <w:spacing w:line="360" w:lineRule="auto"/>
        <w:rPr>
          <w:rFonts w:ascii="Times New Roman" w:hAnsi="Times New Roman" w:cs="Times New Roman"/>
          <w:sz w:val="24"/>
        </w:rPr>
      </w:pPr>
    </w:p>
    <w:p w14:paraId="7B5596CE" w14:textId="733959A4" w:rsidR="00EB70FF" w:rsidRDefault="004206CC" w:rsidP="004206C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AE95723" wp14:editId="3842BC2A">
            <wp:extent cx="3035474" cy="30354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52" cy="303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FD5A" w14:textId="5DEB1B71" w:rsidR="00EB70FF" w:rsidRPr="00EB70FF" w:rsidRDefault="00EB70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S2.</w:t>
      </w:r>
      <w:r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Consensus matrix heatmap of the validation dataset (GSE</w:t>
      </w:r>
      <w:r w:rsidR="00281A31">
        <w:rPr>
          <w:rFonts w:ascii="Times New Roman" w:eastAsia="等线" w:hAnsi="Times New Roman" w:cs="Times New Roman"/>
          <w:sz w:val="24"/>
        </w:rPr>
        <w:t>41863</w:t>
      </w:r>
      <w:r>
        <w:rPr>
          <w:rFonts w:ascii="Times New Roman" w:eastAsia="等线" w:hAnsi="Times New Roman" w:cs="Times New Roman"/>
          <w:sz w:val="24"/>
        </w:rPr>
        <w:t>). The</w:t>
      </w:r>
      <w:r>
        <w:rPr>
          <w:rFonts w:ascii="Times New Roman" w:hAnsi="Times New Roman" w:cs="Times New Roman"/>
          <w:sz w:val="24"/>
        </w:rPr>
        <w:t xml:space="preserve"> color-coded </w:t>
      </w:r>
      <w:r>
        <w:rPr>
          <w:rFonts w:ascii="Times New Roman" w:eastAsia="等线" w:hAnsi="Times New Roman" w:cs="Times New Roman"/>
          <w:sz w:val="24"/>
        </w:rPr>
        <w:t>heatmap represents the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consensus matrix with</w:t>
      </w:r>
      <w:r>
        <w:rPr>
          <w:rFonts w:ascii="Times New Roman" w:hAnsi="Times New Roman" w:cs="Times New Roman"/>
          <w:sz w:val="24"/>
        </w:rPr>
        <w:t xml:space="preserve"> consensus k=2</w:t>
      </w:r>
      <w:r>
        <w:rPr>
          <w:rFonts w:ascii="Times New Roman" w:eastAsia="等线" w:hAnsi="Times New Roman" w:cs="Times New Roman"/>
          <w:sz w:val="24"/>
        </w:rPr>
        <w:t>, which was determined by the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minimal consensus scores for subgroups (&gt;0.8).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 xml:space="preserve">Color gradients represent consensus values from </w:t>
      </w:r>
      <w:r>
        <w:rPr>
          <w:rFonts w:ascii="Times New Roman" w:hAnsi="Times New Roman" w:cs="Times New Roman"/>
          <w:sz w:val="24"/>
        </w:rPr>
        <w:t>zero to</w:t>
      </w:r>
      <w:r>
        <w:rPr>
          <w:rFonts w:ascii="Times New Roman" w:eastAsia="等线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 W</w:t>
      </w:r>
      <w:r>
        <w:rPr>
          <w:rFonts w:ascii="Times New Roman" w:eastAsia="等线" w:hAnsi="Times New Roman" w:cs="Times New Roman"/>
          <w:sz w:val="24"/>
        </w:rPr>
        <w:t>hite corresponds to 0 and dark blue to 1.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EB70FF" w:rsidRPr="00EB7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37D4" w14:textId="77777777" w:rsidR="00D14278" w:rsidRDefault="00D14278" w:rsidP="00C632B9">
      <w:r>
        <w:separator/>
      </w:r>
    </w:p>
  </w:endnote>
  <w:endnote w:type="continuationSeparator" w:id="0">
    <w:p w14:paraId="118AFE20" w14:textId="77777777" w:rsidR="00D14278" w:rsidRDefault="00D14278" w:rsidP="00C6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55ca9dc.B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NshcxsAdvTTb5929f4c+20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MinionPro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TimesNewRomanPS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5D31" w14:textId="77777777" w:rsidR="00D14278" w:rsidRDefault="00D14278" w:rsidP="00C632B9">
      <w:r>
        <w:separator/>
      </w:r>
    </w:p>
  </w:footnote>
  <w:footnote w:type="continuationSeparator" w:id="0">
    <w:p w14:paraId="4F127B97" w14:textId="77777777" w:rsidR="00D14278" w:rsidRDefault="00D14278" w:rsidP="00C63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ECD"/>
    <w:rsid w:val="00002494"/>
    <w:rsid w:val="000241FB"/>
    <w:rsid w:val="00044AEC"/>
    <w:rsid w:val="001717BD"/>
    <w:rsid w:val="00172EAC"/>
    <w:rsid w:val="00281A31"/>
    <w:rsid w:val="00336DAE"/>
    <w:rsid w:val="00352996"/>
    <w:rsid w:val="003D6930"/>
    <w:rsid w:val="004206CC"/>
    <w:rsid w:val="005F7E7F"/>
    <w:rsid w:val="0060162E"/>
    <w:rsid w:val="00721059"/>
    <w:rsid w:val="00731ECC"/>
    <w:rsid w:val="00777B4D"/>
    <w:rsid w:val="007D1098"/>
    <w:rsid w:val="00852E69"/>
    <w:rsid w:val="008B326E"/>
    <w:rsid w:val="008D4738"/>
    <w:rsid w:val="00936507"/>
    <w:rsid w:val="009C1814"/>
    <w:rsid w:val="00B81680"/>
    <w:rsid w:val="00C632B9"/>
    <w:rsid w:val="00D14278"/>
    <w:rsid w:val="00D86ECD"/>
    <w:rsid w:val="00DF2798"/>
    <w:rsid w:val="00E12F09"/>
    <w:rsid w:val="00E32581"/>
    <w:rsid w:val="00EB70FF"/>
    <w:rsid w:val="00EC5CA3"/>
    <w:rsid w:val="00EF61D9"/>
    <w:rsid w:val="00FB4279"/>
    <w:rsid w:val="027E2AB4"/>
    <w:rsid w:val="35503A75"/>
    <w:rsid w:val="544F1F62"/>
    <w:rsid w:val="60A2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A1C390"/>
  <w15:docId w15:val="{88B4BF65-1A8E-4A92-A593-6CE8D85C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B70FF"/>
    <w:pPr>
      <w:widowControl/>
    </w:pPr>
    <w:rPr>
      <w:rFonts w:ascii="宋体" w:eastAsia="宋体" w:hAnsi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84EB1EF-B82F-45BA-BB93-EC576639B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Min</cp:lastModifiedBy>
  <cp:revision>20</cp:revision>
  <dcterms:created xsi:type="dcterms:W3CDTF">2014-10-29T12:08:00Z</dcterms:created>
  <dcterms:modified xsi:type="dcterms:W3CDTF">2022-01-08T13:50:00Z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