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AB8C1" w14:textId="44313B31" w:rsidR="009A688B" w:rsidRDefault="00D54888" w:rsidP="00D80548">
      <w:pPr>
        <w:spacing w:before="120"/>
        <w:jc w:val="left"/>
        <w:rPr>
          <w:rFonts w:ascii="Times New Roman" w:hAnsi="Times New Roman" w:cs="Times New Roman"/>
          <w:b/>
          <w:bCs/>
          <w:sz w:val="32"/>
          <w:szCs w:val="32"/>
          <w:lang w:val="en-GB"/>
        </w:rPr>
      </w:pPr>
      <w:bookmarkStart w:id="0" w:name="_Toc535425631"/>
      <w:bookmarkStart w:id="1" w:name="_Toc535424374"/>
      <w:bookmarkStart w:id="2" w:name="_Toc535421684"/>
      <w:bookmarkStart w:id="3" w:name="_Toc66892250"/>
      <w:bookmarkStart w:id="4" w:name="_Toc69722647"/>
      <w:bookmarkStart w:id="5" w:name="_Toc70602494"/>
      <w:bookmarkStart w:id="6" w:name="_Toc74645716"/>
      <w:bookmarkStart w:id="7" w:name="_GoBack"/>
      <w:bookmarkEnd w:id="7"/>
      <w:r>
        <w:rPr>
          <w:rFonts w:ascii="Times New Roman" w:hAnsi="Times New Roman" w:cs="Times New Roman"/>
          <w:b/>
          <w:bCs/>
          <w:sz w:val="32"/>
          <w:szCs w:val="32"/>
          <w:lang w:val="en-GB"/>
        </w:rPr>
        <w:t>THE ECONOMIC BURDEN OF PULMONARY ARTERIAL HYPERTENSION IN SPAIN</w:t>
      </w:r>
    </w:p>
    <w:p w14:paraId="27D71BBA" w14:textId="364CA0E7" w:rsidR="00D54888" w:rsidRPr="00D54888" w:rsidRDefault="009A688B" w:rsidP="00D80548">
      <w:pPr>
        <w:spacing w:before="120"/>
        <w:rPr>
          <w:rFonts w:ascii="Times New Roman" w:hAnsi="Times New Roman" w:cs="Times New Roman"/>
          <w:sz w:val="24"/>
          <w:szCs w:val="24"/>
          <w:vertAlign w:val="superscript"/>
          <w:lang w:val="es-ES_tradnl"/>
        </w:rPr>
      </w:pPr>
      <w:r w:rsidRPr="00D54888">
        <w:rPr>
          <w:rFonts w:ascii="Times New Roman" w:hAnsi="Times New Roman" w:cs="Times New Roman"/>
          <w:b/>
          <w:bCs/>
          <w:sz w:val="24"/>
          <w:szCs w:val="24"/>
          <w:lang w:val="es-ES_tradnl"/>
        </w:rPr>
        <w:t>Authors</w:t>
      </w:r>
      <w:r w:rsidRPr="00D54888">
        <w:rPr>
          <w:rFonts w:ascii="Times New Roman" w:hAnsi="Times New Roman" w:cs="Times New Roman"/>
          <w:sz w:val="24"/>
          <w:szCs w:val="24"/>
          <w:lang w:val="es-ES_tradnl"/>
        </w:rPr>
        <w:t xml:space="preserve">: </w:t>
      </w:r>
      <w:r w:rsidR="00D54888" w:rsidRPr="00D54888">
        <w:rPr>
          <w:rFonts w:ascii="Times New Roman" w:hAnsi="Times New Roman" w:cs="Times New Roman"/>
          <w:sz w:val="24"/>
          <w:szCs w:val="24"/>
        </w:rPr>
        <w:t>Néboa Zozaya</w:t>
      </w:r>
      <w:r w:rsidR="00D54888" w:rsidRPr="00D54888">
        <w:rPr>
          <w:rFonts w:ascii="Times New Roman" w:hAnsi="Times New Roman" w:cs="Times New Roman"/>
          <w:sz w:val="24"/>
          <w:szCs w:val="24"/>
          <w:vertAlign w:val="superscript"/>
        </w:rPr>
        <w:t>1,2</w:t>
      </w:r>
      <w:r w:rsidR="00D54888" w:rsidRPr="00D54888">
        <w:rPr>
          <w:rFonts w:ascii="Times New Roman" w:hAnsi="Times New Roman" w:cs="Times New Roman"/>
          <w:sz w:val="24"/>
          <w:szCs w:val="24"/>
        </w:rPr>
        <w:t>, Fernando Abdalla</w:t>
      </w:r>
      <w:r w:rsidR="00D54888" w:rsidRPr="00D54888">
        <w:rPr>
          <w:rFonts w:ascii="Times New Roman" w:hAnsi="Times New Roman" w:cs="Times New Roman"/>
          <w:sz w:val="24"/>
          <w:szCs w:val="24"/>
          <w:vertAlign w:val="superscript"/>
        </w:rPr>
        <w:t>1</w:t>
      </w:r>
      <w:r w:rsidR="00D54888" w:rsidRPr="00D54888">
        <w:rPr>
          <w:rFonts w:ascii="Times New Roman" w:hAnsi="Times New Roman" w:cs="Times New Roman"/>
          <w:sz w:val="24"/>
          <w:szCs w:val="24"/>
        </w:rPr>
        <w:t>, Ignacio Casado Moreno</w:t>
      </w:r>
      <w:r w:rsidR="00D54888" w:rsidRPr="00D54888">
        <w:rPr>
          <w:rFonts w:ascii="Times New Roman" w:hAnsi="Times New Roman" w:cs="Times New Roman"/>
          <w:sz w:val="24"/>
          <w:szCs w:val="24"/>
          <w:vertAlign w:val="superscript"/>
        </w:rPr>
        <w:t>3</w:t>
      </w:r>
      <w:r w:rsidR="00D54888" w:rsidRPr="00D54888">
        <w:rPr>
          <w:rFonts w:ascii="Times New Roman" w:hAnsi="Times New Roman" w:cs="Times New Roman"/>
          <w:sz w:val="24"/>
          <w:szCs w:val="24"/>
        </w:rPr>
        <w:t>, Carlos Crespo-Diz</w:t>
      </w:r>
      <w:r w:rsidR="00D54888" w:rsidRPr="00D54888">
        <w:rPr>
          <w:rFonts w:ascii="Times New Roman" w:hAnsi="Times New Roman" w:cs="Times New Roman"/>
          <w:sz w:val="24"/>
          <w:szCs w:val="24"/>
          <w:vertAlign w:val="superscript"/>
        </w:rPr>
        <w:t>4</w:t>
      </w:r>
      <w:r w:rsidR="00D54888" w:rsidRPr="00D54888">
        <w:rPr>
          <w:rFonts w:ascii="Times New Roman" w:hAnsi="Times New Roman" w:cs="Times New Roman"/>
          <w:sz w:val="24"/>
          <w:szCs w:val="24"/>
        </w:rPr>
        <w:t>, Ana M. Ramírez Gallardo</w:t>
      </w:r>
      <w:r w:rsidR="00D54888" w:rsidRPr="00D54888">
        <w:rPr>
          <w:rFonts w:ascii="Times New Roman" w:hAnsi="Times New Roman" w:cs="Times New Roman"/>
          <w:sz w:val="24"/>
          <w:szCs w:val="24"/>
          <w:vertAlign w:val="superscript"/>
        </w:rPr>
        <w:t>5</w:t>
      </w:r>
      <w:r w:rsidR="00D54888" w:rsidRPr="00D54888">
        <w:rPr>
          <w:rFonts w:ascii="Times New Roman" w:hAnsi="Times New Roman" w:cs="Times New Roman"/>
          <w:sz w:val="24"/>
          <w:szCs w:val="24"/>
        </w:rPr>
        <w:t>, Joaquín Rueda Soriano</w:t>
      </w:r>
      <w:r w:rsidR="00D54888" w:rsidRPr="00D54888">
        <w:rPr>
          <w:rFonts w:ascii="Times New Roman" w:hAnsi="Times New Roman" w:cs="Times New Roman"/>
          <w:sz w:val="24"/>
          <w:szCs w:val="24"/>
          <w:vertAlign w:val="superscript"/>
        </w:rPr>
        <w:t>6</w:t>
      </w:r>
      <w:r w:rsidR="00D54888" w:rsidRPr="00D54888">
        <w:rPr>
          <w:rFonts w:ascii="Times New Roman" w:hAnsi="Times New Roman" w:cs="Times New Roman"/>
          <w:sz w:val="24"/>
          <w:szCs w:val="24"/>
        </w:rPr>
        <w:t>, Macarena Alcalá Galán</w:t>
      </w:r>
      <w:r w:rsidR="00D54888" w:rsidRPr="00D54888">
        <w:rPr>
          <w:rFonts w:ascii="Times New Roman" w:hAnsi="Times New Roman" w:cs="Times New Roman"/>
          <w:sz w:val="24"/>
          <w:szCs w:val="24"/>
          <w:vertAlign w:val="superscript"/>
        </w:rPr>
        <w:t>7</w:t>
      </w:r>
      <w:r w:rsidR="00D54888" w:rsidRPr="00D54888">
        <w:rPr>
          <w:rFonts w:ascii="Times New Roman" w:hAnsi="Times New Roman" w:cs="Times New Roman"/>
          <w:sz w:val="24"/>
          <w:szCs w:val="24"/>
        </w:rPr>
        <w:t>, Álvaro Hidalgo-Vega</w:t>
      </w:r>
      <w:r w:rsidR="00D54888" w:rsidRPr="00D54888">
        <w:rPr>
          <w:rFonts w:ascii="Times New Roman" w:hAnsi="Times New Roman" w:cs="Times New Roman"/>
          <w:sz w:val="24"/>
          <w:szCs w:val="24"/>
          <w:vertAlign w:val="superscript"/>
        </w:rPr>
        <w:t>8,9</w:t>
      </w:r>
    </w:p>
    <w:p w14:paraId="6C54784A" w14:textId="48BC4950" w:rsidR="00D54888" w:rsidRPr="00D54888" w:rsidRDefault="009A688B" w:rsidP="00D80548">
      <w:pPr>
        <w:spacing w:before="120"/>
        <w:rPr>
          <w:rFonts w:ascii="Times New Roman" w:hAnsi="Times New Roman" w:cs="Times New Roman"/>
          <w:sz w:val="24"/>
          <w:szCs w:val="24"/>
          <w:lang w:val="en-GB"/>
        </w:rPr>
      </w:pPr>
      <w:r w:rsidRPr="00D54888">
        <w:rPr>
          <w:rFonts w:ascii="Times New Roman" w:hAnsi="Times New Roman" w:cs="Times New Roman"/>
          <w:b/>
          <w:bCs/>
          <w:sz w:val="24"/>
          <w:szCs w:val="24"/>
          <w:lang w:val="en-GB"/>
        </w:rPr>
        <w:t>Affiliations</w:t>
      </w:r>
      <w:r w:rsidRPr="00D54888">
        <w:rPr>
          <w:rFonts w:ascii="Times New Roman" w:hAnsi="Times New Roman" w:cs="Times New Roman"/>
          <w:sz w:val="24"/>
          <w:szCs w:val="24"/>
          <w:lang w:val="en-GB"/>
        </w:rPr>
        <w:t xml:space="preserve">: </w:t>
      </w:r>
      <w:r w:rsidR="00D54888" w:rsidRPr="00D54888">
        <w:rPr>
          <w:rFonts w:ascii="Times New Roman" w:hAnsi="Times New Roman" w:cs="Times New Roman"/>
          <w:sz w:val="24"/>
          <w:szCs w:val="24"/>
          <w:vertAlign w:val="superscript"/>
          <w:lang w:val="en-GB"/>
        </w:rPr>
        <w:t>1</w:t>
      </w:r>
      <w:r w:rsidR="00D54888" w:rsidRPr="00D54888">
        <w:rPr>
          <w:rFonts w:ascii="Times New Roman" w:hAnsi="Times New Roman" w:cs="Times New Roman"/>
          <w:sz w:val="24"/>
          <w:szCs w:val="24"/>
          <w:lang w:val="en-GB"/>
        </w:rPr>
        <w:t xml:space="preserve">Department of Health Economics, Weber. Madrid, Spain; </w:t>
      </w:r>
      <w:r w:rsidR="00D54888" w:rsidRPr="00D54888">
        <w:rPr>
          <w:rFonts w:ascii="Times New Roman" w:hAnsi="Times New Roman" w:cs="Times New Roman"/>
          <w:sz w:val="24"/>
          <w:szCs w:val="24"/>
          <w:vertAlign w:val="superscript"/>
          <w:lang w:val="en-GB"/>
        </w:rPr>
        <w:t>2</w:t>
      </w:r>
      <w:r w:rsidR="00D54888" w:rsidRPr="00D54888">
        <w:rPr>
          <w:rFonts w:ascii="Times New Roman" w:hAnsi="Times New Roman" w:cs="Times New Roman"/>
          <w:sz w:val="24"/>
          <w:szCs w:val="24"/>
          <w:lang w:val="en-GB"/>
        </w:rPr>
        <w:t xml:space="preserve">Department of Quantitative Methods in Economics and Management. </w:t>
      </w:r>
      <w:r w:rsidR="00D54888" w:rsidRPr="00BF2C9E">
        <w:rPr>
          <w:rFonts w:ascii="Times New Roman" w:hAnsi="Times New Roman" w:cs="Times New Roman"/>
          <w:sz w:val="24"/>
          <w:szCs w:val="24"/>
        </w:rPr>
        <w:t xml:space="preserve">University Las Palmas de Gran Canaria. Las Palmas, Spain; </w:t>
      </w:r>
      <w:r w:rsidR="00D54888" w:rsidRPr="00BF2C9E">
        <w:rPr>
          <w:rFonts w:ascii="Times New Roman" w:hAnsi="Times New Roman" w:cs="Times New Roman"/>
          <w:sz w:val="24"/>
          <w:szCs w:val="24"/>
          <w:vertAlign w:val="superscript"/>
        </w:rPr>
        <w:t>3</w:t>
      </w:r>
      <w:r w:rsidR="00D54888" w:rsidRPr="00BF2C9E">
        <w:rPr>
          <w:rFonts w:ascii="Times New Roman" w:hAnsi="Times New Roman" w:cs="Times New Roman"/>
          <w:sz w:val="24"/>
          <w:szCs w:val="24"/>
        </w:rPr>
        <w:t xml:space="preserve">Pneumology Unit, University Hospital Virgen de las Nieves. Granada, Spain; </w:t>
      </w:r>
      <w:r w:rsidR="00D54888" w:rsidRPr="00BF2C9E">
        <w:rPr>
          <w:rFonts w:ascii="Times New Roman" w:hAnsi="Times New Roman" w:cs="Times New Roman"/>
          <w:sz w:val="24"/>
          <w:szCs w:val="24"/>
          <w:vertAlign w:val="superscript"/>
        </w:rPr>
        <w:t>4</w:t>
      </w:r>
      <w:r w:rsidR="00D54888" w:rsidRPr="00BF2C9E">
        <w:rPr>
          <w:rFonts w:ascii="Times New Roman" w:hAnsi="Times New Roman" w:cs="Times New Roman"/>
          <w:sz w:val="24"/>
          <w:szCs w:val="24"/>
        </w:rPr>
        <w:t xml:space="preserve">Pharmacy Department. Complexo Hospitalario Universitario de Pontevedra. Instituto de Investigación Sanitaria Galicia Sur (IISGS), Pontevedra, Spain; </w:t>
      </w:r>
      <w:r w:rsidR="00D54888" w:rsidRPr="00BF2C9E">
        <w:rPr>
          <w:rFonts w:ascii="Times New Roman" w:hAnsi="Times New Roman" w:cs="Times New Roman"/>
          <w:sz w:val="24"/>
          <w:szCs w:val="24"/>
          <w:vertAlign w:val="superscript"/>
        </w:rPr>
        <w:t>5</w:t>
      </w:r>
      <w:r w:rsidR="00D54888" w:rsidRPr="00BF2C9E">
        <w:rPr>
          <w:rFonts w:ascii="Times New Roman" w:hAnsi="Times New Roman" w:cs="Times New Roman"/>
          <w:sz w:val="24"/>
          <w:szCs w:val="24"/>
        </w:rPr>
        <w:t xml:space="preserve">Pulmonary Hypertension Unit, Hospital Clínic. </w:t>
      </w:r>
      <w:r w:rsidR="00D54888" w:rsidRPr="00D54888">
        <w:rPr>
          <w:rFonts w:ascii="Times New Roman" w:hAnsi="Times New Roman" w:cs="Times New Roman"/>
          <w:sz w:val="24"/>
          <w:szCs w:val="24"/>
          <w:lang w:val="en-GB"/>
        </w:rPr>
        <w:t xml:space="preserve">Barcelona, Spain; </w:t>
      </w:r>
      <w:r w:rsidR="00D54888" w:rsidRPr="00D54888">
        <w:rPr>
          <w:rFonts w:ascii="Times New Roman" w:hAnsi="Times New Roman" w:cs="Times New Roman"/>
          <w:sz w:val="24"/>
          <w:szCs w:val="24"/>
          <w:vertAlign w:val="superscript"/>
          <w:lang w:val="en-GB"/>
        </w:rPr>
        <w:t>6</w:t>
      </w:r>
      <w:r w:rsidR="00D54888" w:rsidRPr="00D54888">
        <w:rPr>
          <w:rFonts w:ascii="Times New Roman" w:hAnsi="Times New Roman" w:cs="Times New Roman"/>
          <w:sz w:val="24"/>
          <w:szCs w:val="24"/>
          <w:lang w:val="en-GB"/>
        </w:rPr>
        <w:t xml:space="preserve">Department of Cardiology, Hospital Universitari i Politècnic La Fe. Instituto de Investigación Sanitaria La Fe. CIBERCV, Valencia, Spain; </w:t>
      </w:r>
      <w:r w:rsidR="00D54888" w:rsidRPr="00D54888">
        <w:rPr>
          <w:rFonts w:ascii="Times New Roman" w:hAnsi="Times New Roman" w:cs="Times New Roman"/>
          <w:sz w:val="24"/>
          <w:szCs w:val="24"/>
          <w:vertAlign w:val="superscript"/>
          <w:lang w:val="en-GB"/>
        </w:rPr>
        <w:t>7</w:t>
      </w:r>
      <w:r w:rsidR="00D54888" w:rsidRPr="00D54888">
        <w:rPr>
          <w:rFonts w:ascii="Times New Roman" w:hAnsi="Times New Roman" w:cs="Times New Roman"/>
          <w:sz w:val="24"/>
          <w:szCs w:val="24"/>
          <w:lang w:val="en-GB"/>
        </w:rPr>
        <w:t xml:space="preserve">Market Access Department, Janssen, Madrid, Spain; </w:t>
      </w:r>
      <w:r w:rsidR="00D54888" w:rsidRPr="00D54888">
        <w:rPr>
          <w:rFonts w:ascii="Times New Roman" w:hAnsi="Times New Roman" w:cs="Times New Roman"/>
          <w:sz w:val="24"/>
          <w:szCs w:val="24"/>
          <w:vertAlign w:val="superscript"/>
          <w:lang w:val="en-GB"/>
        </w:rPr>
        <w:t>8</w:t>
      </w:r>
      <w:r w:rsidR="00D54888" w:rsidRPr="00D54888">
        <w:rPr>
          <w:rFonts w:ascii="Times New Roman" w:hAnsi="Times New Roman" w:cs="Times New Roman"/>
          <w:sz w:val="24"/>
          <w:szCs w:val="24"/>
          <w:lang w:val="en-GB"/>
        </w:rPr>
        <w:t xml:space="preserve">Weber Foundation. Madrid, Spain; </w:t>
      </w:r>
      <w:r w:rsidR="00D54888" w:rsidRPr="00D54888">
        <w:rPr>
          <w:rFonts w:ascii="Times New Roman" w:hAnsi="Times New Roman" w:cs="Times New Roman"/>
          <w:sz w:val="24"/>
          <w:szCs w:val="24"/>
          <w:vertAlign w:val="superscript"/>
          <w:lang w:val="en-GB"/>
        </w:rPr>
        <w:t>9</w:t>
      </w:r>
      <w:r w:rsidR="00D54888" w:rsidRPr="00D54888">
        <w:rPr>
          <w:rFonts w:ascii="Times New Roman" w:hAnsi="Times New Roman" w:cs="Times New Roman"/>
          <w:sz w:val="24"/>
          <w:szCs w:val="24"/>
          <w:lang w:val="en-GB"/>
        </w:rPr>
        <w:t>Department of Economic Analysis and Finances. University of Castilla-La Mancha. Toledo, Spain</w:t>
      </w:r>
    </w:p>
    <w:p w14:paraId="3CAA94C8" w14:textId="77777777" w:rsidR="009A688B" w:rsidRDefault="009A688B" w:rsidP="00D80548">
      <w:pPr>
        <w:spacing w:before="120"/>
        <w:jc w:val="left"/>
        <w:rPr>
          <w:rFonts w:ascii="Times New Roman" w:hAnsi="Times New Roman" w:cs="Times New Roman"/>
          <w:sz w:val="24"/>
          <w:szCs w:val="24"/>
          <w:lang w:val="en-GB"/>
        </w:rPr>
      </w:pPr>
    </w:p>
    <w:p w14:paraId="21BE53B7" w14:textId="1313BA40" w:rsidR="009A688B" w:rsidRDefault="009A688B" w:rsidP="00D80548">
      <w:pPr>
        <w:spacing w:before="120"/>
        <w:jc w:val="left"/>
        <w:rPr>
          <w:rFonts w:ascii="Times New Roman" w:hAnsi="Times New Roman" w:cs="Times New Roman"/>
          <w:b/>
          <w:bCs/>
          <w:sz w:val="32"/>
          <w:szCs w:val="32"/>
          <w:lang w:val="en-GB"/>
        </w:rPr>
      </w:pPr>
      <w:r>
        <w:rPr>
          <w:rFonts w:ascii="Times New Roman" w:hAnsi="Times New Roman" w:cs="Times New Roman"/>
          <w:b/>
          <w:bCs/>
          <w:sz w:val="32"/>
          <w:szCs w:val="32"/>
          <w:lang w:val="en-GB"/>
        </w:rPr>
        <w:t xml:space="preserve">SUPPLEMENTARY FILE </w:t>
      </w:r>
      <w:r w:rsidR="00022A14">
        <w:rPr>
          <w:rFonts w:ascii="Times New Roman" w:hAnsi="Times New Roman" w:cs="Times New Roman"/>
          <w:b/>
          <w:bCs/>
          <w:sz w:val="32"/>
          <w:szCs w:val="32"/>
          <w:lang w:val="en-GB"/>
        </w:rPr>
        <w:t>2</w:t>
      </w:r>
      <w:r>
        <w:rPr>
          <w:rFonts w:ascii="Times New Roman" w:hAnsi="Times New Roman" w:cs="Times New Roman"/>
          <w:b/>
          <w:bCs/>
          <w:sz w:val="32"/>
          <w:szCs w:val="32"/>
          <w:lang w:val="en-GB"/>
        </w:rPr>
        <w:t xml:space="preserve">: </w:t>
      </w:r>
      <w:r w:rsidR="00022A14">
        <w:rPr>
          <w:rFonts w:ascii="Times New Roman" w:hAnsi="Times New Roman" w:cs="Times New Roman"/>
          <w:b/>
          <w:bCs/>
          <w:sz w:val="32"/>
          <w:szCs w:val="32"/>
          <w:lang w:val="en-GB"/>
        </w:rPr>
        <w:t>SENSITIVITY ANALYSIS</w:t>
      </w:r>
    </w:p>
    <w:p w14:paraId="1F4BE1F4" w14:textId="77777777" w:rsidR="00D54888" w:rsidRDefault="00D54888">
      <w:pPr>
        <w:spacing w:before="0" w:after="160" w:line="259" w:lineRule="auto"/>
        <w:jc w:val="left"/>
        <w:rPr>
          <w:rStyle w:val="TEXTOGENERALCar"/>
          <w:rFonts w:ascii="Times New Roman" w:hAnsi="Times New Roman" w:cs="Times New Roman"/>
          <w:b/>
          <w:bCs/>
          <w:color w:val="FFFFFF" w:themeColor="background1"/>
          <w:sz w:val="32"/>
          <w:szCs w:val="32"/>
          <w:lang w:val="en-GB"/>
        </w:rPr>
      </w:pPr>
      <w:r>
        <w:rPr>
          <w:rStyle w:val="TEXTOGENERALCar"/>
          <w:rFonts w:ascii="Times New Roman" w:hAnsi="Times New Roman" w:cs="Times New Roman"/>
          <w:b/>
          <w:bCs/>
          <w:color w:val="FFFFFF" w:themeColor="background1"/>
          <w:sz w:val="32"/>
          <w:szCs w:val="32"/>
          <w:lang w:val="en-GB"/>
        </w:rPr>
        <w:br w:type="page"/>
      </w:r>
    </w:p>
    <w:p w14:paraId="026F6F39" w14:textId="62B95842" w:rsidR="009365B9" w:rsidRPr="0021483B" w:rsidRDefault="00763D2F" w:rsidP="00D80548">
      <w:pPr>
        <w:shd w:val="clear" w:color="auto" w:fill="A6A6A6" w:themeFill="background1" w:themeFillShade="A6"/>
        <w:spacing w:line="240" w:lineRule="auto"/>
        <w:rPr>
          <w:rStyle w:val="TEXTOGENERALCar"/>
          <w:rFonts w:ascii="Times New Roman" w:hAnsi="Times New Roman" w:cs="Times New Roman"/>
          <w:b/>
          <w:bCs/>
          <w:color w:val="FFFFFF" w:themeColor="background1"/>
          <w:sz w:val="32"/>
          <w:szCs w:val="32"/>
          <w:lang w:val="en-GB"/>
        </w:rPr>
      </w:pPr>
      <w:r w:rsidRPr="0021483B">
        <w:rPr>
          <w:rStyle w:val="TEXTOGENERALCar"/>
          <w:rFonts w:ascii="Times New Roman" w:hAnsi="Times New Roman" w:cs="Times New Roman"/>
          <w:b/>
          <w:bCs/>
          <w:color w:val="FFFFFF" w:themeColor="background1"/>
          <w:sz w:val="32"/>
          <w:szCs w:val="32"/>
          <w:lang w:val="en-GB"/>
        </w:rPr>
        <w:lastRenderedPageBreak/>
        <w:t>Rationale</w:t>
      </w:r>
      <w:r w:rsidR="00CE7564">
        <w:rPr>
          <w:rStyle w:val="TEXTOGENERALCar"/>
          <w:rFonts w:ascii="Times New Roman" w:hAnsi="Times New Roman" w:cs="Times New Roman"/>
          <w:b/>
          <w:bCs/>
          <w:color w:val="FFFFFF" w:themeColor="background1"/>
          <w:sz w:val="32"/>
          <w:szCs w:val="32"/>
          <w:lang w:val="en-GB"/>
        </w:rPr>
        <w:t xml:space="preserve"> for the selection of parameters</w:t>
      </w:r>
    </w:p>
    <w:p w14:paraId="77C94BCA" w14:textId="69C5ACF7" w:rsidR="009A20C3" w:rsidRPr="0021483B" w:rsidRDefault="00681415" w:rsidP="009A20C3">
      <w:pPr>
        <w:spacing w:before="120" w:line="276" w:lineRule="auto"/>
        <w:rPr>
          <w:rFonts w:ascii="Times New Roman" w:eastAsia="Times New Roman" w:hAnsi="Times New Roman" w:cs="Times New Roman"/>
          <w:lang w:val="en-GB" w:eastAsia="es-ES_tradnl"/>
        </w:rPr>
      </w:pPr>
      <w:r>
        <w:rPr>
          <w:rFonts w:ascii="Times New Roman" w:hAnsi="Times New Roman" w:cs="Times New Roman"/>
          <w:sz w:val="24"/>
          <w:szCs w:val="24"/>
          <w:lang w:val="en-GB"/>
        </w:rPr>
        <w:t xml:space="preserve">The results of this study </w:t>
      </w:r>
      <w:r w:rsidR="00400414">
        <w:rPr>
          <w:rFonts w:ascii="Times New Roman" w:hAnsi="Times New Roman" w:cs="Times New Roman"/>
          <w:sz w:val="24"/>
          <w:szCs w:val="24"/>
          <w:lang w:val="en-GB"/>
        </w:rPr>
        <w:t>we</w:t>
      </w:r>
      <w:r>
        <w:rPr>
          <w:rFonts w:ascii="Times New Roman" w:hAnsi="Times New Roman" w:cs="Times New Roman"/>
          <w:sz w:val="24"/>
          <w:szCs w:val="24"/>
          <w:lang w:val="en-GB"/>
        </w:rPr>
        <w:t xml:space="preserve">re </w:t>
      </w:r>
      <w:r w:rsidR="00A43820">
        <w:rPr>
          <w:rFonts w:ascii="Times New Roman" w:hAnsi="Times New Roman" w:cs="Times New Roman"/>
          <w:sz w:val="24"/>
          <w:szCs w:val="24"/>
          <w:lang w:val="en-GB"/>
        </w:rPr>
        <w:t xml:space="preserve">established according to </w:t>
      </w:r>
      <w:r w:rsidR="00400414">
        <w:rPr>
          <w:rFonts w:ascii="Times New Roman" w:hAnsi="Times New Roman" w:cs="Times New Roman"/>
          <w:sz w:val="24"/>
          <w:szCs w:val="24"/>
          <w:lang w:val="en-GB"/>
        </w:rPr>
        <w:t xml:space="preserve">different assumptions </w:t>
      </w:r>
      <w:r w:rsidR="00A43820">
        <w:rPr>
          <w:rFonts w:ascii="Times New Roman" w:hAnsi="Times New Roman" w:cs="Times New Roman"/>
          <w:sz w:val="24"/>
          <w:szCs w:val="24"/>
          <w:lang w:val="en-GB"/>
        </w:rPr>
        <w:t xml:space="preserve">which were </w:t>
      </w:r>
      <w:r w:rsidR="00400414">
        <w:rPr>
          <w:rFonts w:ascii="Times New Roman" w:hAnsi="Times New Roman" w:cs="Times New Roman"/>
          <w:sz w:val="24"/>
          <w:szCs w:val="24"/>
          <w:lang w:val="en-GB"/>
        </w:rPr>
        <w:t>based on</w:t>
      </w:r>
      <w:r w:rsidR="0065319A">
        <w:rPr>
          <w:rFonts w:ascii="Times New Roman" w:hAnsi="Times New Roman" w:cs="Times New Roman"/>
          <w:sz w:val="24"/>
          <w:szCs w:val="24"/>
          <w:lang w:val="en-GB"/>
        </w:rPr>
        <w:t xml:space="preserve"> official </w:t>
      </w:r>
      <w:r w:rsidR="00E22583">
        <w:rPr>
          <w:rFonts w:ascii="Times New Roman" w:hAnsi="Times New Roman" w:cs="Times New Roman"/>
          <w:sz w:val="24"/>
          <w:szCs w:val="24"/>
          <w:lang w:val="en-GB"/>
        </w:rPr>
        <w:t>sources, literature, clinical guidelines, surveys, routine clinical practice</w:t>
      </w:r>
      <w:r w:rsidR="00F66ACA">
        <w:rPr>
          <w:rFonts w:ascii="Times New Roman" w:hAnsi="Times New Roman" w:cs="Times New Roman"/>
          <w:sz w:val="24"/>
          <w:szCs w:val="24"/>
          <w:lang w:val="en-GB"/>
        </w:rPr>
        <w:t xml:space="preserve"> as well as</w:t>
      </w:r>
      <w:r w:rsidR="00E22583">
        <w:rPr>
          <w:rFonts w:ascii="Times New Roman" w:hAnsi="Times New Roman" w:cs="Times New Roman"/>
          <w:sz w:val="24"/>
          <w:szCs w:val="24"/>
          <w:lang w:val="en-GB"/>
        </w:rPr>
        <w:t xml:space="preserve"> </w:t>
      </w:r>
      <w:r w:rsidR="00800C07">
        <w:rPr>
          <w:rFonts w:ascii="Times New Roman" w:hAnsi="Times New Roman" w:cs="Times New Roman"/>
          <w:sz w:val="24"/>
          <w:szCs w:val="24"/>
          <w:lang w:val="en-GB"/>
        </w:rPr>
        <w:t>experts’</w:t>
      </w:r>
      <w:r w:rsidR="00E22583">
        <w:rPr>
          <w:rFonts w:ascii="Times New Roman" w:hAnsi="Times New Roman" w:cs="Times New Roman"/>
          <w:sz w:val="24"/>
          <w:szCs w:val="24"/>
          <w:lang w:val="en-GB"/>
        </w:rPr>
        <w:t xml:space="preserve"> opinion</w:t>
      </w:r>
      <w:r w:rsidR="007F1815">
        <w:rPr>
          <w:rFonts w:ascii="Times New Roman" w:hAnsi="Times New Roman" w:cs="Times New Roman"/>
          <w:sz w:val="24"/>
          <w:szCs w:val="24"/>
          <w:lang w:val="en-GB"/>
        </w:rPr>
        <w:t xml:space="preserve">. </w:t>
      </w:r>
      <w:r w:rsidR="00F739A4">
        <w:rPr>
          <w:rFonts w:ascii="Times New Roman" w:hAnsi="Times New Roman" w:cs="Times New Roman"/>
          <w:sz w:val="24"/>
          <w:szCs w:val="24"/>
          <w:lang w:val="en-GB"/>
        </w:rPr>
        <w:t xml:space="preserve">In order to test the robustness of those assumptions, we have performed a </w:t>
      </w:r>
      <w:r w:rsidR="004955D5">
        <w:rPr>
          <w:rFonts w:ascii="Times New Roman" w:hAnsi="Times New Roman" w:cs="Times New Roman"/>
          <w:sz w:val="24"/>
          <w:szCs w:val="24"/>
          <w:lang w:val="en-GB"/>
        </w:rPr>
        <w:t>univariate deterministic sensitivity analysis.</w:t>
      </w:r>
      <w:r w:rsidR="00D907DB">
        <w:rPr>
          <w:rFonts w:ascii="Times New Roman" w:hAnsi="Times New Roman" w:cs="Times New Roman"/>
          <w:sz w:val="24"/>
          <w:szCs w:val="24"/>
          <w:lang w:val="en-GB"/>
        </w:rPr>
        <w:t xml:space="preserve"> The criterion for the </w:t>
      </w:r>
      <w:r w:rsidR="00CE7564">
        <w:rPr>
          <w:rFonts w:ascii="Times New Roman" w:hAnsi="Times New Roman" w:cs="Times New Roman"/>
          <w:sz w:val="24"/>
          <w:szCs w:val="24"/>
          <w:lang w:val="en-GB"/>
        </w:rPr>
        <w:t xml:space="preserve">selection of the parameters was to include all of those which were based on experts’ opinion (hence, lower level of evidence in comparison to the other sources) as well as other parameters which are considered as key variables. </w:t>
      </w:r>
      <w:r w:rsidR="00800C07" w:rsidRPr="00CE7564">
        <w:rPr>
          <w:rFonts w:ascii="Times New Roman" w:hAnsi="Times New Roman" w:cs="Times New Roman"/>
          <w:b/>
          <w:bCs/>
          <w:sz w:val="24"/>
          <w:szCs w:val="24"/>
          <w:lang w:val="en-GB"/>
        </w:rPr>
        <w:t>Table (S2).1</w:t>
      </w:r>
      <w:r w:rsidR="00800C07">
        <w:rPr>
          <w:rFonts w:ascii="Times New Roman" w:hAnsi="Times New Roman" w:cs="Times New Roman"/>
          <w:sz w:val="24"/>
          <w:szCs w:val="24"/>
          <w:lang w:val="en-GB"/>
        </w:rPr>
        <w:t xml:space="preserve"> describes all assumptions made, the source for each of them, and what parameters were included in</w:t>
      </w:r>
      <w:r w:rsidR="00D907DB">
        <w:rPr>
          <w:rFonts w:ascii="Times New Roman" w:hAnsi="Times New Roman" w:cs="Times New Roman"/>
          <w:sz w:val="24"/>
          <w:szCs w:val="24"/>
          <w:lang w:val="en-GB"/>
        </w:rPr>
        <w:t xml:space="preserve"> </w:t>
      </w:r>
      <w:r w:rsidR="00BF2C9E">
        <w:rPr>
          <w:rFonts w:ascii="Times New Roman" w:hAnsi="Times New Roman" w:cs="Times New Roman"/>
          <w:sz w:val="24"/>
          <w:szCs w:val="24"/>
          <w:lang w:val="en-GB"/>
        </w:rPr>
        <w:t>the sensitivity analysis</w:t>
      </w:r>
      <w:r w:rsidR="000C42A9">
        <w:rPr>
          <w:rFonts w:ascii="Times New Roman" w:hAnsi="Times New Roman" w:cs="Times New Roman"/>
          <w:sz w:val="24"/>
          <w:szCs w:val="24"/>
          <w:lang w:val="en-GB"/>
        </w:rPr>
        <w:t>.</w:t>
      </w:r>
      <w:r w:rsidR="00400414">
        <w:rPr>
          <w:rFonts w:ascii="Times New Roman" w:hAnsi="Times New Roman" w:cs="Times New Roman"/>
          <w:sz w:val="24"/>
          <w:szCs w:val="24"/>
          <w:lang w:val="en-GB"/>
        </w:rPr>
        <w:t xml:space="preserve">  </w:t>
      </w:r>
      <w:r w:rsidR="006C16A5">
        <w:rPr>
          <w:rFonts w:ascii="Times New Roman" w:hAnsi="Times New Roman" w:cs="Times New Roman"/>
          <w:sz w:val="24"/>
          <w:szCs w:val="24"/>
          <w:lang w:val="en-GB"/>
        </w:rPr>
        <w:t xml:space="preserve"> </w:t>
      </w:r>
    </w:p>
    <w:p w14:paraId="7EB75D00" w14:textId="04B4D467" w:rsidR="0021483B" w:rsidRPr="0021483B" w:rsidRDefault="0021483B" w:rsidP="0021483B">
      <w:pPr>
        <w:pStyle w:val="TITULOTABLASYFIGURAS"/>
        <w:spacing w:before="360"/>
        <w:rPr>
          <w:rFonts w:ascii="Times New Roman" w:hAnsi="Times New Roman" w:cs="Times New Roman"/>
          <w:b/>
          <w:bCs/>
          <w:smallCaps w:val="0"/>
          <w:color w:val="auto"/>
          <w:sz w:val="22"/>
          <w:szCs w:val="56"/>
          <w:lang w:val="en-GB"/>
        </w:rPr>
      </w:pPr>
      <w:bookmarkStart w:id="8" w:name="_Toc89078647"/>
      <w:r w:rsidRPr="0021483B">
        <w:rPr>
          <w:rFonts w:ascii="Times New Roman" w:hAnsi="Times New Roman" w:cs="Times New Roman"/>
          <w:b/>
          <w:bCs/>
          <w:smallCaps w:val="0"/>
          <w:color w:val="auto"/>
          <w:sz w:val="22"/>
          <w:szCs w:val="56"/>
          <w:lang w:val="en-GB"/>
        </w:rPr>
        <w:t>Table (S2).</w:t>
      </w:r>
      <w:r w:rsidRPr="0021483B">
        <w:rPr>
          <w:rFonts w:ascii="Times New Roman" w:hAnsi="Times New Roman" w:cs="Times New Roman"/>
          <w:b/>
          <w:bCs/>
          <w:smallCaps w:val="0"/>
          <w:color w:val="auto"/>
          <w:sz w:val="22"/>
          <w:szCs w:val="56"/>
          <w:lang w:val="en-GB"/>
        </w:rPr>
        <w:fldChar w:fldCharType="begin"/>
      </w:r>
      <w:r w:rsidRPr="0021483B">
        <w:rPr>
          <w:rFonts w:ascii="Times New Roman" w:hAnsi="Times New Roman" w:cs="Times New Roman"/>
          <w:b/>
          <w:bCs/>
          <w:smallCaps w:val="0"/>
          <w:color w:val="auto"/>
          <w:sz w:val="22"/>
          <w:szCs w:val="56"/>
          <w:lang w:val="en-GB"/>
        </w:rPr>
        <w:instrText xml:space="preserve"> SEQ Tabla \* ARABIC </w:instrText>
      </w:r>
      <w:r w:rsidRPr="0021483B">
        <w:rPr>
          <w:rFonts w:ascii="Times New Roman" w:hAnsi="Times New Roman" w:cs="Times New Roman"/>
          <w:b/>
          <w:bCs/>
          <w:smallCaps w:val="0"/>
          <w:color w:val="auto"/>
          <w:sz w:val="22"/>
          <w:szCs w:val="56"/>
          <w:lang w:val="en-GB"/>
        </w:rPr>
        <w:fldChar w:fldCharType="separate"/>
      </w:r>
      <w:r w:rsidRPr="0021483B">
        <w:rPr>
          <w:rFonts w:ascii="Times New Roman" w:hAnsi="Times New Roman" w:cs="Times New Roman"/>
          <w:b/>
          <w:bCs/>
          <w:smallCaps w:val="0"/>
          <w:noProof/>
          <w:color w:val="auto"/>
          <w:sz w:val="22"/>
          <w:szCs w:val="56"/>
          <w:lang w:val="en-GB"/>
        </w:rPr>
        <w:t>1</w:t>
      </w:r>
      <w:r w:rsidRPr="0021483B">
        <w:rPr>
          <w:rFonts w:ascii="Times New Roman" w:hAnsi="Times New Roman" w:cs="Times New Roman"/>
          <w:b/>
          <w:bCs/>
          <w:smallCaps w:val="0"/>
          <w:color w:val="auto"/>
          <w:sz w:val="22"/>
          <w:szCs w:val="56"/>
          <w:lang w:val="en-GB"/>
        </w:rPr>
        <w:fldChar w:fldCharType="end"/>
      </w:r>
      <w:r w:rsidRPr="0021483B">
        <w:rPr>
          <w:rFonts w:ascii="Times New Roman" w:hAnsi="Times New Roman" w:cs="Times New Roman"/>
          <w:b/>
          <w:bCs/>
          <w:smallCaps w:val="0"/>
          <w:color w:val="auto"/>
          <w:sz w:val="22"/>
          <w:szCs w:val="56"/>
          <w:lang w:val="en-GB"/>
        </w:rPr>
        <w:t xml:space="preserve">: </w:t>
      </w:r>
      <w:bookmarkEnd w:id="8"/>
      <w:r w:rsidR="00D8265C">
        <w:rPr>
          <w:rFonts w:ascii="Times New Roman" w:hAnsi="Times New Roman" w:cs="Times New Roman"/>
          <w:b/>
          <w:bCs/>
          <w:smallCaps w:val="0"/>
          <w:color w:val="auto"/>
          <w:sz w:val="22"/>
          <w:szCs w:val="56"/>
          <w:lang w:val="en-GB"/>
        </w:rPr>
        <w:t xml:space="preserve">Model assumptions, sources and parameters </w:t>
      </w:r>
      <w:r w:rsidR="00BC5EB6">
        <w:rPr>
          <w:rFonts w:ascii="Times New Roman" w:hAnsi="Times New Roman" w:cs="Times New Roman"/>
          <w:b/>
          <w:bCs/>
          <w:smallCaps w:val="0"/>
          <w:color w:val="auto"/>
          <w:sz w:val="22"/>
          <w:szCs w:val="56"/>
          <w:lang w:val="en-GB"/>
        </w:rPr>
        <w:t>included</w:t>
      </w:r>
      <w:r w:rsidR="00D8265C">
        <w:rPr>
          <w:rFonts w:ascii="Times New Roman" w:hAnsi="Times New Roman" w:cs="Times New Roman"/>
          <w:b/>
          <w:bCs/>
          <w:smallCaps w:val="0"/>
          <w:color w:val="auto"/>
          <w:sz w:val="22"/>
          <w:szCs w:val="56"/>
          <w:lang w:val="en-GB"/>
        </w:rPr>
        <w:t xml:space="preserve"> </w:t>
      </w:r>
      <w:r w:rsidR="00BC5EB6">
        <w:rPr>
          <w:rFonts w:ascii="Times New Roman" w:hAnsi="Times New Roman" w:cs="Times New Roman"/>
          <w:b/>
          <w:bCs/>
          <w:smallCaps w:val="0"/>
          <w:color w:val="auto"/>
          <w:sz w:val="22"/>
          <w:szCs w:val="56"/>
          <w:lang w:val="en-GB"/>
        </w:rPr>
        <w:t xml:space="preserve">in </w:t>
      </w:r>
      <w:r w:rsidR="00D8265C">
        <w:rPr>
          <w:rFonts w:ascii="Times New Roman" w:hAnsi="Times New Roman" w:cs="Times New Roman"/>
          <w:b/>
          <w:bCs/>
          <w:smallCaps w:val="0"/>
          <w:color w:val="auto"/>
          <w:sz w:val="22"/>
          <w:szCs w:val="56"/>
          <w:lang w:val="en-GB"/>
        </w:rPr>
        <w:t>the sensitivity analysis</w:t>
      </w:r>
      <w:r w:rsidRPr="0021483B">
        <w:rPr>
          <w:rFonts w:ascii="Times New Roman" w:hAnsi="Times New Roman" w:cs="Times New Roman"/>
          <w:b/>
          <w:bCs/>
          <w:smallCaps w:val="0"/>
          <w:color w:val="auto"/>
          <w:sz w:val="22"/>
          <w:szCs w:val="56"/>
          <w:lang w:val="en-GB"/>
        </w:rPr>
        <w:t xml:space="preserve"> </w:t>
      </w:r>
    </w:p>
    <w:tbl>
      <w:tblPr>
        <w:tblStyle w:val="Tablaconcuadrcula"/>
        <w:tblW w:w="10773" w:type="dxa"/>
        <w:tblInd w:w="-5" w:type="dxa"/>
        <w:tblLook w:val="04A0" w:firstRow="1" w:lastRow="0" w:firstColumn="1" w:lastColumn="0" w:noHBand="0" w:noVBand="1"/>
      </w:tblPr>
      <w:tblGrid>
        <w:gridCol w:w="1286"/>
        <w:gridCol w:w="4180"/>
        <w:gridCol w:w="2377"/>
        <w:gridCol w:w="2930"/>
      </w:tblGrid>
      <w:tr w:rsidR="00D066C2" w:rsidRPr="00700626" w14:paraId="77AA8F88" w14:textId="77777777" w:rsidTr="00F66ACA">
        <w:tc>
          <w:tcPr>
            <w:tcW w:w="1286" w:type="dxa"/>
            <w:shd w:val="clear" w:color="auto" w:fill="000000" w:themeFill="text1"/>
          </w:tcPr>
          <w:p w14:paraId="043C638D" w14:textId="77777777" w:rsidR="009A20C3" w:rsidRPr="00700626" w:rsidRDefault="009A20C3" w:rsidP="005C13B8">
            <w:pPr>
              <w:spacing w:before="0" w:after="0" w:line="240" w:lineRule="auto"/>
              <w:jc w:val="left"/>
              <w:rPr>
                <w:rFonts w:ascii="Times New Roman" w:eastAsia="Times New Roman" w:hAnsi="Times New Roman" w:cs="Times New Roman"/>
                <w:b/>
                <w:bCs/>
                <w:sz w:val="18"/>
                <w:szCs w:val="18"/>
                <w:lang w:val="en-GB" w:eastAsia="es-ES_tradnl"/>
              </w:rPr>
            </w:pPr>
            <w:r w:rsidRPr="00700626">
              <w:rPr>
                <w:rFonts w:ascii="Times New Roman" w:eastAsia="Times New Roman" w:hAnsi="Times New Roman" w:cs="Times New Roman"/>
                <w:b/>
                <w:bCs/>
                <w:sz w:val="18"/>
                <w:szCs w:val="18"/>
                <w:lang w:val="en-GB" w:eastAsia="es-ES_tradnl"/>
              </w:rPr>
              <w:t>Domain</w:t>
            </w:r>
          </w:p>
        </w:tc>
        <w:tc>
          <w:tcPr>
            <w:tcW w:w="4180" w:type="dxa"/>
            <w:shd w:val="clear" w:color="auto" w:fill="000000" w:themeFill="text1"/>
            <w:tcMar>
              <w:top w:w="57" w:type="dxa"/>
              <w:bottom w:w="57" w:type="dxa"/>
            </w:tcMar>
          </w:tcPr>
          <w:p w14:paraId="1BC3CD20" w14:textId="77777777" w:rsidR="009A20C3" w:rsidRPr="00700626" w:rsidRDefault="009A20C3" w:rsidP="005C13B8">
            <w:pPr>
              <w:spacing w:before="0" w:after="0" w:line="240" w:lineRule="auto"/>
              <w:jc w:val="left"/>
              <w:rPr>
                <w:rFonts w:ascii="Times New Roman" w:eastAsia="Times New Roman" w:hAnsi="Times New Roman" w:cs="Times New Roman"/>
                <w:b/>
                <w:bCs/>
                <w:sz w:val="18"/>
                <w:szCs w:val="18"/>
                <w:lang w:val="en-GB" w:eastAsia="es-ES_tradnl"/>
              </w:rPr>
            </w:pPr>
            <w:r w:rsidRPr="00700626">
              <w:rPr>
                <w:rFonts w:ascii="Times New Roman" w:eastAsia="Times New Roman" w:hAnsi="Times New Roman" w:cs="Times New Roman"/>
                <w:b/>
                <w:bCs/>
                <w:sz w:val="18"/>
                <w:szCs w:val="18"/>
                <w:lang w:val="en-GB" w:eastAsia="es-ES_tradnl"/>
              </w:rPr>
              <w:t>Assumption</w:t>
            </w:r>
          </w:p>
        </w:tc>
        <w:tc>
          <w:tcPr>
            <w:tcW w:w="2377" w:type="dxa"/>
            <w:shd w:val="clear" w:color="auto" w:fill="000000" w:themeFill="text1"/>
            <w:tcMar>
              <w:top w:w="57" w:type="dxa"/>
              <w:bottom w:w="57" w:type="dxa"/>
            </w:tcMar>
          </w:tcPr>
          <w:p w14:paraId="41A10CBD" w14:textId="6D6A5C06" w:rsidR="009A20C3" w:rsidRPr="00700626" w:rsidRDefault="009A20C3" w:rsidP="005C13B8">
            <w:pPr>
              <w:spacing w:before="0" w:after="0" w:line="240" w:lineRule="auto"/>
              <w:jc w:val="left"/>
              <w:rPr>
                <w:rFonts w:ascii="Times New Roman" w:eastAsia="Times New Roman" w:hAnsi="Times New Roman" w:cs="Times New Roman"/>
                <w:b/>
                <w:bCs/>
                <w:sz w:val="18"/>
                <w:szCs w:val="18"/>
                <w:lang w:val="en-GB" w:eastAsia="es-ES_tradnl"/>
              </w:rPr>
            </w:pPr>
            <w:r w:rsidRPr="00700626">
              <w:rPr>
                <w:rFonts w:ascii="Times New Roman" w:eastAsia="Times New Roman" w:hAnsi="Times New Roman" w:cs="Times New Roman"/>
                <w:b/>
                <w:bCs/>
                <w:sz w:val="18"/>
                <w:szCs w:val="18"/>
                <w:lang w:val="en-GB" w:eastAsia="es-ES_tradnl"/>
              </w:rPr>
              <w:t>Source</w:t>
            </w:r>
            <w:r w:rsidR="00534127" w:rsidRPr="00700626">
              <w:rPr>
                <w:rFonts w:ascii="Times New Roman" w:eastAsia="Times New Roman" w:hAnsi="Times New Roman" w:cs="Times New Roman"/>
                <w:b/>
                <w:bCs/>
                <w:sz w:val="18"/>
                <w:szCs w:val="18"/>
                <w:lang w:val="en-GB" w:eastAsia="es-ES_tradnl"/>
              </w:rPr>
              <w:t>s</w:t>
            </w:r>
          </w:p>
        </w:tc>
        <w:tc>
          <w:tcPr>
            <w:tcW w:w="2930" w:type="dxa"/>
            <w:shd w:val="clear" w:color="auto" w:fill="000000" w:themeFill="text1"/>
            <w:tcMar>
              <w:top w:w="57" w:type="dxa"/>
              <w:bottom w:w="57" w:type="dxa"/>
            </w:tcMar>
          </w:tcPr>
          <w:p w14:paraId="5A728D7B" w14:textId="64E96407" w:rsidR="009A20C3" w:rsidRPr="00700626" w:rsidRDefault="00942E72" w:rsidP="005C13B8">
            <w:pPr>
              <w:spacing w:before="0" w:after="0" w:line="240" w:lineRule="auto"/>
              <w:jc w:val="left"/>
              <w:rPr>
                <w:rFonts w:ascii="Times New Roman" w:eastAsia="Times New Roman" w:hAnsi="Times New Roman" w:cs="Times New Roman"/>
                <w:b/>
                <w:bCs/>
                <w:sz w:val="18"/>
                <w:szCs w:val="18"/>
                <w:lang w:val="en-GB" w:eastAsia="es-ES_tradnl"/>
              </w:rPr>
            </w:pPr>
            <w:r>
              <w:rPr>
                <w:rFonts w:ascii="Times New Roman" w:eastAsia="Times New Roman" w:hAnsi="Times New Roman" w:cs="Times New Roman"/>
                <w:b/>
                <w:bCs/>
                <w:sz w:val="18"/>
                <w:szCs w:val="18"/>
                <w:lang w:val="en-GB" w:eastAsia="es-ES_tradnl"/>
              </w:rPr>
              <w:t>Rationale of included parameters</w:t>
            </w:r>
            <w:r w:rsidR="00C06697">
              <w:rPr>
                <w:rFonts w:ascii="Times New Roman" w:eastAsia="Times New Roman" w:hAnsi="Times New Roman" w:cs="Times New Roman"/>
                <w:b/>
                <w:bCs/>
                <w:sz w:val="18"/>
                <w:szCs w:val="18"/>
                <w:lang w:val="en-GB" w:eastAsia="es-ES_tradnl"/>
              </w:rPr>
              <w:t xml:space="preserve"> </w:t>
            </w:r>
          </w:p>
        </w:tc>
      </w:tr>
      <w:tr w:rsidR="00F66ACA" w:rsidRPr="00910732" w14:paraId="0E699F77" w14:textId="77777777" w:rsidTr="00F66ACA">
        <w:tc>
          <w:tcPr>
            <w:tcW w:w="1286" w:type="dxa"/>
          </w:tcPr>
          <w:p w14:paraId="661DC295"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Unit costs and working hours</w:t>
            </w:r>
          </w:p>
        </w:tc>
        <w:tc>
          <w:tcPr>
            <w:tcW w:w="4180" w:type="dxa"/>
            <w:tcMar>
              <w:top w:w="57" w:type="dxa"/>
              <w:bottom w:w="57" w:type="dxa"/>
            </w:tcMar>
          </w:tcPr>
          <w:p w14:paraId="22B2C23F" w14:textId="49CA3544"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
              </w:rPr>
            </w:pPr>
            <w:r w:rsidRPr="00700626">
              <w:rPr>
                <w:rFonts w:ascii="Times New Roman" w:eastAsia="Times New Roman" w:hAnsi="Times New Roman" w:cs="Times New Roman"/>
                <w:sz w:val="18"/>
                <w:szCs w:val="18"/>
                <w:lang w:val="en-GB" w:eastAsia="es-ES_tradnl"/>
              </w:rPr>
              <w:t>Unit costs of the different resources analysed were estimated through rates and salaries in Spain:</w:t>
            </w:r>
            <w:r w:rsidR="008A29CC" w:rsidRPr="00700626">
              <w:rPr>
                <w:rFonts w:ascii="Times New Roman" w:eastAsia="Times New Roman" w:hAnsi="Times New Roman" w:cs="Times New Roman"/>
                <w:sz w:val="18"/>
                <w:szCs w:val="18"/>
                <w:lang w:val="en-GB" w:eastAsia="es-ES_tradnl"/>
              </w:rPr>
              <w:t xml:space="preserve"> </w:t>
            </w:r>
            <w:r w:rsidR="008A29CC" w:rsidRPr="00700626">
              <w:rPr>
                <w:rFonts w:ascii="Times New Roman" w:eastAsia="Times New Roman" w:hAnsi="Times New Roman" w:cs="Times New Roman"/>
                <w:b/>
                <w:bCs/>
                <w:sz w:val="18"/>
                <w:szCs w:val="18"/>
                <w:lang w:val="en-GB" w:eastAsia="es-ES_tradnl"/>
              </w:rPr>
              <w:t>(i)</w:t>
            </w:r>
            <w:r w:rsidR="008A29CC" w:rsidRPr="00700626">
              <w:rPr>
                <w:rFonts w:ascii="Times New Roman" w:eastAsia="Times New Roman" w:hAnsi="Times New Roman" w:cs="Times New Roman"/>
                <w:sz w:val="18"/>
                <w:szCs w:val="18"/>
                <w:lang w:val="en-GB" w:eastAsia="es-ES_tradnl"/>
              </w:rPr>
              <w:t xml:space="preserve"> </w:t>
            </w:r>
            <w:r w:rsidR="00307E57" w:rsidRPr="00700626">
              <w:rPr>
                <w:rFonts w:ascii="Times New Roman" w:eastAsia="Times New Roman" w:hAnsi="Times New Roman" w:cs="Times New Roman"/>
                <w:sz w:val="18"/>
                <w:szCs w:val="18"/>
                <w:lang w:val="en-GB" w:eastAsia="es-ES_tradnl"/>
              </w:rPr>
              <w:t>u</w:t>
            </w:r>
            <w:r w:rsidRPr="00700626">
              <w:rPr>
                <w:rFonts w:ascii="Times New Roman" w:eastAsia="Times New Roman" w:hAnsi="Times New Roman" w:cs="Times New Roman"/>
                <w:sz w:val="18"/>
                <w:szCs w:val="18"/>
                <w:lang w:val="en-GB" w:eastAsia="es-ES_tradnl"/>
              </w:rPr>
              <w:t>nit healthcare costs used were the median values of the latest published for each Autonomous Community in Spain</w:t>
            </w:r>
            <w:r w:rsidR="008A29CC" w:rsidRPr="00700626">
              <w:rPr>
                <w:rFonts w:ascii="Times New Roman" w:eastAsia="Times New Roman" w:hAnsi="Times New Roman" w:cs="Times New Roman"/>
                <w:sz w:val="18"/>
                <w:szCs w:val="18"/>
                <w:lang w:val="en-GB" w:eastAsia="es-ES_tradnl"/>
              </w:rPr>
              <w:t xml:space="preserve">; (ii) </w:t>
            </w:r>
            <w:r w:rsidR="00307E57" w:rsidRPr="00700626">
              <w:rPr>
                <w:rFonts w:ascii="Times New Roman" w:eastAsia="Times New Roman" w:hAnsi="Times New Roman" w:cs="Times New Roman"/>
                <w:sz w:val="18"/>
                <w:szCs w:val="18"/>
                <w:lang w:val="en-GB" w:eastAsia="es-ES_tradnl"/>
              </w:rPr>
              <w:t>i</w:t>
            </w:r>
            <w:r w:rsidRPr="00700626">
              <w:rPr>
                <w:rFonts w:ascii="Times New Roman" w:eastAsia="Times New Roman" w:hAnsi="Times New Roman" w:cs="Times New Roman"/>
                <w:sz w:val="18"/>
                <w:szCs w:val="18"/>
                <w:lang w:val="en-GB" w:eastAsia="es-ES_tradnl"/>
              </w:rPr>
              <w:t>f specified on the respective Official Regional Bulletins, unit costs were updated to €2020 using the Consumer Price Index (CPI)</w:t>
            </w:r>
            <w:r w:rsidR="008A29CC" w:rsidRPr="00700626">
              <w:rPr>
                <w:rFonts w:ascii="Times New Roman" w:eastAsia="Times New Roman" w:hAnsi="Times New Roman" w:cs="Times New Roman"/>
                <w:sz w:val="18"/>
                <w:szCs w:val="18"/>
                <w:lang w:val="en-GB" w:eastAsia="es-ES_tradnl"/>
              </w:rPr>
              <w:t xml:space="preserve">; </w:t>
            </w:r>
            <w:r w:rsidR="008A29CC" w:rsidRPr="00700626">
              <w:rPr>
                <w:rFonts w:ascii="Times New Roman" w:eastAsia="Times New Roman" w:hAnsi="Times New Roman" w:cs="Times New Roman"/>
                <w:b/>
                <w:bCs/>
                <w:sz w:val="18"/>
                <w:szCs w:val="18"/>
                <w:lang w:val="en-GB" w:eastAsia="es-ES_tradnl"/>
              </w:rPr>
              <w:t>(iii)</w:t>
            </w:r>
            <w:r w:rsidR="008A29CC" w:rsidRPr="00700626">
              <w:rPr>
                <w:rFonts w:ascii="Times New Roman" w:eastAsia="Times New Roman" w:hAnsi="Times New Roman" w:cs="Times New Roman"/>
                <w:sz w:val="18"/>
                <w:szCs w:val="18"/>
                <w:lang w:val="en-GB" w:eastAsia="es-ES_tradnl"/>
              </w:rPr>
              <w:t xml:space="preserve"> </w:t>
            </w:r>
            <w:r w:rsidR="00307E57" w:rsidRPr="00700626">
              <w:rPr>
                <w:rFonts w:ascii="Times New Roman" w:eastAsia="Times New Roman" w:hAnsi="Times New Roman" w:cs="Times New Roman"/>
                <w:sz w:val="18"/>
                <w:szCs w:val="18"/>
                <w:lang w:val="en-GB" w:eastAsia="es-ES_tradnl"/>
              </w:rPr>
              <w:t>t</w:t>
            </w:r>
            <w:r w:rsidRPr="00700626">
              <w:rPr>
                <w:rFonts w:ascii="Times New Roman" w:eastAsia="Times New Roman" w:hAnsi="Times New Roman" w:cs="Times New Roman"/>
                <w:sz w:val="18"/>
                <w:szCs w:val="18"/>
                <w:lang w:val="en-GB" w:eastAsia="es-ES_tradnl"/>
              </w:rPr>
              <w:t>he cost per hospitalisation day was calculated as the median cost of a medical or surgical hospitalisation day among the different Autonomous Communities.</w:t>
            </w:r>
            <w:r w:rsidR="008A29CC" w:rsidRPr="00700626">
              <w:rPr>
                <w:rFonts w:ascii="Times New Roman" w:eastAsia="Times New Roman" w:hAnsi="Times New Roman" w:cs="Times New Roman"/>
                <w:sz w:val="18"/>
                <w:szCs w:val="18"/>
                <w:lang w:val="en-GB" w:eastAsia="es-ES_tradnl"/>
              </w:rPr>
              <w:t xml:space="preserve"> </w:t>
            </w:r>
            <w:r w:rsidR="008A29CC" w:rsidRPr="00700626">
              <w:rPr>
                <w:rFonts w:ascii="Times New Roman" w:eastAsia="Times New Roman" w:hAnsi="Times New Roman" w:cs="Times New Roman"/>
                <w:b/>
                <w:bCs/>
                <w:sz w:val="18"/>
                <w:szCs w:val="18"/>
                <w:lang w:val="en-GB" w:eastAsia="es-ES_tradnl"/>
              </w:rPr>
              <w:t>(iv)</w:t>
            </w:r>
            <w:r w:rsidR="008A29CC" w:rsidRPr="00700626">
              <w:rPr>
                <w:rFonts w:ascii="Times New Roman" w:eastAsia="Times New Roman" w:hAnsi="Times New Roman" w:cs="Times New Roman"/>
                <w:sz w:val="18"/>
                <w:szCs w:val="18"/>
                <w:lang w:val="en-GB" w:eastAsia="es-ES_tradnl"/>
              </w:rPr>
              <w:t xml:space="preserve"> </w:t>
            </w:r>
            <w:r w:rsidR="009E5CF6" w:rsidRPr="00700626">
              <w:rPr>
                <w:rFonts w:ascii="Times New Roman" w:eastAsia="Times New Roman" w:hAnsi="Times New Roman" w:cs="Times New Roman"/>
                <w:sz w:val="18"/>
                <w:szCs w:val="18"/>
                <w:lang w:val="en-GB" w:eastAsia="es-ES_tradnl"/>
              </w:rPr>
              <w:t>t</w:t>
            </w:r>
            <w:r w:rsidRPr="00700626">
              <w:rPr>
                <w:rFonts w:ascii="Times New Roman" w:eastAsia="Times New Roman" w:hAnsi="Times New Roman" w:cs="Times New Roman"/>
                <w:sz w:val="18"/>
                <w:szCs w:val="18"/>
                <w:lang w:val="en-GB" w:eastAsia="es-ES_tradnl"/>
              </w:rPr>
              <w:t>he cost per transplant was the weighted average of that of a heart and lung transplant performed by the NHS</w:t>
            </w:r>
            <w:r w:rsidR="008A29CC" w:rsidRPr="00700626">
              <w:rPr>
                <w:rFonts w:ascii="Times New Roman" w:eastAsia="Times New Roman" w:hAnsi="Times New Roman" w:cs="Times New Roman"/>
                <w:sz w:val="18"/>
                <w:szCs w:val="18"/>
                <w:lang w:val="en-GB" w:eastAsia="es-ES_tradnl"/>
              </w:rPr>
              <w:t xml:space="preserve">; </w:t>
            </w:r>
            <w:r w:rsidR="008A29CC" w:rsidRPr="00700626">
              <w:rPr>
                <w:rFonts w:ascii="Times New Roman" w:eastAsia="Times New Roman" w:hAnsi="Times New Roman" w:cs="Times New Roman"/>
                <w:b/>
                <w:bCs/>
                <w:sz w:val="18"/>
                <w:szCs w:val="18"/>
                <w:lang w:val="en-GB" w:eastAsia="es-ES_tradnl"/>
              </w:rPr>
              <w:t>(v)</w:t>
            </w:r>
            <w:r w:rsidR="008A29CC" w:rsidRPr="00700626">
              <w:rPr>
                <w:rFonts w:ascii="Times New Roman" w:eastAsia="Times New Roman" w:hAnsi="Times New Roman" w:cs="Times New Roman"/>
                <w:sz w:val="18"/>
                <w:szCs w:val="18"/>
                <w:lang w:val="en-GB" w:eastAsia="es-ES_tradnl"/>
              </w:rPr>
              <w:t xml:space="preserve"> </w:t>
            </w:r>
            <w:r w:rsidR="009E5CF6" w:rsidRPr="00700626">
              <w:rPr>
                <w:rFonts w:ascii="Times New Roman" w:eastAsia="Times New Roman" w:hAnsi="Times New Roman" w:cs="Times New Roman"/>
                <w:sz w:val="18"/>
                <w:szCs w:val="18"/>
                <w:lang w:val="en-GB" w:eastAsia="es-ES_tradnl"/>
              </w:rPr>
              <w:t>a</w:t>
            </w:r>
            <w:r w:rsidRPr="00700626">
              <w:rPr>
                <w:rFonts w:ascii="Times New Roman" w:eastAsia="Times New Roman" w:hAnsi="Times New Roman" w:cs="Times New Roman"/>
                <w:sz w:val="18"/>
                <w:szCs w:val="18"/>
                <w:lang w:val="en-GB" w:eastAsia="es-ES_tradnl"/>
              </w:rPr>
              <w:t>nnual drug costs were calculated using mean dosages and list prices, including Royal Decree Law 8/2010 deduction rates, when necessary, and a 4% of value-added tax (VAT) entitled for Spain</w:t>
            </w:r>
            <w:r w:rsidR="008A29CC" w:rsidRPr="00700626">
              <w:rPr>
                <w:rFonts w:ascii="Times New Roman" w:eastAsia="Times New Roman" w:hAnsi="Times New Roman" w:cs="Times New Roman"/>
                <w:sz w:val="18"/>
                <w:szCs w:val="18"/>
                <w:lang w:val="en-GB" w:eastAsia="es-ES_tradnl"/>
              </w:rPr>
              <w:t xml:space="preserve">; </w:t>
            </w:r>
            <w:r w:rsidR="008A29CC" w:rsidRPr="00700626">
              <w:rPr>
                <w:rFonts w:ascii="Times New Roman" w:eastAsia="Times New Roman" w:hAnsi="Times New Roman" w:cs="Times New Roman"/>
                <w:b/>
                <w:bCs/>
                <w:sz w:val="18"/>
                <w:szCs w:val="18"/>
                <w:lang w:val="en-GB" w:eastAsia="es-ES_tradnl"/>
              </w:rPr>
              <w:t>(vi)</w:t>
            </w:r>
            <w:r w:rsidR="008A29CC" w:rsidRPr="00700626">
              <w:rPr>
                <w:rFonts w:ascii="Times New Roman" w:eastAsia="Times New Roman" w:hAnsi="Times New Roman" w:cs="Times New Roman"/>
                <w:sz w:val="18"/>
                <w:szCs w:val="18"/>
                <w:lang w:val="en-GB" w:eastAsia="es-ES_tradnl"/>
              </w:rPr>
              <w:t xml:space="preserve"> </w:t>
            </w:r>
            <w:r w:rsidR="009E5CF6" w:rsidRPr="00700626">
              <w:rPr>
                <w:rFonts w:ascii="Times New Roman" w:eastAsia="Times New Roman" w:hAnsi="Times New Roman" w:cs="Times New Roman"/>
                <w:sz w:val="18"/>
                <w:szCs w:val="18"/>
                <w:lang w:val="en-GB" w:eastAsia="es-ES_tradnl"/>
              </w:rPr>
              <w:t>t</w:t>
            </w:r>
            <w:r w:rsidRPr="00700626">
              <w:rPr>
                <w:rFonts w:ascii="Times New Roman" w:eastAsia="Times New Roman" w:hAnsi="Times New Roman" w:cs="Times New Roman"/>
                <w:sz w:val="18"/>
                <w:szCs w:val="18"/>
                <w:lang w:val="en-GB" w:eastAsia="es-ES_tradnl"/>
              </w:rPr>
              <w:t>he median unit cost of a wheelchair and a walker was also collected from the regional official regulations, and the unit cost of the adjustable bed was approximated from the information contained in the public sector contracting platform (tenders), using the CPV code 33192100</w:t>
            </w:r>
            <w:r w:rsidR="008A29CC" w:rsidRPr="00700626">
              <w:rPr>
                <w:rFonts w:ascii="Times New Roman" w:eastAsia="Times New Roman" w:hAnsi="Times New Roman" w:cs="Times New Roman"/>
                <w:sz w:val="18"/>
                <w:szCs w:val="18"/>
                <w:lang w:val="en-GB" w:eastAsia="es-ES_tradnl"/>
              </w:rPr>
              <w:t xml:space="preserve">; </w:t>
            </w:r>
            <w:r w:rsidR="008A29CC" w:rsidRPr="00700626">
              <w:rPr>
                <w:rFonts w:ascii="Times New Roman" w:eastAsia="Times New Roman" w:hAnsi="Times New Roman" w:cs="Times New Roman"/>
                <w:b/>
                <w:bCs/>
                <w:sz w:val="18"/>
                <w:szCs w:val="18"/>
                <w:lang w:val="en-GB" w:eastAsia="es-ES_tradnl"/>
              </w:rPr>
              <w:t>(vii)</w:t>
            </w:r>
            <w:r w:rsidR="008A29CC" w:rsidRPr="00700626">
              <w:rPr>
                <w:rFonts w:ascii="Times New Roman" w:eastAsia="Times New Roman" w:hAnsi="Times New Roman" w:cs="Times New Roman"/>
                <w:sz w:val="18"/>
                <w:szCs w:val="18"/>
                <w:lang w:val="en-GB" w:eastAsia="es-ES_tradnl"/>
              </w:rPr>
              <w:t xml:space="preserve"> </w:t>
            </w:r>
            <w:r w:rsidR="00534127" w:rsidRPr="00700626">
              <w:rPr>
                <w:rFonts w:ascii="Times New Roman" w:eastAsia="Times New Roman" w:hAnsi="Times New Roman" w:cs="Times New Roman"/>
                <w:sz w:val="18"/>
                <w:szCs w:val="18"/>
                <w:lang w:val="en-GB" w:eastAsia="es-ES_tradnl"/>
              </w:rPr>
              <w:t>t</w:t>
            </w:r>
            <w:r w:rsidRPr="00700626">
              <w:rPr>
                <w:rFonts w:ascii="Times New Roman" w:eastAsia="Times New Roman" w:hAnsi="Times New Roman" w:cs="Times New Roman"/>
                <w:sz w:val="18"/>
                <w:szCs w:val="18"/>
                <w:lang w:val="en-GB" w:eastAsia="es-ES_tradnl"/>
              </w:rPr>
              <w:t>he unit cost of formal care was calculated as the average annual female salary of the health and social services subsector.  For informal care, the average annual female salary of all sectors, was used</w:t>
            </w:r>
            <w:r w:rsidR="008A29CC" w:rsidRPr="00700626">
              <w:rPr>
                <w:rFonts w:ascii="Times New Roman" w:eastAsia="Times New Roman" w:hAnsi="Times New Roman" w:cs="Times New Roman"/>
                <w:sz w:val="18"/>
                <w:szCs w:val="18"/>
                <w:lang w:val="en-GB" w:eastAsia="es-ES_tradnl"/>
              </w:rPr>
              <w:t xml:space="preserve">; </w:t>
            </w:r>
            <w:r w:rsidR="008A29CC" w:rsidRPr="00700626">
              <w:rPr>
                <w:rFonts w:ascii="Times New Roman" w:eastAsia="Times New Roman" w:hAnsi="Times New Roman" w:cs="Times New Roman"/>
                <w:b/>
                <w:bCs/>
                <w:sz w:val="18"/>
                <w:szCs w:val="18"/>
                <w:lang w:val="en-GB" w:eastAsia="es-ES_tradnl"/>
              </w:rPr>
              <w:t>(viii)</w:t>
            </w:r>
            <w:r w:rsidR="008A29CC" w:rsidRPr="00700626">
              <w:rPr>
                <w:rFonts w:ascii="Times New Roman" w:eastAsia="Times New Roman" w:hAnsi="Times New Roman" w:cs="Times New Roman"/>
                <w:sz w:val="18"/>
                <w:szCs w:val="18"/>
                <w:lang w:val="en-GB" w:eastAsia="es-ES_tradnl"/>
              </w:rPr>
              <w:t xml:space="preserve"> </w:t>
            </w:r>
            <w:r w:rsidR="00534127" w:rsidRPr="00700626">
              <w:rPr>
                <w:rFonts w:ascii="Times New Roman" w:eastAsia="Times New Roman" w:hAnsi="Times New Roman" w:cs="Times New Roman"/>
                <w:sz w:val="18"/>
                <w:szCs w:val="18"/>
                <w:lang w:val="en-GB" w:eastAsia="es-ES"/>
              </w:rPr>
              <w:t>a</w:t>
            </w:r>
            <w:r w:rsidRPr="00700626">
              <w:rPr>
                <w:rFonts w:ascii="Times New Roman" w:eastAsia="Times New Roman" w:hAnsi="Times New Roman" w:cs="Times New Roman"/>
                <w:sz w:val="18"/>
                <w:szCs w:val="18"/>
                <w:lang w:val="en-GB" w:eastAsia="es-ES"/>
              </w:rPr>
              <w:t>verage working hours were obtained from the National Statistical Institute</w:t>
            </w:r>
          </w:p>
        </w:tc>
        <w:tc>
          <w:tcPr>
            <w:tcW w:w="2377" w:type="dxa"/>
            <w:tcMar>
              <w:top w:w="57" w:type="dxa"/>
              <w:bottom w:w="57" w:type="dxa"/>
            </w:tcMar>
          </w:tcPr>
          <w:p w14:paraId="3ED2AD0C" w14:textId="3FD23D5F"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hAnsi="Times New Roman" w:cs="Times New Roman"/>
                <w:sz w:val="18"/>
                <w:szCs w:val="18"/>
                <w:lang w:val="en-GB"/>
              </w:rPr>
              <w:t xml:space="preserve">Different regional regulations or in official national sources </w:t>
            </w:r>
            <w:r w:rsidRPr="00700626">
              <w:rPr>
                <w:rFonts w:ascii="Times New Roman" w:hAnsi="Times New Roman" w:cs="Times New Roman"/>
                <w:sz w:val="18"/>
                <w:szCs w:val="18"/>
                <w:lang w:val="en-GB"/>
              </w:rPr>
              <w:fldChar w:fldCharType="begin"/>
            </w:r>
            <w:r w:rsidR="00763D2F" w:rsidRPr="00700626">
              <w:rPr>
                <w:rFonts w:ascii="Times New Roman" w:hAnsi="Times New Roman" w:cs="Times New Roman"/>
                <w:sz w:val="18"/>
                <w:szCs w:val="18"/>
                <w:lang w:val="en-GB"/>
              </w:rPr>
              <w:instrText xml:space="preserve"> ADDIN ZOTERO_ITEM CSL_CITATION {"citationID":"DNVvmgZJ","properties":{"formattedCitation":"[1\\uc0\\u8211{}26]","plainCitation":"[1–26]","noteIndex":0},"citationItems":[{"id":57293,"uris":["http://zotero.org/groups/2639534/items/ITB6VE6B"],"uri":["http://zotero.org/groups/2639534/items/ITB6VE6B"],"itemData":{"id":57293,"type":"article","title":"Boletín Oficial de Aragón - BOA, Núm. 156 (10/08/2012). Resolución de 30 de julio de 2012, de la Dirección Gerencia del Servicio Aragonés de Salud, sobre revisión de las tarifas a aplicar por la prestación de servicios sanitarios a terceros obligados al pago o a usuarios sin derecho a asistencia sanitaria en la Comunidad Autónoma de Aragón.","URL":"http://www.boa.aragon.es/cgi-bin/EBOA/BRSCGI?CMD=VEROBJ&amp;MLKOB=686810581515","accessed":{"date-parts":[["2021",6,20]]}},"locator":"156"},{"id":57291,"uris":["http://zotero.org/groups/2639534/items/YU6R2PXW"],"uri":["http://zotero.org/groups/2639534/items/YU6R2PXW"],"itemData":{"id":57291,"type":"article","language":"es","source":"Zotero","title":"Boletín Oficial del Principado de Asturias, Núm. 219 (13/11/2019). Decreto 194/2019, de 31 de octubre, de segunda modificación del Decreto 87/2009, de 29 de julio, por el que se establecen los precios públicos a aplicar por el Servicio de Salud del Principado de Asturias por la prestación de servicios sanitarios.","URL":"https://sede.asturias.es/bopa/2019/11/13/2019-11967.pdf","accessed":{"date-parts":[["2021",6,20]]}}},{"id":57294,"uris":["http://zotero.org/groups/2639534/items/UWGHIGI3"],"uri":["http://zotero.org/groups/2639534/items/UWGHIGI3"],"itemData":{"id":57294,"type":"article","title":"Boletín Oficial de las Islas Baleares - BOIB, Núm. 128 (16/10/2018). Núm. 10517. Resolución del director general del Servicio de Salud de las Islas Baleares de corrección de errores de la Resolución del director general del Servicio de Salud de las Islas Baleares de 29 de diciembre de 2017 por la que se modifica la Orden de la consejera de Salud y Consumo de 22 de diciembre de 2006 por la que se establecen los precios públicos a aplicar por los centros sanitarios de la Red Pública de las Illes Balears por la prestación de servicios sanitarios, cuando existan terceros obligados al pago o usuarios sin derecho a asistencia sanitaria de la Seguridad Social.","URL":"http://www.caib.es/eboibfront/es/2018/10886/614479/resolucion-del-director-general-del-servicio-de-sa","accessed":{"date-parts":[["2021",6,20]]}}},{"id":57290,"uris":["http://zotero.org/groups/2639534/items/M6ZL7CE6"],"uri":["http://zotero.org/groups/2639534/items/M6ZL7CE6"],"itemData":{"id":57290,"type":"webpage","title":"Boletín Oficial de Canarias - BOC, Núm. 67 (5/4/2017) - 1616 Servicio Canario de la Salud.- Resolución de 29 de marzo de 2017, del Director, por la que se modifica la cuantía de los precios públicos de servicios sanitarios previstos en el Decreto 81/2009, de 16 de junio, por el que se establecen los precios públicos de los servicios sanitarios prestados por el Servicio Canario de la Salud y se fijan sus cuantías.","URL":"http://www.gobiernodecanarias.org/boc/2017/067/002.html","accessed":{"date-parts":[["2021",6,20]]}}},{"id":57292,"uris":["http://zotero.org/groups/2639534/items/SDT837DN"],"uri":["http://zotero.org/groups/2639534/items/SDT837DN"],"itemData":{"id":57292,"type":"article","title":"Boletín Oficial de la Junta de Andalucía - BOJA, Núm. 92 (15/5/2018) Orden de 8 de mayo de 2018, por la que se modifica la Orden de 14 de octubre de 2005, por la que se fijan los precios públicos de los servicios sanitarios prestados por centros dependientes del Sistema Sanitario Público de Andalucía.","URL":"https://www.sspa.juntadeandalucia.es/servicioandaluzdesalud/sites/default/files/sincfiles/wsas-media-sas_normativa_mediafile/2019/BOJA180508_precios_publicos.pdf","accessed":{"date-parts":[["2021",6,20]]}}},{"id":57289,"uris":["http://zotero.org/groups/2639534/items/BZA9MSIS"],"uri":["http://zotero.org/groups/2639534/items/BZA9MSIS"],"itemData":{"id":57289,"type":"article","title":"Boletín Oficial de Cantabria - BOC Núm. 248 (29/12/2017) - Orden SAN/35/2017, de 15 de diciembre, por la que se fi jan las cuantías de los Precios Públicos de los Servicios Sanitarios prestados por el Servicio Cántabro de Salud.","URL":"https://boc.cantabria.es/boces/verAnuncioAction.do?idAnuBlob=320839","accessed":{"date-parts":[["2021",6,20]]}}},{"id":57284,"uris":["http://zotero.org/groups/2639534/items/XIB6CQQB"],"uri":["http://zotero.org/groups/2639534/items/XIB6CQQB"],"itemData":{"id":57284,"type":"article","title":"Diario Oficial de Extremadura - DOE, Núm. 32 (17/2/2021) - RESOLUCIÓN de 10 de febrero de 2021, de la Vicepresidenta Primera y Consejera, por la que se publican las tarifas actualizadas de las tasas y precios públicos de la Comunidad Autónoma de Extremadura en virtud de lo dispuesto en la Ley de Presupuestos Generales de la Comunidad Autónoma de Extremadura para 2021.","URL":"http://doe.gobex.es/pdfs/doe/2021/320o/21060426.pdf","accessed":{"date-parts":[["2021",6,20]]}}},{"id":57286,"uris":["http://zotero.org/groups/2639534/items/IARAJJAV"],"uri":["http://zotero.org/groups/2639534/items/IARAJJAV"],"itemData":{"id":57286,"type":"article","language":"es","title":"Normativa vigente. Tasas y precios de la Comunidad Autónoma - Diario Oficial de Galicia - DOG Núm. 240 (11/12/2003) - Ley 6/2003, de 9 de diciembre, de tasas, precios y exacciones Reguladoras de la comunidad autónoma de galicia.","issued":{"date-parts":[["2020"]]}}},{"id":57283,"uris":["http://zotero.org/groups/2639534/items/RCIATECB"],"uri":["http://zotero.org/groups/2639534/items/RCIATECB"],"itemData":{"id":57283,"type":"article","title":"Boletín Oficial de la Comunidad de Madrid – BOCM, Núm. 198 (21/8/2017) - Orden 727/2017, de 7 de agosto, del Consejero de Sanidad, por la que se fijan los precios públicos por la prestación de los servicios y actividades de naturaleza sanitaria de la red de centros de la Comunidad de Madrid.","URL":"https://www.bocm.es/boletin/CM_Orden_BOCM/2017/08/21/BOCM-20170821-1.PDF","accessed":{"date-parts":[["2021",6,20]]}}},{"id":57288,"uris":["http://zotero.org/groups/2639534/items/9PHLXH4N"],"uri":["http://zotero.org/groups/2639534/items/9PHLXH4N"],"itemData":{"id":57288,"type":"article","title":"Boletín Oficial de Castilla y León - BOCYL, Núm. 249 (30/12/2013) - Decreto 83/2013, de 26 de diciembre, por el que se actualizan los precios públicos de la Comunidad de Castilla y León y la tasa por actuaciones administrativas relativas a actividades agrícolas.","URL":"https://bocyl.jcyl.es/boletines/2013/12/30/pdf/BOCYL-D-30122013-5.pdf","accessed":{"date-parts":[["2021",6,20]]}}},{"id":57282,"uris":["http://zotero.org/groups/2639534/items/7RPMUGPE"],"uri":["http://zotero.org/groups/2639534/items/7RPMUGPE"],"itemData":{"id":57282,"type":"article","title":"Diario Oficial de Castilla-La Mancha - DOCM, Núm. 226 (21/11/2014) - Orden de 17/11/2014, de la Consejería de Sanidad y Asuntos Sociales, por la que se establecen los precios públicos de la asistencia sanitaria y de los servicios prestados en la red de centros sanitarios dependientes del Servicio de Salud de Castilla-La Mancha.","URL":"https://docm.jccm.es/portaldocm/descargarArchivo.do?ruta=2014/11/21/pdf/2014_15022.pdf&amp;tipo=rutaDocm","accessed":{"date-parts":[["2021",6,20]]}}},{"id":57281,"uris":["http://zotero.org/groups/2639534/items/UE48MLQM"],"uri":["http://zotero.org/groups/2639534/items/UE48MLQM"],"itemData":{"id":57281,"type":"post-weblog","language":"es","title":"Diari Oficial de la Generalitat de Catalunya - DOGC, Núm. 8153 - (12/6/2020) - Orden SLT/71/2020, de 2 de junio, por la que se regulan los supuestos y conceptos facturables y se aprueban los precios públicos correspondientes a los servicios que presta el Instituto Catalán de la Salud.","URL":"https://infoboe-production.s3.eu-central-1.amazonaws.com/documents/fc27d9c2c6b9b9a029b20ebf5d6613d4-20200612.pdf","accessed":{"date-parts":[["2021",6,20]]}}},{"id":57285,"uris":["http://zotero.org/groups/2639534/items/FAB5LGDK"],"uri":["http://zotero.org/groups/2639534/items/FAB5LGDK"],"itemData":{"id":57285,"type":"article","title":"Boletín Oficial de la Región de Murcia - BORM, Núm. 133 (11/6/2020) - Orden de 29 de mayo de 2020 de la Consejería de Presidencia y Hacienda, por la que se publican las tarifas de las tasas y precios públicos aplicables en el año 2020.","URL":"https://www.borm.es/ofvirtual/documento?obj=anu&amp;id=785222","accessed":{"date-parts":[["2021",6,20]]}}},{"id":57280,"uris":["http://zotero.org/groups/2639534/items/TRXMNGTI"],"uri":["http://zotero.org/groups/2639534/items/TRXMNGTI"],"itemData":{"id":57280,"type":"webpage","language":"es-ES","title":"Boletín Oficial de Navarra - BON, Núm. 14  (22/1/2019) - Resolución 1564/2018, de 20 de diciembre, del Director Gerente del Servicio Navarro de Salud-Osasunbidea, por la que se establecen las tarifas por los servicios prestados por el Servicio Navarro de Salud-Osasunbidea.","URL":"http://bon.navarra.es/es/anuncio/-/texto/2019/14/5/","accessed":{"date-parts":[["2021",6,20]]}}},{"id":57266,"uris":["http://zotero.org/groups/2639534/items/YTV4PBU4"],"uri":["http://zotero.org/groups/2639534/items/YTV4PBU4"],"itemData":{"id":57266,"type":"article","title":"Tarifas para facturación de servicios sanitarios y docentes de Osakidetza para el año 2020 (12/2019) - Acuerdo de 19 de diciembre de 2019, del consejo de administración del ente público Osakidetza, por el que se aprueban las tarifas por prestación de servicios sanitarios y docentes a terceros obligados al pago durante el ejercicio 2020.","URL":"https://www.osakidetza.euskadi.eus/contenidos/informacion/osk_servic_para_empresas/es_def/adjuntos/LIBRO-DE-TARIFAS_2020_osakidetza.pdf","accessed":{"date-parts":[["2021",6,21]]}}},{"id":57278,"uris":["http://zotero.org/groups/2639534/items/KVD3BRXS"],"uri":["http://zotero.org/groups/2639534/items/KVD3BRXS"],"itemData":{"id":57278,"type":"article","title":"Boletín Oficial del Estado - BOE Ceuta y Melilla, Núm. 180 (29/7/2013) Sec. I. Pág. 55225 - Resolución de 19 de julio de 2013, del Instituto Nacional de Gestión Sanitaria, sobre revisión de precios a aplicar por los centros sanitarios del Instituto Nacional de Gestión Sanitaria en Ceuta y Melilla, por las asistencias prestadas en los supuestos cuyo importe ha de reclamarse a los terceros obligados al pago o a los usuarios sin derecho a la asistencia sanitaria de la Seguridad Social, así como por los servicios prestados por el Centro Nacional de Dosimetría y por la reproducción de documentos de la biblioteca de la entidad gestora.","URL":"https://www.boe.es/boe/dias/2013/07/29/pdfs/BOE-A-2013-8240.pdf","accessed":{"date-parts":[["2021",6,20]]}}},{"id":57277,"uris":["http://zotero.org/groups/2639534/items/F7XSUI4E"],"uri":["http://zotero.org/groups/2639534/items/F7XSUI4E"],"itemData":{"id":57277,"type":"webpage","container-title":"Servicio Andaluz de Salud","language":"es","title":"Boletín Oficial de la Junta de Andalucía - BOJA, Núm. 210 (27/10/2005) - Orden de 14 de octubre de 2005, por la que se fijan los precios públicos de los servicios sanitarios prestados por Centros dependientes del Sistema Sanitario Público de Andalucía.","URL":"https://www.sspa.juntadeandalucia.es/servicioandaluzdesalud/sites/default/files/sincfiles/wsas-media-sas_normativa_mediafile/2019/orden2005_precios_publicos.pdf","accessed":{"date-parts":[["2021",6,20]]}}},{"id":57276,"uris":["http://zotero.org/groups/2639534/items/CS9IRDXU"],"uri":["http://zotero.org/groups/2639534/items/CS9IRDXU"],"itemData":{"id":57276,"type":"webpage","title":"Diario Oficial de la Generalitat Valenciana - DOGV, Núm. 8202 (30/10/2017) - Ley 20/2017, de 28 de diciembre, de la Generalitat, de tasas. [2017/12159]","URL":"https://dogv.gva.es/portal/ficha_disposicion.jsp?L=1&amp;sig=011728%2F2017","accessed":{"date-parts":[["2021",6,20]]},"issued":{"date-parts":[["2017"]]}},"locator":"20"},{"id":57275,"uris":["http://zotero.org/groups/2639534/items/UZSL28FU"],"uri":["http://zotero.org/groups/2639534/items/UZSL28FU"],"itemData":{"id":57275,"type":"article","title":"Diario Oficial de Extremadura - DOE, Núm. 28 (11/2/2020) - Resolución de 6 de febrero de 2020, de la Vicepresidenta Primera y Consejera, por la que se publican las tarifas actualizadas de las tasas y precios públicos de la Comunidad Autónoma de Extremadura en virtud de lo dispuesto en la Ley de Presupuestos Generales de la Comunidad Autónoma de Extremadura para 2020. (2020060240)","URL":"http://doe.gobex.es/pdfs/doe/2020/280o/20060240.pdf","accessed":{"date-parts":[["2021",6,20]]}},"locator":"28"},{"id":57274,"uris":["http://zotero.org/groups/2639534/items/8GMBBHBV"],"uri":["http://zotero.org/groups/2639534/items/8GMBBHBV"],"itemData":{"id":57274,"type":"article","title":"Prestación de los servicios y actividades de naturaleza sanitaria de la Red de Centros de la Comunidad de Madrid. Anexo - Precios públicos por servicios y actividades.","URL":"http://www.madrid.org/cs/Satellite?blobcol=urldata&amp;blobheader=application%2Fpdf&amp;blobheadername1=Content-Disposition&amp;blobheadervalue1=filename%3DPRECIOS+ESTABLECIDOS..pdf&amp;blobkey=id&amp;blobtable=MungoBlobs&amp;blobwhere=1352835938575&amp;ssbinary=true","accessed":{"date-parts":[["2021",6,20]]}}},{"id":57268,"uris":["http://zotero.org/groups/2639534/items/LFKRY5VH"],"uri":["http://zotero.org/groups/2639534/items/LFKRY5VH"],"itemData":{"id":57268,"type":"article","title":"Boletín Oficial de La Rioja - BOR, Núm. 156 (19/12/2014) Pág. 24921 - Orden 12/2014, de 16 de noviembre de 2014, de la Consejería de Administración Pública y Hacienda por la que se establece y regula el precio público por los servicios sanitarios prestados a particulares en los centros del Servicio Riojano de Salud.","URL":"https://ias1.larioja.org/boletin/Bor_Boletin_visor_Servlet?referencia=1902409-1-PDF-486979-X","accessed":{"date-parts":[["2021",6,20]]}}},{"id":57272,"uris":["http://zotero.org/groups/2639534/items/HNCZQIBE"],"uri":["http://zotero.org/groups/2639534/items/HNCZQIBE"],"itemData":{"id":57272,"type":"article","title":"Boletín Oficial de Aragón - BOA, Núm. 135 (12/07/2011) - Resolución de 1 de enero de 2011, de la Directora-Gerente del Consorcio de Salud, por la que se aprueban las tarifas a aplicar en el seno del Consorcio a los terceros obligados al pago o a los usuarios sin derecho a la asistencia sanitaria de la Seguridad Social, con excepción de aquellos supuestos cuyas tarifas vengan reguladas por convenios, contratos o conciertos específicos.","URL":"http://www.boa.aragon.es/cgi-bin/EBOA/BRSCGI?CMD=VEROBJ&amp;MLKOB=608653990707","accessed":{"date-parts":[["2021",6,21]]}},"locator":"135"},{"id":57273,"uris":["http://zotero.org/groups/2639534/items/WZUCG67B"],"uri":["http://zotero.org/groups/2639534/items/WZUCG67B"],"itemData":{"id":57273,"type":"article","title":"Boletín Oficial de la Junta de Andalucía - BOJA, Núm. 210 (21/10/2015) Pág. 46 - Orden de 14 de octubre de 2005, por la que se fijan los precios públicos de los servicios sanitarios prestados por Centros dependientes del Sistema Sanitario Público de Andalucía.","URL":"https://www.sspa.juntadeandalucia.es/servicioandaluzdesalud/sites/default/files/sincfiles/wsas-media-sas_normativa_mediafile/2019/orden2005_precios_publicos.pdf","accessed":{"date-parts":[["2021",6,20]]}}},{"id":57269,"uris":["http://zotero.org/groups/2639534/items/BXBCTB3V"],"uri":["http://zotero.org/groups/2639534/items/BXBCTB3V"],"itemData":{"id":57269,"type":"post-weblog","language":"es","title":"Boletín Oficial de Aragón - BOA, Núm. 165 (29/08/2017) - Orden SAN/1221/2017, de 21 de julio, por la que se establecen los precios y tarifas máximas aplicables en la prestación de servicios sanitarios con medios ajenos al Sistema de Salud de Aragón.","URL":"http://www.boa.aragon.es/cgi-bin/EBOA/BRSCGI?CMD=VEROBJ&amp;MLKOB=977342223030","accessed":{"date-parts":[["2021",6,20]]},"issued":{"date-parts":[["2017"]]}}},{"id":57265,"uris":["http://zotero.org/groups/2639534/items/EUXPBNJ6"],"uri":["http://zotero.org/groups/2639534/items/EUXPBNJ6"],"itemData":{"id":57265,"type":"webpage","title":"Boletín Oficial de las Islas Baleares - BOIB, Núm. 002 (4/1/2018) - Resolución del director general del Servicio de Salud de las Islas Baleares por la que se modifica la Orden de la consejera de Salud y Consumo de 22 de diciembre de 2006 por la que se establecen los precios públicos a aplicar por los centros sanitarios de la Red Pública de las Islas Baleares por la prestación de servicios sanitarios, cuando existan terceros obligados al pago o usuarios sin derecho a asistencia sanitaria de la Seguridad Social.","URL":"http://www.caib.es/eboibfront/es/2018/10758/seccion-iii-otras-disposiciones-y-actos-administra/472","accessed":{"date-parts":[["2021",6,21]]}}},{"id":57264,"uris":["http://zotero.org/groups/2639534/items/LEGKQXG9"],"uri":["http://zotero.org/groups/2639534/items/LEGKQXG9"],"itemData":{"id":57264,"type":"post-weblog","title":"Boletín Oficial del Principado de Asturias, Núm. 77 (4/4/2013) - Resolución de 25 de febrero de 2013, de la Consejería de Hacienda y Sector Público, por la que hace pública la relación de las cuantías exigibles por tasas y precios públicos en el ejercicio 2013.","URL":"https://sede.asturias.es/bopa/2013/10/03/2013-18043.pdf","accessed":{"date-parts":[["2021",6,20]]},"issued":{"date-parts":[["2013"]]}}}],"schema":"https://github.com/citation-style-language/schema/raw/master/csl-citation.json"} </w:instrText>
            </w:r>
            <w:r w:rsidRPr="00700626">
              <w:rPr>
                <w:rFonts w:ascii="Times New Roman" w:hAnsi="Times New Roman" w:cs="Times New Roman"/>
                <w:sz w:val="18"/>
                <w:szCs w:val="18"/>
                <w:lang w:val="en-GB"/>
              </w:rPr>
              <w:fldChar w:fldCharType="separate"/>
            </w:r>
            <w:r w:rsidR="00763D2F" w:rsidRPr="00700626">
              <w:rPr>
                <w:rFonts w:ascii="Times New Roman" w:hAnsi="Times New Roman" w:cs="Times New Roman"/>
                <w:sz w:val="18"/>
                <w:szCs w:val="18"/>
                <w:lang w:val="en-GB"/>
              </w:rPr>
              <w:t>[1–26]</w:t>
            </w:r>
            <w:r w:rsidRPr="00700626">
              <w:rPr>
                <w:rFonts w:ascii="Times New Roman" w:hAnsi="Times New Roman" w:cs="Times New Roman"/>
                <w:sz w:val="18"/>
                <w:szCs w:val="18"/>
                <w:lang w:val="en-GB"/>
              </w:rPr>
              <w:fldChar w:fldCharType="end"/>
            </w:r>
            <w:r w:rsidRPr="00700626">
              <w:rPr>
                <w:rFonts w:ascii="Times New Roman" w:hAnsi="Times New Roman" w:cs="Times New Roman"/>
                <w:sz w:val="18"/>
                <w:szCs w:val="18"/>
                <w:lang w:val="en-GB"/>
              </w:rPr>
              <w:t xml:space="preserve">, consumer price index </w:t>
            </w:r>
            <w:r w:rsidRPr="00700626">
              <w:rPr>
                <w:rFonts w:ascii="Times New Roman" w:hAnsi="Times New Roman" w:cs="Times New Roman"/>
                <w:sz w:val="18"/>
                <w:szCs w:val="18"/>
                <w:lang w:val="en-GB"/>
              </w:rPr>
              <w:fldChar w:fldCharType="begin"/>
            </w:r>
            <w:r w:rsidR="00763D2F" w:rsidRPr="00700626">
              <w:rPr>
                <w:rFonts w:ascii="Times New Roman" w:hAnsi="Times New Roman" w:cs="Times New Roman"/>
                <w:sz w:val="18"/>
                <w:szCs w:val="18"/>
                <w:lang w:val="en-GB"/>
              </w:rPr>
              <w:instrText xml:space="preserve"> ADDIN ZOTERO_ITEM CSL_CITATION {"citationID":"0j9wJSbQ","properties":{"formattedCitation":"[27]","plainCitation":"[27]","noteIndex":0},"citationItems":[{"id":60398,"uris":["http://zotero.org/groups/2639534/items/EA84ZM8W"],"uri":["http://zotero.org/groups/2639534/items/EA84ZM8W"],"itemData":{"id":60398,"type":"webpage","abstract":"INE. Instituto Nacional de Estadística. National Statistics Institute. Spanish Statistical Office. El INE elabora y distribuye estadísticas de España. Este servidor contiene: Censos de Poblacón y Viviendas 2001, Información general, Productos de difusión, España en cifras, Datos coyunturales, Datos municipales, etc.. Q2016.es","container-title":"INE","language":"es","title":"INEbase / Nivel y condiciones de vida (IPC) /Índices de precios de consumo y vivienda /Índice de precios de consumo 2020","URL":"https://www.ine.es/dyngs/INEbase/es/operacion.htm?c=Estadistica_C&amp;cid=1254736176802&amp;menu=ultiDatos&amp;idp=1254735976607","author":[{"family":"Instituto Nacional de Estadística (INE)","given":""}],"accessed":{"date-parts":[["2021",8,19]]}}}],"schema":"https://github.com/citation-style-language/schema/raw/master/csl-citation.json"} </w:instrText>
            </w:r>
            <w:r w:rsidRPr="00700626">
              <w:rPr>
                <w:rFonts w:ascii="Times New Roman" w:hAnsi="Times New Roman" w:cs="Times New Roman"/>
                <w:sz w:val="18"/>
                <w:szCs w:val="18"/>
                <w:lang w:val="en-GB"/>
              </w:rPr>
              <w:fldChar w:fldCharType="separate"/>
            </w:r>
            <w:r w:rsidR="00763D2F" w:rsidRPr="00700626">
              <w:rPr>
                <w:rFonts w:ascii="Times New Roman" w:hAnsi="Times New Roman" w:cs="Times New Roman"/>
                <w:sz w:val="18"/>
                <w:szCs w:val="18"/>
                <w:lang w:val="en-GB"/>
              </w:rPr>
              <w:t>[27]</w:t>
            </w:r>
            <w:r w:rsidRPr="00700626">
              <w:rPr>
                <w:rFonts w:ascii="Times New Roman" w:hAnsi="Times New Roman" w:cs="Times New Roman"/>
                <w:sz w:val="18"/>
                <w:szCs w:val="18"/>
                <w:lang w:val="en-GB"/>
              </w:rPr>
              <w:fldChar w:fldCharType="end"/>
            </w:r>
            <w:r w:rsidRPr="00700626">
              <w:rPr>
                <w:rFonts w:ascii="Times New Roman" w:hAnsi="Times New Roman" w:cs="Times New Roman"/>
                <w:sz w:val="18"/>
                <w:szCs w:val="18"/>
                <w:lang w:val="en-GB"/>
              </w:rPr>
              <w:t xml:space="preserve">, cost per transplant </w:t>
            </w:r>
            <w:r w:rsidRPr="00700626">
              <w:rPr>
                <w:rFonts w:ascii="Times New Roman" w:hAnsi="Times New Roman" w:cs="Times New Roman"/>
                <w:sz w:val="18"/>
                <w:szCs w:val="18"/>
                <w:lang w:val="en-GB"/>
              </w:rPr>
              <w:fldChar w:fldCharType="begin"/>
            </w:r>
            <w:r w:rsidR="00763D2F" w:rsidRPr="00700626">
              <w:rPr>
                <w:rFonts w:ascii="Times New Roman" w:hAnsi="Times New Roman" w:cs="Times New Roman"/>
                <w:sz w:val="18"/>
                <w:szCs w:val="18"/>
                <w:lang w:val="en-GB"/>
              </w:rPr>
              <w:instrText xml:space="preserve"> ADDIN ZOTERO_ITEM CSL_CITATION {"citationID":"X9yjxu6U","properties":{"formattedCitation":"[28]","plainCitation":"[28]","noteIndex":0},"citationItems":[{"id":57352,"uris":["http://zotero.org/groups/2639534/items/PJQKSTHA"],"uri":["http://zotero.org/groups/2639534/items/PJQKSTHA"],"itemData":{"id":57352,"type":"webpage","title":"Ministerio de Sanidad, Consumo y Bienestar Social - Portal Estadístico del SNS - Registro de Altas de los Hospitales Generales del Sistema Nacional de Salud. CMBD. Norma Estatal","URL":"https://www.mscbs.gob.es/estadEstudios/estadisticas/cmbd.htm","accessed":{"date-parts":[["2021",6,21]]}}}],"schema":"https://github.com/citation-style-language/schema/raw/master/csl-citation.json"} </w:instrText>
            </w:r>
            <w:r w:rsidRPr="00700626">
              <w:rPr>
                <w:rFonts w:ascii="Times New Roman" w:hAnsi="Times New Roman" w:cs="Times New Roman"/>
                <w:sz w:val="18"/>
                <w:szCs w:val="18"/>
                <w:lang w:val="en-GB"/>
              </w:rPr>
              <w:fldChar w:fldCharType="separate"/>
            </w:r>
            <w:r w:rsidR="00763D2F" w:rsidRPr="00700626">
              <w:rPr>
                <w:rFonts w:ascii="Times New Roman" w:hAnsi="Times New Roman" w:cs="Times New Roman"/>
                <w:sz w:val="18"/>
                <w:szCs w:val="18"/>
                <w:lang w:val="en-GB"/>
              </w:rPr>
              <w:t>[28]</w:t>
            </w:r>
            <w:r w:rsidRPr="00700626">
              <w:rPr>
                <w:rFonts w:ascii="Times New Roman" w:hAnsi="Times New Roman" w:cs="Times New Roman"/>
                <w:sz w:val="18"/>
                <w:szCs w:val="18"/>
                <w:lang w:val="en-GB"/>
              </w:rPr>
              <w:fldChar w:fldCharType="end"/>
            </w:r>
            <w:r w:rsidRPr="00700626">
              <w:rPr>
                <w:rFonts w:ascii="Times New Roman" w:hAnsi="Times New Roman" w:cs="Times New Roman"/>
                <w:sz w:val="18"/>
                <w:szCs w:val="18"/>
                <w:lang w:val="en-GB"/>
              </w:rPr>
              <w:t xml:space="preserve">, value added tax for Spain </w:t>
            </w:r>
            <w:r w:rsidRPr="00700626">
              <w:rPr>
                <w:rFonts w:ascii="Times New Roman" w:hAnsi="Times New Roman" w:cs="Times New Roman"/>
                <w:sz w:val="18"/>
                <w:szCs w:val="18"/>
                <w:lang w:val="en-GB"/>
              </w:rPr>
              <w:fldChar w:fldCharType="begin"/>
            </w:r>
            <w:r w:rsidR="00763D2F" w:rsidRPr="00700626">
              <w:rPr>
                <w:rFonts w:ascii="Times New Roman" w:hAnsi="Times New Roman" w:cs="Times New Roman"/>
                <w:sz w:val="18"/>
                <w:szCs w:val="18"/>
                <w:lang w:val="en-GB"/>
              </w:rPr>
              <w:instrText xml:space="preserve"> ADDIN ZOTERO_ITEM CSL_CITATION {"citationID":"kyFzE7bu","properties":{"formattedCitation":"[29]","plainCitation":"[29]","noteIndex":0},"citationItems":[{"id":57018,"uris":["http://zotero.org/groups/337550/items/EQ3IBDV5"],"uri":["http://zotero.org/groups/337550/items/EQ3IBDV5"],"itemData":{"id":57018,"type":"webpage","title":"Base de datos de información sanitaria (BOT PLUS)","URL":"https://botplusweb.portalfarma.com/","author":[{"family":"Consejo General de Colegios Oficiales de Farmacéuticos","given":""}],"issued":{"date-parts":[["2021"]]}}}],"schema":"https://github.com/citation-style-language/schema/raw/master/csl-citation.json"} </w:instrText>
            </w:r>
            <w:r w:rsidRPr="00700626">
              <w:rPr>
                <w:rFonts w:ascii="Times New Roman" w:hAnsi="Times New Roman" w:cs="Times New Roman"/>
                <w:sz w:val="18"/>
                <w:szCs w:val="18"/>
                <w:lang w:val="en-GB"/>
              </w:rPr>
              <w:fldChar w:fldCharType="separate"/>
            </w:r>
            <w:r w:rsidR="00763D2F" w:rsidRPr="00700626">
              <w:rPr>
                <w:rFonts w:ascii="Times New Roman" w:hAnsi="Times New Roman" w:cs="Times New Roman"/>
                <w:sz w:val="18"/>
                <w:szCs w:val="18"/>
                <w:lang w:val="en-GB"/>
              </w:rPr>
              <w:t>[29]</w:t>
            </w:r>
            <w:r w:rsidRPr="00700626">
              <w:rPr>
                <w:rFonts w:ascii="Times New Roman" w:hAnsi="Times New Roman" w:cs="Times New Roman"/>
                <w:sz w:val="18"/>
                <w:szCs w:val="18"/>
                <w:lang w:val="en-GB"/>
              </w:rPr>
              <w:fldChar w:fldCharType="end"/>
            </w:r>
            <w:r w:rsidRPr="00700626">
              <w:rPr>
                <w:rFonts w:ascii="Times New Roman" w:hAnsi="Times New Roman" w:cs="Times New Roman"/>
                <w:sz w:val="18"/>
                <w:szCs w:val="18"/>
                <w:lang w:val="en-GB"/>
              </w:rPr>
              <w:t xml:space="preserve">, working hours from the National Statistics Institute </w:t>
            </w:r>
            <w:r w:rsidRPr="00700626">
              <w:rPr>
                <w:rFonts w:ascii="Times New Roman" w:hAnsi="Times New Roman" w:cs="Times New Roman"/>
                <w:sz w:val="18"/>
                <w:szCs w:val="18"/>
                <w:lang w:val="en-GB"/>
              </w:rPr>
              <w:fldChar w:fldCharType="begin"/>
            </w:r>
            <w:r w:rsidR="00763D2F" w:rsidRPr="00700626">
              <w:rPr>
                <w:rFonts w:ascii="Times New Roman" w:hAnsi="Times New Roman" w:cs="Times New Roman"/>
                <w:sz w:val="18"/>
                <w:szCs w:val="18"/>
                <w:lang w:val="en-GB"/>
              </w:rPr>
              <w:instrText xml:space="preserve"> ADDIN ZOTERO_ITEM CSL_CITATION {"citationID":"ki0ski2K","properties":{"formattedCitation":"[30]","plainCitation":"[30]","noteIndex":0},"citationItems":[{"id":57405,"uris":["http://zotero.org/groups/2639534/items/4NMRVT4S"],"uri":["http://zotero.org/groups/2639534/items/4NMRVT4S"],"itemData":{"id":57405,"type":"webpage","abstract":"INE. Instituto Nacional de Estadística. National Statistics Institute. Spanish Statistical Office. El INE elabora y distribuye estadisticas de Espana. Este servidor contiene: Censos de Poblacion y Viviendas 2001, Informacion general, Productos de difusion, Espana en cifras, Datos coyunturales, Datos municipales, etc.. Q2016.es","container-title":"INE","language":"es","title":"Instituto Nacional de Estadística - INE. Número medio de horas efectivas semanales trabajadas por todos los ocupados (hayan o no trabajado en la semana) por situación profesional, sexo y rama de actividad (empleo principal) (4880)","URL":"https://www.ine.es/jaxiT3/Tabla.htm?t=4880&amp;L=0","accessed":{"date-parts":[["2021",6,21]]}}}],"schema":"https://github.com/citation-style-language/schema/raw/master/csl-citation.json"} </w:instrText>
            </w:r>
            <w:r w:rsidRPr="00700626">
              <w:rPr>
                <w:rFonts w:ascii="Times New Roman" w:hAnsi="Times New Roman" w:cs="Times New Roman"/>
                <w:sz w:val="18"/>
                <w:szCs w:val="18"/>
                <w:lang w:val="en-GB"/>
              </w:rPr>
              <w:fldChar w:fldCharType="separate"/>
            </w:r>
            <w:r w:rsidR="00763D2F" w:rsidRPr="00700626">
              <w:rPr>
                <w:rFonts w:ascii="Times New Roman" w:hAnsi="Times New Roman" w:cs="Times New Roman"/>
                <w:sz w:val="18"/>
                <w:szCs w:val="18"/>
                <w:lang w:val="en-GB"/>
              </w:rPr>
              <w:t>[30]</w:t>
            </w:r>
            <w:r w:rsidRPr="00700626">
              <w:rPr>
                <w:rFonts w:ascii="Times New Roman" w:hAnsi="Times New Roman" w:cs="Times New Roman"/>
                <w:sz w:val="18"/>
                <w:szCs w:val="18"/>
                <w:lang w:val="en-GB"/>
              </w:rPr>
              <w:fldChar w:fldCharType="end"/>
            </w:r>
            <w:r w:rsidRPr="00700626">
              <w:rPr>
                <w:rFonts w:ascii="Times New Roman" w:hAnsi="Times New Roman" w:cs="Times New Roman"/>
                <w:sz w:val="18"/>
                <w:szCs w:val="18"/>
                <w:lang w:val="en-GB"/>
              </w:rPr>
              <w:t xml:space="preserve">, wages from the National Statistics Institute </w:t>
            </w:r>
            <w:r w:rsidRPr="00700626">
              <w:rPr>
                <w:rFonts w:ascii="Times New Roman" w:hAnsi="Times New Roman" w:cs="Times New Roman"/>
                <w:sz w:val="18"/>
                <w:szCs w:val="18"/>
                <w:lang w:val="en-GB"/>
              </w:rPr>
              <w:fldChar w:fldCharType="begin"/>
            </w:r>
            <w:r w:rsidR="00763D2F" w:rsidRPr="00700626">
              <w:rPr>
                <w:rFonts w:ascii="Times New Roman" w:hAnsi="Times New Roman" w:cs="Times New Roman"/>
                <w:sz w:val="18"/>
                <w:szCs w:val="18"/>
                <w:lang w:val="en-GB"/>
              </w:rPr>
              <w:instrText xml:space="preserve"> ADDIN ZOTERO_ITEM CSL_CITATION {"citationID":"ZOpWm8Wh","properties":{"formattedCitation":"[31]","plainCitation":"[31]","noteIndex":0},"citationItems":[{"id":57409,"uris":["http://zotero.org/groups/2639534/items/5FQY44JZ"],"uri":["http://zotero.org/groups/2639534/items/5FQY44JZ"],"itemData":{"id":57409,"type":"webpage","abstract":"INE. Instituto Nacional de Estadística. National Statistics Institute. Spanish Statistical Office. El INE elabora y distribuye estadisticas de Espana. Este servidor contiene: Censos de Poblacion y Viviendas 2001, Informacion general, Productos de difusion, Espana en cifras, Datos coyunturales, Datos municipales, etc.. Q2016.es","container-title":"INE","language":"es","title":"Instituto Nacional de Estadística - INE. Sexo y grupos principales de ocupación (28186)","URL":"https://www.ine.es/jaxiT3/Tabla.htm?t=28186&amp;L=0","accessed":{"date-parts":[["2021",6,21]]}}}],"schema":"https://github.com/citation-style-language/schema/raw/master/csl-citation.json"} </w:instrText>
            </w:r>
            <w:r w:rsidRPr="00700626">
              <w:rPr>
                <w:rFonts w:ascii="Times New Roman" w:hAnsi="Times New Roman" w:cs="Times New Roman"/>
                <w:sz w:val="18"/>
                <w:szCs w:val="18"/>
                <w:lang w:val="en-GB"/>
              </w:rPr>
              <w:fldChar w:fldCharType="separate"/>
            </w:r>
            <w:r w:rsidR="00763D2F" w:rsidRPr="00700626">
              <w:rPr>
                <w:rFonts w:ascii="Times New Roman" w:hAnsi="Times New Roman" w:cs="Times New Roman"/>
                <w:sz w:val="18"/>
                <w:szCs w:val="18"/>
                <w:lang w:val="en-GB"/>
              </w:rPr>
              <w:t>[31]</w:t>
            </w:r>
            <w:r w:rsidRPr="00700626">
              <w:rPr>
                <w:rFonts w:ascii="Times New Roman" w:hAnsi="Times New Roman" w:cs="Times New Roman"/>
                <w:sz w:val="18"/>
                <w:szCs w:val="18"/>
                <w:lang w:val="en-GB"/>
              </w:rPr>
              <w:fldChar w:fldCharType="end"/>
            </w:r>
            <w:r w:rsidRPr="00700626">
              <w:rPr>
                <w:rFonts w:ascii="Times New Roman" w:hAnsi="Times New Roman" w:cs="Times New Roman"/>
                <w:sz w:val="18"/>
                <w:szCs w:val="18"/>
                <w:lang w:val="en-GB"/>
              </w:rPr>
              <w:t xml:space="preserve"> </w:t>
            </w:r>
          </w:p>
        </w:tc>
        <w:tc>
          <w:tcPr>
            <w:tcW w:w="2930" w:type="dxa"/>
            <w:tcMar>
              <w:top w:w="57" w:type="dxa"/>
              <w:bottom w:w="57" w:type="dxa"/>
            </w:tcMar>
          </w:tcPr>
          <w:p w14:paraId="33458E1C" w14:textId="20FF4D80" w:rsidR="009A20C3" w:rsidRPr="00700626" w:rsidRDefault="00BC5EB6" w:rsidP="005C13B8">
            <w:pPr>
              <w:spacing w:before="0" w:after="0" w:line="240" w:lineRule="auto"/>
              <w:jc w:val="left"/>
              <w:rPr>
                <w:rFonts w:ascii="Times New Roman" w:eastAsia="Times New Roman" w:hAnsi="Times New Roman" w:cs="Times New Roman"/>
                <w:sz w:val="18"/>
                <w:szCs w:val="18"/>
                <w:lang w:val="en-GB" w:eastAsia="es-ES_tradnl"/>
              </w:rPr>
            </w:pPr>
            <w:r>
              <w:rPr>
                <w:rFonts w:ascii="Times New Roman" w:eastAsia="Times New Roman" w:hAnsi="Times New Roman" w:cs="Times New Roman"/>
                <w:sz w:val="18"/>
                <w:szCs w:val="18"/>
                <w:lang w:val="en-GB" w:eastAsia="es-ES_tradnl"/>
              </w:rPr>
              <w:t>Included in the s</w:t>
            </w:r>
            <w:r w:rsidR="009A20C3" w:rsidRPr="00700626">
              <w:rPr>
                <w:rFonts w:ascii="Times New Roman" w:eastAsia="Times New Roman" w:hAnsi="Times New Roman" w:cs="Times New Roman"/>
                <w:sz w:val="18"/>
                <w:szCs w:val="18"/>
                <w:lang w:val="en-GB" w:eastAsia="es-ES_tradnl"/>
              </w:rPr>
              <w:t xml:space="preserve">ensitivity analysis (key parameters): (a) Unit cost for tests, visits, transplant, transport, hospitalisation and support therapies; (b) wage and average working hours; (c) discount on drug costs. </w:t>
            </w:r>
          </w:p>
        </w:tc>
      </w:tr>
      <w:tr w:rsidR="00F66ACA" w:rsidRPr="00910732" w14:paraId="0B9C02B5" w14:textId="77777777" w:rsidTr="00F66ACA">
        <w:tc>
          <w:tcPr>
            <w:tcW w:w="1286" w:type="dxa"/>
          </w:tcPr>
          <w:p w14:paraId="0517632A" w14:textId="5F078B56" w:rsidR="009A20C3" w:rsidRPr="00700626" w:rsidRDefault="00700626"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DHC</w:t>
            </w:r>
          </w:p>
        </w:tc>
        <w:tc>
          <w:tcPr>
            <w:tcW w:w="4180" w:type="dxa"/>
            <w:tcMar>
              <w:top w:w="57" w:type="dxa"/>
              <w:bottom w:w="57" w:type="dxa"/>
            </w:tcMar>
          </w:tcPr>
          <w:p w14:paraId="6D43E7F2"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For emergency visits, we assumed that 40% were to general emergency services, whilst 60% were unscheduled visits to the referral centre.</w:t>
            </w:r>
          </w:p>
        </w:tc>
        <w:tc>
          <w:tcPr>
            <w:tcW w:w="2377" w:type="dxa"/>
            <w:tcMar>
              <w:top w:w="57" w:type="dxa"/>
              <w:bottom w:w="57" w:type="dxa"/>
            </w:tcMar>
          </w:tcPr>
          <w:p w14:paraId="612616C3"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Experts Committee</w:t>
            </w:r>
          </w:p>
        </w:tc>
        <w:tc>
          <w:tcPr>
            <w:tcW w:w="2930" w:type="dxa"/>
            <w:tcMar>
              <w:top w:w="57" w:type="dxa"/>
              <w:bottom w:w="57" w:type="dxa"/>
            </w:tcMar>
          </w:tcPr>
          <w:p w14:paraId="0D442DC1" w14:textId="7B0116EE" w:rsidR="009A20C3" w:rsidRPr="00700626" w:rsidRDefault="00BC5EB6" w:rsidP="005C13B8">
            <w:pPr>
              <w:spacing w:before="0" w:after="0" w:line="240" w:lineRule="auto"/>
              <w:jc w:val="left"/>
              <w:rPr>
                <w:rFonts w:ascii="Times New Roman" w:eastAsia="Times New Roman" w:hAnsi="Times New Roman" w:cs="Times New Roman"/>
                <w:sz w:val="18"/>
                <w:szCs w:val="18"/>
                <w:lang w:val="en-GB" w:eastAsia="es-ES_tradnl"/>
              </w:rPr>
            </w:pPr>
            <w:r>
              <w:rPr>
                <w:rFonts w:ascii="Times New Roman" w:eastAsia="Times New Roman" w:hAnsi="Times New Roman" w:cs="Times New Roman"/>
                <w:sz w:val="18"/>
                <w:szCs w:val="18"/>
                <w:lang w:val="en-GB" w:eastAsia="es-ES_tradnl"/>
              </w:rPr>
              <w:t>Included in the s</w:t>
            </w:r>
            <w:r w:rsidR="009A20C3" w:rsidRPr="00700626">
              <w:rPr>
                <w:rFonts w:ascii="Times New Roman" w:eastAsia="Times New Roman" w:hAnsi="Times New Roman" w:cs="Times New Roman"/>
                <w:sz w:val="18"/>
                <w:szCs w:val="18"/>
                <w:lang w:val="en-GB" w:eastAsia="es-ES_tradnl"/>
              </w:rPr>
              <w:t>ensitivity analysis (experts’ opinion)</w:t>
            </w:r>
          </w:p>
        </w:tc>
      </w:tr>
      <w:tr w:rsidR="00F66ACA" w:rsidRPr="00700626" w14:paraId="22DF452B" w14:textId="77777777" w:rsidTr="00F66ACA">
        <w:tc>
          <w:tcPr>
            <w:tcW w:w="1286" w:type="dxa"/>
          </w:tcPr>
          <w:p w14:paraId="7B209911"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DHC</w:t>
            </w:r>
          </w:p>
        </w:tc>
        <w:tc>
          <w:tcPr>
            <w:tcW w:w="4180" w:type="dxa"/>
            <w:tcMar>
              <w:top w:w="57" w:type="dxa"/>
              <w:bottom w:w="57" w:type="dxa"/>
            </w:tcMar>
          </w:tcPr>
          <w:p w14:paraId="2C9D0DAC"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Tests required at diagnosis (types and frequency)</w:t>
            </w:r>
          </w:p>
        </w:tc>
        <w:tc>
          <w:tcPr>
            <w:tcW w:w="2377" w:type="dxa"/>
            <w:tcMar>
              <w:top w:w="57" w:type="dxa"/>
              <w:bottom w:w="57" w:type="dxa"/>
            </w:tcMar>
          </w:tcPr>
          <w:p w14:paraId="202259ED" w14:textId="61565ACA"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hAnsi="Times New Roman" w:cs="Times New Roman"/>
                <w:sz w:val="18"/>
                <w:szCs w:val="18"/>
                <w:lang w:val="en-GB"/>
              </w:rPr>
              <w:t xml:space="preserve">Guidelines for the diagnosis and treatment of pulmonary hypertension published by the European Society of Cardiology (ESC) and the European Respiratory Society (ERS) </w:t>
            </w:r>
            <w:r w:rsidRPr="00700626">
              <w:rPr>
                <w:rFonts w:ascii="Times New Roman" w:hAnsi="Times New Roman" w:cs="Times New Roman"/>
                <w:sz w:val="18"/>
                <w:szCs w:val="18"/>
                <w:lang w:val="en-GB"/>
              </w:rPr>
              <w:fldChar w:fldCharType="begin"/>
            </w:r>
            <w:r w:rsidR="00763D2F" w:rsidRPr="00700626">
              <w:rPr>
                <w:rFonts w:ascii="Times New Roman" w:hAnsi="Times New Roman" w:cs="Times New Roman"/>
                <w:sz w:val="18"/>
                <w:szCs w:val="18"/>
                <w:lang w:val="en-GB"/>
              </w:rPr>
              <w:instrText xml:space="preserve"> ADDIN ZOTERO_ITEM CSL_CITATION {"citationID":"nLkRKO0A","properties":{"formattedCitation":"[32]","plainCitation":"[32]","noteIndex":0},"citationItems":[{"id":51586,"uris":["http://zotero.org/groups/2639534/items/H8UNUSMC"],"uri":["http://zotero.org/groups/2639534/items/H8UNUSMC"],"itemData":{"id":51586,"type":"article-journal","abstract":"Guidelines summarize and evaluate all available evidence on a particular issue at the time of the writing process, with the aim of assisting health professionals in selecting the best management strategies for an individual patient with a given condition, taking into account the impact on outcome, as well as the risk-benefit ratio of particular diagnostic or therapeutic means. Guidelines and recommendations should help health professionals to make decisions in their daily practice. However, the final decisions concerning an individual patient must be made by the responsible health professional(s) in consultation with the patient and caregiver as appropriate.","container-title":"The European Respiratory Journal","DOI":"10.1183/13993003.01032-2015","ISSN":"1399-3003","issue":"4","journalAbbreviation":"Eur Respir J","language":"eng","note":"PMID: 26318161","page":"903-975","source":"PubMed","title":"ESC/ERS Guidelines for the diagnosis and treatment of pulmonary hypertension: The Joint Task Force for the Diagnosis and Treatment of Pulmonary Hypertension of the European Society of Cardiology (ESC) and the European Respiratory Society (ERS): Endorsed by: Association for European Paediatric and Congenital Cardiology (AEPC), International Society for Heart and Lung Transplantation (ISHLT)","title-short":"ESC/ERS Guidelines for the diagnosis and treatment of pulmonary hypertension","volume":"46","author":[{"family":"Galiè","given":"Nazzareno"},{"family":"Humbert","given":"Marc"},{"family":"Vachiery","given":"Jean-Luc"},{"family":"Gibbs","given":"Simon"},{"family":"Lang","given":"Irene"},{"family":"Torbicki","given":"Adam"},{"family":"Simonneau","given":"Gérald"},{"family":"Peacock","given":"Andrew"},{"family":"Vonk Noordegraaf","given":"Anton"},{"family":"Beghetti","given":"Maurice"},{"family":"Ghofrani","given":"Ardeschir"},{"family":"Gomez Sanchez","given":"Miguel Angel"},{"family":"Hansmann","given":"Georg"},{"family":"Klepetko","given":"Walter"},{"family":"Lancellotti","given":"Patrizio"},{"family":"Matucci","given":"Marco"},{"family":"McDonagh","given":"Theresa"},{"family":"Pierard","given":"Luc A."},{"family":"Trindade","given":"Pedro T."},{"family":"Zompatori","given":"Maurizio"},{"family":"Hoeper","given":"Marius"}],"issued":{"date-parts":[["2015"]]}}}],"schema":"https://github.com/citation-style-language/schema/raw/master/csl-citation.json"} </w:instrText>
            </w:r>
            <w:r w:rsidRPr="00700626">
              <w:rPr>
                <w:rFonts w:ascii="Times New Roman" w:hAnsi="Times New Roman" w:cs="Times New Roman"/>
                <w:sz w:val="18"/>
                <w:szCs w:val="18"/>
                <w:lang w:val="en-GB"/>
              </w:rPr>
              <w:fldChar w:fldCharType="separate"/>
            </w:r>
            <w:r w:rsidR="00763D2F" w:rsidRPr="00700626">
              <w:rPr>
                <w:rFonts w:ascii="Times New Roman" w:hAnsi="Times New Roman" w:cs="Times New Roman"/>
                <w:sz w:val="18"/>
                <w:szCs w:val="18"/>
                <w:lang w:val="en-GB"/>
              </w:rPr>
              <w:t>[32]</w:t>
            </w:r>
            <w:r w:rsidRPr="00700626">
              <w:rPr>
                <w:rFonts w:ascii="Times New Roman" w:hAnsi="Times New Roman" w:cs="Times New Roman"/>
                <w:sz w:val="18"/>
                <w:szCs w:val="18"/>
                <w:lang w:val="en-GB"/>
              </w:rPr>
              <w:fldChar w:fldCharType="end"/>
            </w:r>
          </w:p>
        </w:tc>
        <w:tc>
          <w:tcPr>
            <w:tcW w:w="2930" w:type="dxa"/>
            <w:tcMar>
              <w:top w:w="57" w:type="dxa"/>
              <w:bottom w:w="57" w:type="dxa"/>
            </w:tcMar>
          </w:tcPr>
          <w:p w14:paraId="60E095CA" w14:textId="7F01FAAD" w:rsidR="009A20C3" w:rsidRPr="00700626" w:rsidRDefault="00A53EEB" w:rsidP="005C13B8">
            <w:pPr>
              <w:spacing w:before="0" w:after="0" w:line="240" w:lineRule="auto"/>
              <w:jc w:val="left"/>
              <w:rPr>
                <w:rFonts w:ascii="Times New Roman" w:eastAsia="Times New Roman" w:hAnsi="Times New Roman" w:cs="Times New Roman"/>
                <w:sz w:val="18"/>
                <w:szCs w:val="18"/>
                <w:lang w:val="en-GB" w:eastAsia="es-ES_tradnl"/>
              </w:rPr>
            </w:pPr>
            <w:r>
              <w:rPr>
                <w:rFonts w:ascii="Times New Roman" w:eastAsia="Times New Roman" w:hAnsi="Times New Roman" w:cs="Times New Roman"/>
                <w:sz w:val="18"/>
                <w:szCs w:val="18"/>
                <w:lang w:val="en-GB" w:eastAsia="es-ES_tradnl"/>
              </w:rPr>
              <w:t>Not included</w:t>
            </w:r>
          </w:p>
        </w:tc>
      </w:tr>
      <w:tr w:rsidR="00D066C2" w:rsidRPr="00910732" w14:paraId="39353E6A" w14:textId="77777777" w:rsidTr="00F66ACA">
        <w:tc>
          <w:tcPr>
            <w:tcW w:w="1286" w:type="dxa"/>
          </w:tcPr>
          <w:p w14:paraId="6A6D53D7"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DHC</w:t>
            </w:r>
          </w:p>
        </w:tc>
        <w:tc>
          <w:tcPr>
            <w:tcW w:w="4180" w:type="dxa"/>
            <w:tcMar>
              <w:top w:w="57" w:type="dxa"/>
              <w:bottom w:w="57" w:type="dxa"/>
            </w:tcMar>
          </w:tcPr>
          <w:p w14:paraId="7F365B68"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Mean annual consumption of electrocardiogram, chest x-ray, biochemistry tests required at diagnosis per incident and prevalent patient</w:t>
            </w:r>
          </w:p>
          <w:p w14:paraId="635DB218"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p>
          <w:p w14:paraId="1C8632BD"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Mean annual consumption of CT angiogram required for patient management</w:t>
            </w:r>
          </w:p>
        </w:tc>
        <w:tc>
          <w:tcPr>
            <w:tcW w:w="2377" w:type="dxa"/>
            <w:tcMar>
              <w:top w:w="57" w:type="dxa"/>
              <w:bottom w:w="57" w:type="dxa"/>
            </w:tcMar>
          </w:tcPr>
          <w:p w14:paraId="63554557"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Experts Committee</w:t>
            </w:r>
          </w:p>
        </w:tc>
        <w:tc>
          <w:tcPr>
            <w:tcW w:w="2930" w:type="dxa"/>
            <w:tcMar>
              <w:top w:w="57" w:type="dxa"/>
              <w:bottom w:w="57" w:type="dxa"/>
            </w:tcMar>
          </w:tcPr>
          <w:p w14:paraId="5951FBC9" w14:textId="6E943B3C" w:rsidR="009A20C3" w:rsidRPr="00700626" w:rsidRDefault="00A53EEB" w:rsidP="005C13B8">
            <w:pPr>
              <w:spacing w:before="0" w:after="0" w:line="240" w:lineRule="auto"/>
              <w:jc w:val="left"/>
              <w:rPr>
                <w:rFonts w:ascii="Times New Roman" w:eastAsia="Times New Roman" w:hAnsi="Times New Roman" w:cs="Times New Roman"/>
                <w:sz w:val="18"/>
                <w:szCs w:val="18"/>
                <w:lang w:val="en-GB" w:eastAsia="es-ES_tradnl"/>
              </w:rPr>
            </w:pPr>
            <w:r>
              <w:rPr>
                <w:rFonts w:ascii="Times New Roman" w:eastAsia="Times New Roman" w:hAnsi="Times New Roman" w:cs="Times New Roman"/>
                <w:sz w:val="18"/>
                <w:szCs w:val="18"/>
                <w:lang w:val="en-GB" w:eastAsia="es-ES_tradnl"/>
              </w:rPr>
              <w:t>Included in the s</w:t>
            </w:r>
            <w:r w:rsidR="009A20C3" w:rsidRPr="00700626">
              <w:rPr>
                <w:rFonts w:ascii="Times New Roman" w:eastAsia="Times New Roman" w:hAnsi="Times New Roman" w:cs="Times New Roman"/>
                <w:sz w:val="18"/>
                <w:szCs w:val="18"/>
                <w:lang w:val="en-GB" w:eastAsia="es-ES_tradnl"/>
              </w:rPr>
              <w:t>ensitivity analysis (experts’ opinion)</w:t>
            </w:r>
          </w:p>
        </w:tc>
      </w:tr>
      <w:tr w:rsidR="00D066C2" w:rsidRPr="00910732" w14:paraId="709C1683" w14:textId="77777777" w:rsidTr="00F66ACA">
        <w:tc>
          <w:tcPr>
            <w:tcW w:w="1286" w:type="dxa"/>
          </w:tcPr>
          <w:p w14:paraId="4AA82DAB"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DHC</w:t>
            </w:r>
          </w:p>
        </w:tc>
        <w:tc>
          <w:tcPr>
            <w:tcW w:w="4180" w:type="dxa"/>
            <w:tcMar>
              <w:top w:w="57" w:type="dxa"/>
              <w:bottom w:w="57" w:type="dxa"/>
            </w:tcMar>
          </w:tcPr>
          <w:p w14:paraId="30ECC5B3"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Number of visits, diagnostics</w:t>
            </w:r>
          </w:p>
        </w:tc>
        <w:tc>
          <w:tcPr>
            <w:tcW w:w="2377" w:type="dxa"/>
            <w:tcMar>
              <w:top w:w="57" w:type="dxa"/>
              <w:bottom w:w="57" w:type="dxa"/>
            </w:tcMar>
          </w:tcPr>
          <w:p w14:paraId="06692FEF"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 xml:space="preserve">Experts Committee </w:t>
            </w:r>
          </w:p>
        </w:tc>
        <w:tc>
          <w:tcPr>
            <w:tcW w:w="2930" w:type="dxa"/>
            <w:tcMar>
              <w:top w:w="57" w:type="dxa"/>
              <w:bottom w:w="57" w:type="dxa"/>
            </w:tcMar>
          </w:tcPr>
          <w:p w14:paraId="0C609761" w14:textId="76625289" w:rsidR="009A20C3" w:rsidRPr="00700626" w:rsidRDefault="00D066C2" w:rsidP="005C13B8">
            <w:pPr>
              <w:spacing w:before="0" w:after="0" w:line="240" w:lineRule="auto"/>
              <w:jc w:val="left"/>
              <w:rPr>
                <w:rFonts w:ascii="Times New Roman" w:eastAsia="Times New Roman" w:hAnsi="Times New Roman" w:cs="Times New Roman"/>
                <w:sz w:val="18"/>
                <w:szCs w:val="18"/>
                <w:lang w:val="en-GB" w:eastAsia="es-ES_tradnl"/>
              </w:rPr>
            </w:pPr>
            <w:r>
              <w:rPr>
                <w:rFonts w:ascii="Times New Roman" w:eastAsia="Times New Roman" w:hAnsi="Times New Roman" w:cs="Times New Roman"/>
                <w:sz w:val="18"/>
                <w:szCs w:val="18"/>
                <w:lang w:val="en-GB" w:eastAsia="es-ES_tradnl"/>
              </w:rPr>
              <w:t>Included in the s</w:t>
            </w:r>
            <w:r w:rsidR="009A20C3" w:rsidRPr="00700626">
              <w:rPr>
                <w:rFonts w:ascii="Times New Roman" w:eastAsia="Times New Roman" w:hAnsi="Times New Roman" w:cs="Times New Roman"/>
                <w:sz w:val="18"/>
                <w:szCs w:val="18"/>
                <w:lang w:val="en-GB" w:eastAsia="es-ES_tradnl"/>
              </w:rPr>
              <w:t>ensitivity analysis (experts’ opinion)</w:t>
            </w:r>
          </w:p>
        </w:tc>
      </w:tr>
      <w:tr w:rsidR="00F66ACA" w:rsidRPr="00700626" w14:paraId="54DEBF53" w14:textId="77777777" w:rsidTr="00F66ACA">
        <w:tc>
          <w:tcPr>
            <w:tcW w:w="1286" w:type="dxa"/>
          </w:tcPr>
          <w:p w14:paraId="2F189B39"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DHC</w:t>
            </w:r>
          </w:p>
        </w:tc>
        <w:tc>
          <w:tcPr>
            <w:tcW w:w="4180" w:type="dxa"/>
            <w:tcMar>
              <w:top w:w="57" w:type="dxa"/>
              <w:bottom w:w="57" w:type="dxa"/>
            </w:tcMar>
          </w:tcPr>
          <w:p w14:paraId="5E07A875"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Mean number of hospitalisation days</w:t>
            </w:r>
          </w:p>
        </w:tc>
        <w:tc>
          <w:tcPr>
            <w:tcW w:w="2377" w:type="dxa"/>
            <w:tcMar>
              <w:top w:w="57" w:type="dxa"/>
              <w:bottom w:w="57" w:type="dxa"/>
            </w:tcMar>
          </w:tcPr>
          <w:p w14:paraId="66D666AB" w14:textId="3FDE2512"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 xml:space="preserve">Literature </w:t>
            </w:r>
            <w:r w:rsidRPr="00700626">
              <w:rPr>
                <w:rFonts w:ascii="Times New Roman" w:hAnsi="Times New Roman" w:cs="Times New Roman"/>
                <w:sz w:val="18"/>
                <w:szCs w:val="18"/>
                <w:lang w:val="en-GB"/>
              </w:rPr>
              <w:fldChar w:fldCharType="begin"/>
            </w:r>
            <w:r w:rsidR="00763D2F" w:rsidRPr="00700626">
              <w:rPr>
                <w:rFonts w:ascii="Times New Roman" w:hAnsi="Times New Roman" w:cs="Times New Roman"/>
                <w:sz w:val="18"/>
                <w:szCs w:val="18"/>
                <w:lang w:val="en-GB"/>
              </w:rPr>
              <w:instrText xml:space="preserve"> ADDIN ZOTERO_ITEM CSL_CITATION {"citationID":"mTZOFMju","properties":{"formattedCitation":"[33]","plainCitation":"[33]","noteIndex":0},"citationItems":[{"id":51618,"uris":["http://zotero.org/groups/2639534/items/SMBM8XNM"],"uri":["http://zotero.org/groups/2639534/items/SMBM8XNM"],"itemData":{"id":51618,"type":"article-journal","abstract":"BACKGROUND AND AIMS: Pulmonary arterial hypertension (PAH) is a rare medical disease in which patients experience increased pulmonary vascular resistance (PVR) and pulmonary arterial pressure that can result in remodeling of the pulmonary vasculature and heart, and eventually lead to right heart failure and death. As PAH progresses, patients become unable to perform even routine daily tasks without severe shortness of breath (dyspnea), fatigue, dizziness, and fainting (syncope). Treatment strategies largely depend on assessment of an individual patient's WHO Functional Class. The aim of the present study was to determine whether PAH functional decline, as described by the WHO Functional class (FC), is associated with increased healthcare costs for patients.\nMETHODS: Patients with a prescription for a FDA-approved treatment for PAH and a medical claim indicating chronic pulmonary heart disease or right heart catheterization were identified from an administrative claims database. Provider-reported data from prior authorization forms required for advanced PAH therapies and medical charts were examined for reported FC. Healthcare resource utilization and costs were the primary outcomes of interest. Costs were accounted in 2014 US dollars ($) from a healthcare payer perspective.\nRESULTS: Patients with a reported FC-IV were observed to have the worst outcomes; averaging significantly more inpatient admissions, longer average lengths of stay, and more emergency department visits than the other FC sub-groups, resulting in higher medical costs.\nCONCLUSIONS: Using administrative data to document disease severity, this study replicates and expands on findings obtained from the registry study; disease severity was associated with higher healthcare resource utilization and costs. Stakeholders' implications for patient management are discussed.","container-title":"Journal of Medical Economics","DOI":"10.1080/13696998.2017.1363049","ISSN":"1941-837X","issue":"11","journalAbbreviation":"J Med Econ","language":"eng","note":"PMID: 28762848","page":"1178-1186","source":"PubMed","title":"Healthcare resource utilization and costs for patients with pulmonary arterial hypertension: real-world documentation of functional class","title-short":"Healthcare resource utilization and costs for patients with pulmonary arterial hypertension","volume":"20","author":[{"family":"Dufour","given":"Robert"},{"family":"Pruett","given":"Janis"},{"family":"Hu","given":"Nan"},{"family":"Lickert","given":"Cassandra"},{"family":"Stemkowski","given":"Stephen"},{"family":"Tsang","given":"Yuen"},{"family":"Lane","given":"Daniel"},{"family":"Drake","given":"William"}],"issued":{"date-parts":[["2017",11]]}}}],"schema":"https://github.com/citation-style-language/schema/raw/master/csl-citation.json"} </w:instrText>
            </w:r>
            <w:r w:rsidRPr="00700626">
              <w:rPr>
                <w:rFonts w:ascii="Times New Roman" w:hAnsi="Times New Roman" w:cs="Times New Roman"/>
                <w:sz w:val="18"/>
                <w:szCs w:val="18"/>
                <w:lang w:val="en-GB"/>
              </w:rPr>
              <w:fldChar w:fldCharType="separate"/>
            </w:r>
            <w:r w:rsidR="00763D2F" w:rsidRPr="00700626">
              <w:rPr>
                <w:rFonts w:ascii="Times New Roman" w:hAnsi="Times New Roman" w:cs="Times New Roman"/>
                <w:sz w:val="18"/>
                <w:szCs w:val="18"/>
                <w:lang w:val="en-GB"/>
              </w:rPr>
              <w:t>[33]</w:t>
            </w:r>
            <w:r w:rsidRPr="00700626">
              <w:rPr>
                <w:rFonts w:ascii="Times New Roman" w:hAnsi="Times New Roman" w:cs="Times New Roman"/>
                <w:sz w:val="18"/>
                <w:szCs w:val="18"/>
                <w:lang w:val="en-GB"/>
              </w:rPr>
              <w:fldChar w:fldCharType="end"/>
            </w:r>
          </w:p>
        </w:tc>
        <w:tc>
          <w:tcPr>
            <w:tcW w:w="2930" w:type="dxa"/>
            <w:tcMar>
              <w:top w:w="57" w:type="dxa"/>
              <w:bottom w:w="57" w:type="dxa"/>
            </w:tcMar>
          </w:tcPr>
          <w:p w14:paraId="4A2DA9FA" w14:textId="4B99B194" w:rsidR="009A20C3" w:rsidRPr="00700626" w:rsidRDefault="00D066C2" w:rsidP="005C13B8">
            <w:pPr>
              <w:spacing w:before="0" w:after="0" w:line="240" w:lineRule="auto"/>
              <w:jc w:val="left"/>
              <w:rPr>
                <w:rFonts w:ascii="Times New Roman" w:eastAsia="Times New Roman" w:hAnsi="Times New Roman" w:cs="Times New Roman"/>
                <w:sz w:val="18"/>
                <w:szCs w:val="18"/>
                <w:lang w:val="en-GB" w:eastAsia="es-ES_tradnl"/>
              </w:rPr>
            </w:pPr>
            <w:r>
              <w:rPr>
                <w:rFonts w:ascii="Times New Roman" w:eastAsia="Times New Roman" w:hAnsi="Times New Roman" w:cs="Times New Roman"/>
                <w:sz w:val="18"/>
                <w:szCs w:val="18"/>
                <w:lang w:val="en-GB" w:eastAsia="es-ES_tradnl"/>
              </w:rPr>
              <w:t>Not included</w:t>
            </w:r>
          </w:p>
        </w:tc>
      </w:tr>
      <w:tr w:rsidR="00F66ACA" w:rsidRPr="00700626" w14:paraId="5C7FDC8F" w14:textId="77777777" w:rsidTr="00F66ACA">
        <w:tc>
          <w:tcPr>
            <w:tcW w:w="1286" w:type="dxa"/>
          </w:tcPr>
          <w:p w14:paraId="005EB563"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DHC</w:t>
            </w:r>
          </w:p>
        </w:tc>
        <w:tc>
          <w:tcPr>
            <w:tcW w:w="4180" w:type="dxa"/>
            <w:tcMar>
              <w:top w:w="57" w:type="dxa"/>
              <w:bottom w:w="57" w:type="dxa"/>
            </w:tcMar>
          </w:tcPr>
          <w:p w14:paraId="4C614F76" w14:textId="41B46C0A"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As data on number of hospitalization days in FC I-II was aggregated in the original source, we assumed a distribution of 10% of patients in FC I and 90% in FC II</w:t>
            </w:r>
            <w:r w:rsidR="00D066C2">
              <w:rPr>
                <w:rFonts w:ascii="Times New Roman" w:eastAsia="Times New Roman" w:hAnsi="Times New Roman" w:cs="Times New Roman"/>
                <w:sz w:val="18"/>
                <w:szCs w:val="18"/>
                <w:lang w:val="en-GB" w:eastAsia="es-ES_tradnl"/>
              </w:rPr>
              <w:t xml:space="preserve"> in order for its aggregation</w:t>
            </w:r>
          </w:p>
        </w:tc>
        <w:tc>
          <w:tcPr>
            <w:tcW w:w="2377" w:type="dxa"/>
            <w:tcMar>
              <w:top w:w="57" w:type="dxa"/>
              <w:bottom w:w="57" w:type="dxa"/>
            </w:tcMar>
          </w:tcPr>
          <w:p w14:paraId="4C323A0F"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Experts Committee</w:t>
            </w:r>
          </w:p>
        </w:tc>
        <w:tc>
          <w:tcPr>
            <w:tcW w:w="2930" w:type="dxa"/>
            <w:tcMar>
              <w:top w:w="57" w:type="dxa"/>
              <w:bottom w:w="57" w:type="dxa"/>
            </w:tcMar>
          </w:tcPr>
          <w:p w14:paraId="3DEA31A8" w14:textId="7A947F53" w:rsidR="009A20C3" w:rsidRPr="00700626" w:rsidRDefault="00D066C2" w:rsidP="005C13B8">
            <w:pPr>
              <w:spacing w:before="0" w:after="0" w:line="240" w:lineRule="auto"/>
              <w:jc w:val="left"/>
              <w:rPr>
                <w:rFonts w:ascii="Times New Roman" w:eastAsia="Times New Roman" w:hAnsi="Times New Roman" w:cs="Times New Roman"/>
                <w:sz w:val="18"/>
                <w:szCs w:val="18"/>
                <w:lang w:val="en-GB" w:eastAsia="es-ES_tradnl"/>
              </w:rPr>
            </w:pPr>
            <w:r>
              <w:rPr>
                <w:rFonts w:ascii="Times New Roman" w:eastAsia="Times New Roman" w:hAnsi="Times New Roman" w:cs="Times New Roman"/>
                <w:sz w:val="18"/>
                <w:szCs w:val="18"/>
                <w:lang w:val="en-GB" w:eastAsia="es-ES_tradnl"/>
              </w:rPr>
              <w:t>Included in the s</w:t>
            </w:r>
            <w:r w:rsidR="009A20C3" w:rsidRPr="00700626">
              <w:rPr>
                <w:rFonts w:ascii="Times New Roman" w:eastAsia="Times New Roman" w:hAnsi="Times New Roman" w:cs="Times New Roman"/>
                <w:sz w:val="18"/>
                <w:szCs w:val="18"/>
                <w:lang w:val="en-GB" w:eastAsia="es-ES_tradnl"/>
              </w:rPr>
              <w:t>ensitivity analysis (experts’ opinion)</w:t>
            </w:r>
          </w:p>
        </w:tc>
      </w:tr>
      <w:tr w:rsidR="00F66ACA" w:rsidRPr="00700626" w14:paraId="4E332F9A" w14:textId="77777777" w:rsidTr="00F66ACA">
        <w:tc>
          <w:tcPr>
            <w:tcW w:w="1286" w:type="dxa"/>
          </w:tcPr>
          <w:p w14:paraId="303D54AF"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lastRenderedPageBreak/>
              <w:t>DHC</w:t>
            </w:r>
          </w:p>
        </w:tc>
        <w:tc>
          <w:tcPr>
            <w:tcW w:w="4180" w:type="dxa"/>
            <w:tcMar>
              <w:top w:w="57" w:type="dxa"/>
              <w:bottom w:w="57" w:type="dxa"/>
            </w:tcMar>
          </w:tcPr>
          <w:p w14:paraId="3BE68548"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Resource use related to transplants (number of transplants PAH year 2020)</w:t>
            </w:r>
          </w:p>
        </w:tc>
        <w:tc>
          <w:tcPr>
            <w:tcW w:w="2377" w:type="dxa"/>
            <w:tcMar>
              <w:top w:w="57" w:type="dxa"/>
              <w:bottom w:w="57" w:type="dxa"/>
            </w:tcMar>
          </w:tcPr>
          <w:p w14:paraId="1593EE7B" w14:textId="5041401A" w:rsidR="009A20C3" w:rsidRPr="00BF2C9E" w:rsidRDefault="009A20C3" w:rsidP="005C13B8">
            <w:pPr>
              <w:spacing w:before="0" w:after="0" w:line="240" w:lineRule="auto"/>
              <w:jc w:val="left"/>
              <w:rPr>
                <w:rFonts w:ascii="Times New Roman" w:eastAsia="Times New Roman" w:hAnsi="Times New Roman" w:cs="Times New Roman"/>
                <w:sz w:val="18"/>
                <w:szCs w:val="18"/>
                <w:lang w:eastAsia="es-ES_tradnl"/>
              </w:rPr>
            </w:pPr>
            <w:r w:rsidRPr="00BF2C9E">
              <w:rPr>
                <w:rFonts w:ascii="Times New Roman" w:eastAsia="Times New Roman" w:hAnsi="Times New Roman" w:cs="Times New Roman"/>
                <w:sz w:val="18"/>
                <w:szCs w:val="18"/>
                <w:lang w:eastAsia="es-ES_tradnl"/>
              </w:rPr>
              <w:t xml:space="preserve">Organización Nacional de Transplantes (National Transplant Organisation, ONT) </w:t>
            </w:r>
            <w:r w:rsidRPr="00700626">
              <w:rPr>
                <w:rFonts w:ascii="Times New Roman" w:hAnsi="Times New Roman" w:cs="Times New Roman"/>
                <w:sz w:val="18"/>
                <w:szCs w:val="18"/>
                <w:lang w:val="en-GB"/>
              </w:rPr>
              <w:fldChar w:fldCharType="begin"/>
            </w:r>
            <w:r w:rsidR="00763D2F" w:rsidRPr="00BF2C9E">
              <w:rPr>
                <w:rFonts w:ascii="Times New Roman" w:hAnsi="Times New Roman" w:cs="Times New Roman"/>
                <w:sz w:val="18"/>
                <w:szCs w:val="18"/>
              </w:rPr>
              <w:instrText xml:space="preserve"> ADDIN ZOTERO_ITEM CSL_CITATION {"citationID":"7T8l4qJ9","properties":{"formattedCitation":"[34]","plainCitation":"[34]","noteIndex":0},"citationItems":[{"id":57343,"uris":["http://zotero.org/groups/2639534/items/V4X7UE73"],"uri":["http://zotero.org/groups/2639534/items/V4X7UE73"],"itemData":{"id":57343,"type":"article","title":"Organización Nacional de Trasplantes - ONT, Memoria actividad donación y trasplante pulmonar. España 2020","URL":"http://www.ont.es/infesp/Memorias/ACTIVIDAD%20DE%20DONACI%C3%93N%20Y%20TRASPLANTE%20PULMONAR%20ESPA%C3%91A.pdf","accessed":{"date-parts":[["2021",6,21]]}}}],"schema":"https://github.com/citation-style-language/schema/raw/master/csl-citation.json"} </w:instrText>
            </w:r>
            <w:r w:rsidRPr="00700626">
              <w:rPr>
                <w:rFonts w:ascii="Times New Roman" w:hAnsi="Times New Roman" w:cs="Times New Roman"/>
                <w:sz w:val="18"/>
                <w:szCs w:val="18"/>
                <w:lang w:val="en-GB"/>
              </w:rPr>
              <w:fldChar w:fldCharType="separate"/>
            </w:r>
            <w:r w:rsidR="00763D2F" w:rsidRPr="00BF2C9E">
              <w:rPr>
                <w:rFonts w:ascii="Times New Roman" w:hAnsi="Times New Roman" w:cs="Times New Roman"/>
                <w:sz w:val="18"/>
                <w:szCs w:val="18"/>
              </w:rPr>
              <w:t>[34]</w:t>
            </w:r>
            <w:r w:rsidRPr="00700626">
              <w:rPr>
                <w:rFonts w:ascii="Times New Roman" w:hAnsi="Times New Roman" w:cs="Times New Roman"/>
                <w:sz w:val="18"/>
                <w:szCs w:val="18"/>
                <w:lang w:val="en-GB"/>
              </w:rPr>
              <w:fldChar w:fldCharType="end"/>
            </w:r>
          </w:p>
        </w:tc>
        <w:tc>
          <w:tcPr>
            <w:tcW w:w="2930" w:type="dxa"/>
            <w:tcMar>
              <w:top w:w="57" w:type="dxa"/>
              <w:bottom w:w="57" w:type="dxa"/>
            </w:tcMar>
          </w:tcPr>
          <w:p w14:paraId="6730978F" w14:textId="20B59753" w:rsidR="009A20C3" w:rsidRPr="00700626" w:rsidRDefault="00942E72" w:rsidP="005C13B8">
            <w:pPr>
              <w:spacing w:before="0" w:after="0" w:line="240" w:lineRule="auto"/>
              <w:jc w:val="left"/>
              <w:rPr>
                <w:rFonts w:ascii="Times New Roman" w:eastAsia="Times New Roman" w:hAnsi="Times New Roman" w:cs="Times New Roman"/>
                <w:sz w:val="18"/>
                <w:szCs w:val="18"/>
                <w:lang w:val="en-GB" w:eastAsia="es-ES_tradnl"/>
              </w:rPr>
            </w:pPr>
            <w:r>
              <w:rPr>
                <w:rFonts w:ascii="Times New Roman" w:eastAsia="Times New Roman" w:hAnsi="Times New Roman" w:cs="Times New Roman"/>
                <w:sz w:val="18"/>
                <w:szCs w:val="18"/>
                <w:lang w:val="en-GB" w:eastAsia="es-ES_tradnl"/>
              </w:rPr>
              <w:t>Not included</w:t>
            </w:r>
          </w:p>
        </w:tc>
      </w:tr>
      <w:tr w:rsidR="00F66ACA" w:rsidRPr="00700626" w14:paraId="1BDA3304" w14:textId="77777777" w:rsidTr="00F66ACA">
        <w:tc>
          <w:tcPr>
            <w:tcW w:w="1286" w:type="dxa"/>
          </w:tcPr>
          <w:p w14:paraId="1CB5FAF1"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DHC</w:t>
            </w:r>
          </w:p>
        </w:tc>
        <w:tc>
          <w:tcPr>
            <w:tcW w:w="4180" w:type="dxa"/>
            <w:tcMar>
              <w:top w:w="57" w:type="dxa"/>
              <w:bottom w:w="57" w:type="dxa"/>
            </w:tcMar>
          </w:tcPr>
          <w:p w14:paraId="0C68BAC8" w14:textId="556353BD"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 xml:space="preserve">We assumed that </w:t>
            </w:r>
            <w:r w:rsidR="009C09F5">
              <w:rPr>
                <w:rFonts w:ascii="Times New Roman" w:eastAsia="Times New Roman" w:hAnsi="Times New Roman" w:cs="Times New Roman"/>
                <w:sz w:val="18"/>
                <w:szCs w:val="18"/>
                <w:lang w:val="en-GB" w:eastAsia="es-ES_tradnl"/>
              </w:rPr>
              <w:t xml:space="preserve">47% of </w:t>
            </w:r>
            <w:r w:rsidRPr="00700626">
              <w:rPr>
                <w:rFonts w:ascii="Times New Roman" w:eastAsia="Times New Roman" w:hAnsi="Times New Roman" w:cs="Times New Roman"/>
                <w:sz w:val="18"/>
                <w:szCs w:val="18"/>
                <w:lang w:val="en-GB" w:eastAsia="es-ES_tradnl"/>
              </w:rPr>
              <w:t xml:space="preserve">transplants were performed in FC </w:t>
            </w:r>
            <w:r w:rsidR="009C09F5">
              <w:rPr>
                <w:rFonts w:ascii="Times New Roman" w:eastAsia="Times New Roman" w:hAnsi="Times New Roman" w:cs="Times New Roman"/>
                <w:sz w:val="18"/>
                <w:szCs w:val="18"/>
                <w:lang w:val="en-GB" w:eastAsia="es-ES_tradnl"/>
              </w:rPr>
              <w:t>III patients, and the remaining, in FC IV</w:t>
            </w:r>
          </w:p>
        </w:tc>
        <w:tc>
          <w:tcPr>
            <w:tcW w:w="2377" w:type="dxa"/>
            <w:tcMar>
              <w:top w:w="57" w:type="dxa"/>
              <w:bottom w:w="57" w:type="dxa"/>
            </w:tcMar>
          </w:tcPr>
          <w:p w14:paraId="28D24C38" w14:textId="424EFA93"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 xml:space="preserve">Literature </w:t>
            </w:r>
            <w:r w:rsidRPr="00700626">
              <w:rPr>
                <w:rFonts w:ascii="Times New Roman" w:eastAsia="Times New Roman" w:hAnsi="Times New Roman" w:cs="Times New Roman"/>
                <w:sz w:val="18"/>
                <w:szCs w:val="18"/>
                <w:lang w:val="en-GB" w:eastAsia="es-ES_tradnl"/>
              </w:rPr>
              <w:fldChar w:fldCharType="begin"/>
            </w:r>
            <w:r w:rsidR="00763D2F" w:rsidRPr="00700626">
              <w:rPr>
                <w:rFonts w:ascii="Times New Roman" w:eastAsia="Times New Roman" w:hAnsi="Times New Roman" w:cs="Times New Roman"/>
                <w:sz w:val="18"/>
                <w:szCs w:val="18"/>
                <w:lang w:val="en-GB" w:eastAsia="es-ES_tradnl"/>
              </w:rPr>
              <w:instrText xml:space="preserve"> ADDIN ZOTERO_ITEM CSL_CITATION {"citationID":"LFOwgoLd","properties":{"formattedCitation":"[35]","plainCitation":"[35]","noteIndex":0},"citationItems":[{"id":65559,"uris":["http://zotero.org/groups/2639534/items/9N577Y6K"],"uri":["http://zotero.org/groups/2639534/items/9N577Y6K"],"itemData":{"id":65559,"type":"article-journal","abstract":"IntroducciónLa hipertensión pulmonar (HP) es una enfermedad grave tributaria de","container-title":"Archivos de Bronconeumología","DOI":"10.1016/j.arbres.2008.11.007","ISSN":"0300-2896","issue":"8","journalAbbreviation":"Arch Bronconeumol","language":"es","note":"publisher: Elsevier","page":"366-370","source":"www.archbronconeumol.org","title":"Trasplante bipulmonar en hipertensión pulmonar. Una serie de 15 pacientes","volume":"45","author":[{"family":"López-Meseguer","given":"Manuel"},{"family":"Román","given":"Antonio"},{"family":"Monforte","given":"Víctor"},{"family":"Bravo","given":"Carlos"},{"family":"Solé","given":"Joan"},{"family":"Morell","given":"Ferran"}],"issued":{"date-parts":[["2009"]]}}}],"schema":"https://github.com/citation-style-language/schema/raw/master/csl-citation.json"} </w:instrText>
            </w:r>
            <w:r w:rsidRPr="00700626">
              <w:rPr>
                <w:rFonts w:ascii="Times New Roman" w:eastAsia="Times New Roman" w:hAnsi="Times New Roman" w:cs="Times New Roman"/>
                <w:sz w:val="18"/>
                <w:szCs w:val="18"/>
                <w:lang w:val="en-GB" w:eastAsia="es-ES_tradnl"/>
              </w:rPr>
              <w:fldChar w:fldCharType="separate"/>
            </w:r>
            <w:r w:rsidR="00763D2F" w:rsidRPr="00700626">
              <w:rPr>
                <w:rFonts w:ascii="Times New Roman" w:hAnsi="Times New Roman" w:cs="Times New Roman"/>
                <w:sz w:val="18"/>
                <w:szCs w:val="18"/>
                <w:lang w:val="en-GB"/>
              </w:rPr>
              <w:t>[35]</w:t>
            </w:r>
            <w:r w:rsidRPr="00700626">
              <w:rPr>
                <w:rFonts w:ascii="Times New Roman" w:eastAsia="Times New Roman" w:hAnsi="Times New Roman" w:cs="Times New Roman"/>
                <w:sz w:val="18"/>
                <w:szCs w:val="18"/>
                <w:lang w:val="en-GB" w:eastAsia="es-ES_tradnl"/>
              </w:rPr>
              <w:fldChar w:fldCharType="end"/>
            </w:r>
          </w:p>
        </w:tc>
        <w:tc>
          <w:tcPr>
            <w:tcW w:w="2930" w:type="dxa"/>
            <w:tcMar>
              <w:top w:w="57" w:type="dxa"/>
              <w:bottom w:w="57" w:type="dxa"/>
            </w:tcMar>
          </w:tcPr>
          <w:p w14:paraId="26C2D7B6" w14:textId="613FAFA5" w:rsidR="009A20C3" w:rsidRPr="00700626" w:rsidRDefault="009C09F5" w:rsidP="005C13B8">
            <w:pPr>
              <w:spacing w:before="0" w:after="0" w:line="240" w:lineRule="auto"/>
              <w:jc w:val="left"/>
              <w:rPr>
                <w:rFonts w:ascii="Times New Roman" w:eastAsia="Times New Roman" w:hAnsi="Times New Roman" w:cs="Times New Roman"/>
                <w:sz w:val="18"/>
                <w:szCs w:val="18"/>
                <w:lang w:val="en-GB" w:eastAsia="es-ES_tradnl"/>
              </w:rPr>
            </w:pPr>
            <w:r>
              <w:rPr>
                <w:rFonts w:ascii="Times New Roman" w:eastAsia="Times New Roman" w:hAnsi="Times New Roman" w:cs="Times New Roman"/>
                <w:sz w:val="18"/>
                <w:szCs w:val="18"/>
                <w:lang w:val="en-GB" w:eastAsia="es-ES_tradnl"/>
              </w:rPr>
              <w:t>Not included</w:t>
            </w:r>
          </w:p>
        </w:tc>
      </w:tr>
      <w:tr w:rsidR="00F66ACA" w:rsidRPr="00700626" w14:paraId="36E4817B" w14:textId="77777777" w:rsidTr="00F66ACA">
        <w:tc>
          <w:tcPr>
            <w:tcW w:w="1286" w:type="dxa"/>
          </w:tcPr>
          <w:p w14:paraId="1CE3E863"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DHC</w:t>
            </w:r>
          </w:p>
        </w:tc>
        <w:tc>
          <w:tcPr>
            <w:tcW w:w="4180" w:type="dxa"/>
            <w:tcMar>
              <w:top w:w="57" w:type="dxa"/>
              <w:bottom w:w="57" w:type="dxa"/>
            </w:tcMar>
          </w:tcPr>
          <w:p w14:paraId="6E56DFD3"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Resource consumption pharmacological treatment</w:t>
            </w:r>
          </w:p>
        </w:tc>
        <w:tc>
          <w:tcPr>
            <w:tcW w:w="2377" w:type="dxa"/>
            <w:tcMar>
              <w:top w:w="57" w:type="dxa"/>
              <w:bottom w:w="57" w:type="dxa"/>
            </w:tcMar>
          </w:tcPr>
          <w:p w14:paraId="15D594E5"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Routine clinical practice (n=134 patients, n=255 drugs)</w:t>
            </w:r>
          </w:p>
        </w:tc>
        <w:tc>
          <w:tcPr>
            <w:tcW w:w="2930" w:type="dxa"/>
            <w:tcMar>
              <w:top w:w="57" w:type="dxa"/>
              <w:bottom w:w="57" w:type="dxa"/>
            </w:tcMar>
          </w:tcPr>
          <w:p w14:paraId="3DBDD6C1" w14:textId="67245F32" w:rsidR="009A20C3" w:rsidRPr="00700626" w:rsidRDefault="00F66ACA" w:rsidP="005C13B8">
            <w:pPr>
              <w:spacing w:before="0" w:after="0" w:line="240" w:lineRule="auto"/>
              <w:jc w:val="left"/>
              <w:rPr>
                <w:rFonts w:ascii="Times New Roman" w:eastAsia="Times New Roman" w:hAnsi="Times New Roman" w:cs="Times New Roman"/>
                <w:sz w:val="18"/>
                <w:szCs w:val="18"/>
                <w:lang w:val="en-GB" w:eastAsia="es-ES_tradnl"/>
              </w:rPr>
            </w:pPr>
            <w:r>
              <w:rPr>
                <w:rFonts w:ascii="Times New Roman" w:eastAsia="Times New Roman" w:hAnsi="Times New Roman" w:cs="Times New Roman"/>
                <w:sz w:val="18"/>
                <w:szCs w:val="18"/>
                <w:lang w:val="en-GB" w:eastAsia="es-ES_tradnl"/>
              </w:rPr>
              <w:t>Not included</w:t>
            </w:r>
          </w:p>
        </w:tc>
      </w:tr>
      <w:tr w:rsidR="00F66ACA" w:rsidRPr="00700626" w14:paraId="4E7AADFB" w14:textId="77777777" w:rsidTr="00F66ACA">
        <w:trPr>
          <w:trHeight w:val="576"/>
        </w:trPr>
        <w:tc>
          <w:tcPr>
            <w:tcW w:w="1286" w:type="dxa"/>
          </w:tcPr>
          <w:p w14:paraId="77481D94"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DHC</w:t>
            </w:r>
          </w:p>
        </w:tc>
        <w:tc>
          <w:tcPr>
            <w:tcW w:w="4180" w:type="dxa"/>
            <w:tcMar>
              <w:top w:w="57" w:type="dxa"/>
              <w:bottom w:w="57" w:type="dxa"/>
            </w:tcMar>
          </w:tcPr>
          <w:p w14:paraId="24A3A510"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Doses pharmacological treatment</w:t>
            </w:r>
          </w:p>
        </w:tc>
        <w:tc>
          <w:tcPr>
            <w:tcW w:w="2377" w:type="dxa"/>
            <w:tcMar>
              <w:top w:w="57" w:type="dxa"/>
              <w:bottom w:w="57" w:type="dxa"/>
            </w:tcMar>
          </w:tcPr>
          <w:p w14:paraId="350018AD" w14:textId="224E4E39"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hAnsi="Times New Roman" w:cs="Times New Roman"/>
                <w:bCs/>
                <w:sz w:val="18"/>
                <w:szCs w:val="18"/>
                <w:lang w:val="en-GB"/>
              </w:rPr>
              <w:t xml:space="preserve">Routine </w:t>
            </w:r>
            <w:r w:rsidRPr="00700626">
              <w:rPr>
                <w:rFonts w:ascii="Times New Roman" w:hAnsi="Times New Roman" w:cs="Times New Roman"/>
                <w:sz w:val="18"/>
                <w:szCs w:val="18"/>
                <w:lang w:val="en-GB"/>
              </w:rPr>
              <w:t xml:space="preserve">clinical practice and product labels </w:t>
            </w:r>
            <w:r w:rsidRPr="00700626">
              <w:rPr>
                <w:rFonts w:ascii="Times New Roman" w:hAnsi="Times New Roman" w:cs="Times New Roman"/>
                <w:bCs/>
                <w:sz w:val="18"/>
                <w:szCs w:val="18"/>
                <w:lang w:val="en-GB"/>
              </w:rPr>
              <w:t xml:space="preserve">of each drug </w:t>
            </w:r>
            <w:r w:rsidRPr="00700626">
              <w:rPr>
                <w:rFonts w:ascii="Times New Roman" w:hAnsi="Times New Roman" w:cs="Times New Roman"/>
                <w:sz w:val="18"/>
                <w:szCs w:val="18"/>
                <w:lang w:val="en-GB"/>
              </w:rPr>
              <w:fldChar w:fldCharType="begin"/>
            </w:r>
            <w:r w:rsidR="00763D2F" w:rsidRPr="00700626">
              <w:rPr>
                <w:rFonts w:ascii="Times New Roman" w:hAnsi="Times New Roman" w:cs="Times New Roman"/>
                <w:sz w:val="18"/>
                <w:szCs w:val="18"/>
                <w:lang w:val="en-GB"/>
              </w:rPr>
              <w:instrText xml:space="preserve"> ADDIN ZOTERO_ITEM CSL_CITATION {"citationID":"UiYEbf6k","properties":{"formattedCitation":"[36]","plainCitation":"[36]","noteIndex":0},"citationItems":[{"id":182,"uris":["http://zotero.org/groups/306722/items/DG27HKI2"],"uri":["http://zotero.org/groups/306722/items/DG27HKI2"],"itemData":{"id":182,"type":"webpage","title":"Centro de información de medicamentos (CIMA)","URL":"https://www.aemps.gob.es/cima/publico/home.html","author":[{"family":"AEMPS","given":""}],"accessed":{"date-parts":[["2018",10,18]]},"issued":{"date-parts":[["2018"]]}}}],"schema":"https://github.com/citation-style-language/schema/raw/master/csl-citation.json"} </w:instrText>
            </w:r>
            <w:r w:rsidRPr="00700626">
              <w:rPr>
                <w:rFonts w:ascii="Times New Roman" w:hAnsi="Times New Roman" w:cs="Times New Roman"/>
                <w:sz w:val="18"/>
                <w:szCs w:val="18"/>
                <w:lang w:val="en-GB"/>
              </w:rPr>
              <w:fldChar w:fldCharType="separate"/>
            </w:r>
            <w:r w:rsidR="00763D2F" w:rsidRPr="00700626">
              <w:rPr>
                <w:rFonts w:ascii="Times New Roman" w:hAnsi="Times New Roman" w:cs="Times New Roman"/>
                <w:sz w:val="18"/>
                <w:szCs w:val="18"/>
                <w:lang w:val="en-GB"/>
              </w:rPr>
              <w:t>[36]</w:t>
            </w:r>
            <w:r w:rsidRPr="00700626">
              <w:rPr>
                <w:rFonts w:ascii="Times New Roman" w:hAnsi="Times New Roman" w:cs="Times New Roman"/>
                <w:sz w:val="18"/>
                <w:szCs w:val="18"/>
                <w:lang w:val="en-GB"/>
              </w:rPr>
              <w:fldChar w:fldCharType="end"/>
            </w:r>
          </w:p>
        </w:tc>
        <w:tc>
          <w:tcPr>
            <w:tcW w:w="2930" w:type="dxa"/>
            <w:tcMar>
              <w:top w:w="57" w:type="dxa"/>
              <w:bottom w:w="57" w:type="dxa"/>
            </w:tcMar>
          </w:tcPr>
          <w:p w14:paraId="5FBF71B9" w14:textId="30F6BD35"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No</w:t>
            </w:r>
            <w:r w:rsidR="00F66ACA">
              <w:rPr>
                <w:rFonts w:ascii="Times New Roman" w:eastAsia="Times New Roman" w:hAnsi="Times New Roman" w:cs="Times New Roman"/>
                <w:sz w:val="18"/>
                <w:szCs w:val="18"/>
                <w:lang w:val="en-GB" w:eastAsia="es-ES_tradnl"/>
              </w:rPr>
              <w:t>t included</w:t>
            </w:r>
          </w:p>
        </w:tc>
      </w:tr>
      <w:tr w:rsidR="00F66ACA" w:rsidRPr="00700626" w14:paraId="00DF8CB7" w14:textId="77777777" w:rsidTr="00F66ACA">
        <w:tc>
          <w:tcPr>
            <w:tcW w:w="1286" w:type="dxa"/>
          </w:tcPr>
          <w:p w14:paraId="537165FA"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DHC</w:t>
            </w:r>
          </w:p>
        </w:tc>
        <w:tc>
          <w:tcPr>
            <w:tcW w:w="4180" w:type="dxa"/>
            <w:tcMar>
              <w:top w:w="57" w:type="dxa"/>
              <w:bottom w:w="57" w:type="dxa"/>
            </w:tcMar>
          </w:tcPr>
          <w:p w14:paraId="406201F6"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Administration costs pharmacological treatment</w:t>
            </w:r>
          </w:p>
        </w:tc>
        <w:tc>
          <w:tcPr>
            <w:tcW w:w="2377" w:type="dxa"/>
            <w:tcMar>
              <w:top w:w="57" w:type="dxa"/>
              <w:bottom w:w="57" w:type="dxa"/>
            </w:tcMar>
          </w:tcPr>
          <w:p w14:paraId="0AF2018D" w14:textId="7D1D19E6"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 xml:space="preserve">Literature </w:t>
            </w:r>
            <w:r w:rsidRPr="00700626">
              <w:rPr>
                <w:rFonts w:ascii="Times New Roman" w:hAnsi="Times New Roman" w:cs="Times New Roman"/>
                <w:sz w:val="18"/>
                <w:szCs w:val="18"/>
                <w:lang w:val="en-GB"/>
              </w:rPr>
              <w:fldChar w:fldCharType="begin"/>
            </w:r>
            <w:r w:rsidR="00763D2F" w:rsidRPr="00700626">
              <w:rPr>
                <w:rFonts w:ascii="Times New Roman" w:hAnsi="Times New Roman" w:cs="Times New Roman"/>
                <w:sz w:val="18"/>
                <w:szCs w:val="18"/>
                <w:lang w:val="en-GB"/>
              </w:rPr>
              <w:instrText xml:space="preserve"> ADDIN ZOTERO_ITEM CSL_CITATION {"citationID":"VFCuay1d","properties":{"formattedCitation":"[37]","plainCitation":"[37]","noteIndex":0},"citationItems":[{"id":51323,"uris":["http://zotero.org/groups/2639534/items/DQHAYYNS"],"uri":["http://zotero.org/groups/2639534/items/DQHAYYNS"],"itemData":{"id":51323,"type":"article-journal","abstract":"BACKGROUND: Pulmonary arterial hypertension (PAH) is considered an orphan disease. Prostacyclins are the keystone for PAH treatment. Choosing between the three available prostacyclin therapies could be complicated because there are no comparison studies, so the final decision must be driven by factors such as efficacy, administration route, safety profile and economic aspects.\nOBJECTIVE: This study provides a cost-effectiveness and cost-utility comparison of initiating prostacyclin therapy with three different treatment alternatives (inhaled iloprost [ILO], intravenous epoprostenol [EPO] and subcutaneous treprostinil [TRE]) for patients with PAH. The goal of this work is to help physicians with their therapeutic decision-making.\nMETHODS: A Markov model was built to simulate a patient cohort with class III PAH according to the classification of the New York Heart Association (NYHA). Four health states corresponding with the NYHA classes plus death were allowed for patients in the model. Changing the treatment was possible when patients worsened from functional class III to IV. The time horizon was 3 years, allowing patients to transition between health states on a 12-week cycle basis. The study perspective was that of the National Health System (NHS) [only direct medical costs were included]. Unitary costs were obtained from the Drug Catalogue and e-Salud Database in 2009 and are given in euros (€). Data on health resources and treatment pathways were informed by a four-member expert panel. Efficacy was obtained from pivotal clinical trials of ILO, EPO and TRE, the latter used in Spain as a foreign medication. Utilities for each health state were obtained from the literature. The final efficacy measure was life-years gained (LYG), and utilities were used to obtain quality-adjusted life-years (QALYs). Costs and effects were discounted at a 3% rate. To check for the robustness of the results, sensitivity analyses were performed.\nRESULTS: At the end of the 3 years, in the base case of the deterministic analysis, initiating prostacyclin therapy with iloprost was the less costly strategy (€132,840), followed by treprostinil (€359,869) and epoprostenol (€429,775). Epoprostenol has shown the best efficacy results with 2.73 LYG and 1.78 QALY, followed by iloprost (2.69 LYG and 1.74 QALY) and treprostinil (2.69 LYG and 1.73 QALY). Incremental cost-effectiveness ratios (ICER) and cost-utility ratios (ICUR) of epoprostenol versus iloprost and treprostinil were much above the €30,000 per LYG or QALY threshold commonly used in Spain. Iloprost was dominant compared with treprostinil. In the probabilistic analysis, epoprostenol, when compared with iloprost, was a dominant strategy in 15% of the simulations, but it was not a cost-effective option in 83% of the cases. When compared with treprostinil, epoprostenol was dominant in 43% of the simulations. Iloprost was dominant compared with treprostinil in 45% of the cases and it was a cost-effective alternative in 39% of the simulations.\nCONCLUSIONS: Initiating prostacyclin treatment with iloprost in patients with PAH, functional class III of the NYHA, is the less costly alternative for the NHS in Spain, with a good efficacy profile when compared with the other alternatives.","container-title":"Applied Health Economics and Health Policy","DOI":"10.2165/11630780-000000000-00000","ISSN":"1179-1896","issue":"3","journalAbbreviation":"Appl Health Econ Health Policy","language":"eng","note":"PMID: 22452448","page":"175-188","source":"PubMed","title":"Cost effectiveness of prostacyclins in pulmonary arterial hypertension","volume":"10","author":[{"family":"Roman","given":"Antonio"},{"family":"Barberà","given":"Joan A."},{"family":"Escribano","given":"Pilar"},{"family":"Sala","given":"Maria L."},{"family":"Febrer","given":"Laia"},{"family":"Oyagüez","given":"Itziar"},{"family":"Sabater","given":"Eliazar"},{"family":"Casado","given":"Miguel A."}],"issued":{"date-parts":[["2012",5,1]]}}}],"schema":"https://github.com/citation-style-language/schema/raw/master/csl-citation.json"} </w:instrText>
            </w:r>
            <w:r w:rsidRPr="00700626">
              <w:rPr>
                <w:rFonts w:ascii="Times New Roman" w:hAnsi="Times New Roman" w:cs="Times New Roman"/>
                <w:sz w:val="18"/>
                <w:szCs w:val="18"/>
                <w:lang w:val="en-GB"/>
              </w:rPr>
              <w:fldChar w:fldCharType="separate"/>
            </w:r>
            <w:r w:rsidR="00763D2F" w:rsidRPr="00700626">
              <w:rPr>
                <w:rFonts w:ascii="Times New Roman" w:hAnsi="Times New Roman" w:cs="Times New Roman"/>
                <w:sz w:val="18"/>
                <w:szCs w:val="18"/>
                <w:lang w:val="en-GB"/>
              </w:rPr>
              <w:t>[37]</w:t>
            </w:r>
            <w:r w:rsidRPr="00700626">
              <w:rPr>
                <w:rFonts w:ascii="Times New Roman" w:hAnsi="Times New Roman" w:cs="Times New Roman"/>
                <w:sz w:val="18"/>
                <w:szCs w:val="18"/>
                <w:lang w:val="en-GB"/>
              </w:rPr>
              <w:fldChar w:fldCharType="end"/>
            </w:r>
          </w:p>
        </w:tc>
        <w:tc>
          <w:tcPr>
            <w:tcW w:w="2930" w:type="dxa"/>
            <w:tcMar>
              <w:top w:w="57" w:type="dxa"/>
              <w:bottom w:w="57" w:type="dxa"/>
            </w:tcMar>
          </w:tcPr>
          <w:p w14:paraId="01324722" w14:textId="053D4584" w:rsidR="009A20C3" w:rsidRPr="00700626" w:rsidRDefault="00F66ACA" w:rsidP="005C13B8">
            <w:pPr>
              <w:spacing w:before="0" w:after="0" w:line="240" w:lineRule="auto"/>
              <w:jc w:val="left"/>
              <w:rPr>
                <w:rFonts w:ascii="Times New Roman" w:eastAsia="Times New Roman" w:hAnsi="Times New Roman" w:cs="Times New Roman"/>
                <w:sz w:val="18"/>
                <w:szCs w:val="18"/>
                <w:lang w:val="en-GB" w:eastAsia="es-ES_tradnl"/>
              </w:rPr>
            </w:pPr>
            <w:r>
              <w:rPr>
                <w:rFonts w:ascii="Times New Roman" w:eastAsia="Times New Roman" w:hAnsi="Times New Roman" w:cs="Times New Roman"/>
                <w:sz w:val="18"/>
                <w:szCs w:val="18"/>
                <w:lang w:val="en-GB" w:eastAsia="es-ES_tradnl"/>
              </w:rPr>
              <w:t xml:space="preserve">Not included </w:t>
            </w:r>
          </w:p>
        </w:tc>
      </w:tr>
      <w:tr w:rsidR="00F66ACA" w:rsidRPr="00700626" w14:paraId="051A1999" w14:textId="77777777" w:rsidTr="00F66ACA">
        <w:tc>
          <w:tcPr>
            <w:tcW w:w="1286" w:type="dxa"/>
          </w:tcPr>
          <w:p w14:paraId="1B260626"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DNHC</w:t>
            </w:r>
          </w:p>
        </w:tc>
        <w:tc>
          <w:tcPr>
            <w:tcW w:w="4180" w:type="dxa"/>
            <w:tcMar>
              <w:top w:w="57" w:type="dxa"/>
              <w:bottom w:w="57" w:type="dxa"/>
            </w:tcMar>
          </w:tcPr>
          <w:p w14:paraId="1CC6B197"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Supportive therapies, medical devices, and formal and informal care (consumption and frequency)</w:t>
            </w:r>
          </w:p>
        </w:tc>
        <w:tc>
          <w:tcPr>
            <w:tcW w:w="2377" w:type="dxa"/>
            <w:tcMar>
              <w:top w:w="57" w:type="dxa"/>
              <w:bottom w:w="57" w:type="dxa"/>
            </w:tcMar>
          </w:tcPr>
          <w:p w14:paraId="0D97A784" w14:textId="1EA44628"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hAnsi="Times New Roman" w:cs="Times New Roman"/>
                <w:sz w:val="18"/>
                <w:szCs w:val="18"/>
                <w:lang w:val="en-GB"/>
              </w:rPr>
              <w:t xml:space="preserve">Survey: Spanish Pulmonary Hypertension Patient Organisation, HPE-ORG) </w:t>
            </w:r>
            <w:r w:rsidRPr="00700626">
              <w:rPr>
                <w:rFonts w:ascii="Times New Roman" w:hAnsi="Times New Roman" w:cs="Times New Roman"/>
                <w:sz w:val="18"/>
                <w:szCs w:val="18"/>
                <w:lang w:val="en-GB"/>
              </w:rPr>
              <w:fldChar w:fldCharType="begin"/>
            </w:r>
            <w:r w:rsidR="00763D2F" w:rsidRPr="00700626">
              <w:rPr>
                <w:rFonts w:ascii="Times New Roman" w:hAnsi="Times New Roman" w:cs="Times New Roman"/>
                <w:sz w:val="18"/>
                <w:szCs w:val="18"/>
                <w:lang w:val="en-GB"/>
              </w:rPr>
              <w:instrText xml:space="preserve"> ADDIN ZOTERO_ITEM CSL_CITATION {"citationID":"92glbzw7","properties":{"formattedCitation":"[38]","plainCitation":"[38]","noteIndex":0},"citationItems":[{"id":57580,"uris":["http://zotero.org/groups/2639534/items/U2Z9E4QJ"],"uri":["http://zotero.org/groups/2639534/items/U2Z9E4QJ"],"itemData":{"id":57580,"type":"webpage","abstract":"c","container-title":"Hipertensión Pulmonar","language":"es-es","title":"La carga socioeconómica de la hipertensión pulmonar en España","URL":"https://hipertension-pulmonar.com/la-asociacion/estudios/255-la-carga-socioeconomica-de-la-hipertension-pulmonar-en-espana","accessed":{"date-parts":[["2021",6,28]]}}}],"schema":"https://github.com/citation-style-language/schema/raw/master/csl-citation.json"} </w:instrText>
            </w:r>
            <w:r w:rsidRPr="00700626">
              <w:rPr>
                <w:rFonts w:ascii="Times New Roman" w:hAnsi="Times New Roman" w:cs="Times New Roman"/>
                <w:sz w:val="18"/>
                <w:szCs w:val="18"/>
                <w:lang w:val="en-GB"/>
              </w:rPr>
              <w:fldChar w:fldCharType="separate"/>
            </w:r>
            <w:r w:rsidR="00763D2F" w:rsidRPr="00700626">
              <w:rPr>
                <w:rFonts w:ascii="Times New Roman" w:hAnsi="Times New Roman" w:cs="Times New Roman"/>
                <w:sz w:val="18"/>
                <w:szCs w:val="18"/>
                <w:lang w:val="en-GB"/>
              </w:rPr>
              <w:t>[38]</w:t>
            </w:r>
            <w:r w:rsidRPr="00700626">
              <w:rPr>
                <w:rFonts w:ascii="Times New Roman" w:hAnsi="Times New Roman" w:cs="Times New Roman"/>
                <w:sz w:val="18"/>
                <w:szCs w:val="18"/>
                <w:lang w:val="en-GB"/>
              </w:rPr>
              <w:fldChar w:fldCharType="end"/>
            </w:r>
          </w:p>
        </w:tc>
        <w:tc>
          <w:tcPr>
            <w:tcW w:w="2930" w:type="dxa"/>
            <w:tcMar>
              <w:top w:w="57" w:type="dxa"/>
              <w:bottom w:w="57" w:type="dxa"/>
            </w:tcMar>
          </w:tcPr>
          <w:p w14:paraId="0E0230E2" w14:textId="6F6D6E51" w:rsidR="009A20C3" w:rsidRPr="00700626" w:rsidRDefault="00F66ACA" w:rsidP="005C13B8">
            <w:pPr>
              <w:spacing w:before="0" w:after="0" w:line="240" w:lineRule="auto"/>
              <w:jc w:val="left"/>
              <w:rPr>
                <w:rFonts w:ascii="Times New Roman" w:eastAsia="Times New Roman" w:hAnsi="Times New Roman" w:cs="Times New Roman"/>
                <w:sz w:val="18"/>
                <w:szCs w:val="18"/>
                <w:lang w:val="en-GB" w:eastAsia="es-ES_tradnl"/>
              </w:rPr>
            </w:pPr>
            <w:r>
              <w:rPr>
                <w:rFonts w:ascii="Times New Roman" w:eastAsia="Times New Roman" w:hAnsi="Times New Roman" w:cs="Times New Roman"/>
                <w:sz w:val="18"/>
                <w:szCs w:val="18"/>
                <w:lang w:val="en-GB" w:eastAsia="es-ES_tradnl"/>
              </w:rPr>
              <w:t>Not included</w:t>
            </w:r>
          </w:p>
        </w:tc>
      </w:tr>
      <w:tr w:rsidR="00F66ACA" w:rsidRPr="00700626" w14:paraId="4313A997" w14:textId="77777777" w:rsidTr="00F66ACA">
        <w:tc>
          <w:tcPr>
            <w:tcW w:w="1286" w:type="dxa"/>
          </w:tcPr>
          <w:p w14:paraId="5554A2FD"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DNHC</w:t>
            </w:r>
          </w:p>
        </w:tc>
        <w:tc>
          <w:tcPr>
            <w:tcW w:w="4180" w:type="dxa"/>
            <w:tcMar>
              <w:top w:w="57" w:type="dxa"/>
              <w:bottom w:w="57" w:type="dxa"/>
            </w:tcMar>
          </w:tcPr>
          <w:p w14:paraId="2AFDA009"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Supportive therapies: Patients use oxygen therapy on a daily basis (365 days per year) and that mechanical ventilation requires 12 days of hospital stay</w:t>
            </w:r>
          </w:p>
        </w:tc>
        <w:tc>
          <w:tcPr>
            <w:tcW w:w="2377" w:type="dxa"/>
            <w:tcMar>
              <w:top w:w="57" w:type="dxa"/>
              <w:bottom w:w="57" w:type="dxa"/>
            </w:tcMar>
          </w:tcPr>
          <w:p w14:paraId="5EF14C70" w14:textId="51F356BF" w:rsidR="009A20C3" w:rsidRPr="00700626" w:rsidRDefault="009A20C3" w:rsidP="005C13B8">
            <w:pPr>
              <w:spacing w:before="0" w:after="0" w:line="240" w:lineRule="auto"/>
              <w:jc w:val="left"/>
              <w:rPr>
                <w:rFonts w:ascii="Times New Roman" w:hAnsi="Times New Roman" w:cs="Times New Roman"/>
                <w:sz w:val="18"/>
                <w:szCs w:val="18"/>
                <w:lang w:val="en-GB"/>
              </w:rPr>
            </w:pPr>
            <w:r w:rsidRPr="00700626">
              <w:rPr>
                <w:rFonts w:ascii="Times New Roman" w:hAnsi="Times New Roman" w:cs="Times New Roman"/>
                <w:sz w:val="18"/>
                <w:szCs w:val="18"/>
                <w:lang w:val="en-GB"/>
              </w:rPr>
              <w:t xml:space="preserve">Literature </w:t>
            </w:r>
            <w:r w:rsidRPr="00700626">
              <w:rPr>
                <w:rFonts w:ascii="Times New Roman" w:hAnsi="Times New Roman" w:cs="Times New Roman"/>
                <w:sz w:val="18"/>
                <w:szCs w:val="18"/>
                <w:lang w:val="en-GB"/>
              </w:rPr>
              <w:fldChar w:fldCharType="begin"/>
            </w:r>
            <w:r w:rsidR="00763D2F" w:rsidRPr="00700626">
              <w:rPr>
                <w:rFonts w:ascii="Times New Roman" w:hAnsi="Times New Roman" w:cs="Times New Roman"/>
                <w:sz w:val="18"/>
                <w:szCs w:val="18"/>
                <w:lang w:val="en-GB"/>
              </w:rPr>
              <w:instrText xml:space="preserve"> ADDIN ZOTERO_ITEM CSL_CITATION {"citationID":"NIbKhU0z","properties":{"formattedCitation":"[39]","plainCitation":"[39]","noteIndex":0},"citationItems":[{"id":55761,"uris":["http://zotero.org/groups/2639534/items/VK8NP8D7"],"uri":["http://zotero.org/groups/2639534/items/VK8NP8D7"],"itemData":{"id":55761,"type":"article-journal","abstract":"Background: No previous studies exist examining 2 inhaled epoprostenol formulations in an acute respiratory distress syndrome (ARDS) patient population. Objective: The study aim was to evaluate a formulary conversion from inhaled Flolan to Veletri to determine the impact on effectiveness, safety, and cost in patients with ARDS. Methods: This was a single-center, retrospective, matched cohort observational study at a tertiary care academic medical center. Patients included were mechanically ventilated, adult patients with ARDS receiving inhaled Flolan or Veletri for ≥1 hour in the intensive care unit. Results: A total of 132 patients were included in the matched cohort. There was no difference detected in change in partial pressure of arterial O2/fraction of inspired O2 (PaO2/FiO2) ratio after 1 hour of therapy between the inhaled Flolan and Veletri groups (27.2 ± 46.2 vs 30 ± 68 mm Hg, P = 0.78). Significant differences in secondary outcomes included incidence of hypotension (83% vs 95.5%, P = 0.04) and thrombocytopenia (9.1% vs 29.5%, P &lt; 0.01) in the inhaled Flolan and Veletri groups, respectively, with no difference in cost per duration of therapy (P = 0.29). Conclusions and Relevance: There was no difference in the change in PaO2/FiO2 ratio after 1 hour of therapy between inhaled Flolan and Veletri in an ARDS patient population. The formulary conversion from inhaled Flolan to Veletri was likely justified.","container-title":"Annals of Pharmacotherapy","DOI":"10.1177/1060028019888853","ISSN":"1060-0280","issue":"5","journalAbbreviation":"Ann Pharmacother","language":"en","note":"publisher: SAGE Publications Inc","page":"434-441","source":"SAGE Journals","title":"Effectiveness, Safety, and Economic Comparison of Inhaled Epoprostenol Brands, Flolan and Veletri, in Acute Respiratory Distress Syndrome","volume":"54","author":[{"family":"Hawn","given":"Jaclyn M."},{"family":"Bauer","given":"Seth R."},{"family":"Wanek","given":"Matthew R."},{"family":"Li","given":"Manshi"},{"family":"Wang","given":"Xiaofeng"},{"family":"Duggal","given":"Abhijit"},{"family":"Torbic","given":"Heather"}],"issued":{"date-parts":[["2020",5,1]]}}}],"schema":"https://github.com/citation-style-language/schema/raw/master/csl-citation.json"} </w:instrText>
            </w:r>
            <w:r w:rsidRPr="00700626">
              <w:rPr>
                <w:rFonts w:ascii="Times New Roman" w:hAnsi="Times New Roman" w:cs="Times New Roman"/>
                <w:sz w:val="18"/>
                <w:szCs w:val="18"/>
                <w:lang w:val="en-GB"/>
              </w:rPr>
              <w:fldChar w:fldCharType="separate"/>
            </w:r>
            <w:r w:rsidR="00763D2F" w:rsidRPr="00700626">
              <w:rPr>
                <w:rFonts w:ascii="Times New Roman" w:hAnsi="Times New Roman" w:cs="Times New Roman"/>
                <w:sz w:val="18"/>
                <w:szCs w:val="18"/>
                <w:lang w:val="en-GB"/>
              </w:rPr>
              <w:t>[39]</w:t>
            </w:r>
            <w:r w:rsidRPr="00700626">
              <w:rPr>
                <w:rFonts w:ascii="Times New Roman" w:hAnsi="Times New Roman" w:cs="Times New Roman"/>
                <w:sz w:val="18"/>
                <w:szCs w:val="18"/>
                <w:lang w:val="en-GB"/>
              </w:rPr>
              <w:fldChar w:fldCharType="end"/>
            </w:r>
          </w:p>
        </w:tc>
        <w:tc>
          <w:tcPr>
            <w:tcW w:w="2930" w:type="dxa"/>
            <w:tcMar>
              <w:top w:w="57" w:type="dxa"/>
              <w:bottom w:w="57" w:type="dxa"/>
            </w:tcMar>
          </w:tcPr>
          <w:p w14:paraId="6A0E565A" w14:textId="5D39923B" w:rsidR="009A20C3" w:rsidRPr="00700626" w:rsidRDefault="00F66ACA" w:rsidP="005C13B8">
            <w:pPr>
              <w:spacing w:before="0" w:after="0" w:line="240" w:lineRule="auto"/>
              <w:jc w:val="left"/>
              <w:rPr>
                <w:rFonts w:ascii="Times New Roman" w:eastAsia="Times New Roman" w:hAnsi="Times New Roman" w:cs="Times New Roman"/>
                <w:sz w:val="18"/>
                <w:szCs w:val="18"/>
                <w:lang w:val="en-GB" w:eastAsia="es-ES_tradnl"/>
              </w:rPr>
            </w:pPr>
            <w:r>
              <w:rPr>
                <w:rFonts w:ascii="Times New Roman" w:eastAsia="Times New Roman" w:hAnsi="Times New Roman" w:cs="Times New Roman"/>
                <w:sz w:val="18"/>
                <w:szCs w:val="18"/>
                <w:lang w:val="en-GB" w:eastAsia="es-ES_tradnl"/>
              </w:rPr>
              <w:t>Not included</w:t>
            </w:r>
          </w:p>
        </w:tc>
      </w:tr>
      <w:tr w:rsidR="00F66ACA" w:rsidRPr="00910732" w14:paraId="0DF1646C" w14:textId="77777777" w:rsidTr="00F66ACA">
        <w:tc>
          <w:tcPr>
            <w:tcW w:w="1286" w:type="dxa"/>
          </w:tcPr>
          <w:p w14:paraId="645DD919"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DNHC</w:t>
            </w:r>
          </w:p>
        </w:tc>
        <w:tc>
          <w:tcPr>
            <w:tcW w:w="4180" w:type="dxa"/>
            <w:tcMar>
              <w:top w:w="57" w:type="dxa"/>
              <w:bottom w:w="57" w:type="dxa"/>
            </w:tcMar>
          </w:tcPr>
          <w:p w14:paraId="7F5E8CB7"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Personal care was divided equally into formal and informal care whenever the type of assistance was left unspecified</w:t>
            </w:r>
          </w:p>
        </w:tc>
        <w:tc>
          <w:tcPr>
            <w:tcW w:w="2377" w:type="dxa"/>
            <w:tcMar>
              <w:top w:w="57" w:type="dxa"/>
              <w:bottom w:w="57" w:type="dxa"/>
            </w:tcMar>
          </w:tcPr>
          <w:p w14:paraId="69493340" w14:textId="08FAEA0F" w:rsidR="009A20C3" w:rsidRPr="00700626" w:rsidRDefault="00F66ACA" w:rsidP="005C13B8">
            <w:pPr>
              <w:spacing w:before="0" w:after="0" w:line="240" w:lineRule="auto"/>
              <w:jc w:val="left"/>
              <w:rPr>
                <w:rFonts w:ascii="Times New Roman" w:hAnsi="Times New Roman" w:cs="Times New Roman"/>
                <w:sz w:val="18"/>
                <w:szCs w:val="18"/>
                <w:lang w:val="en-GB"/>
              </w:rPr>
            </w:pPr>
            <w:r>
              <w:rPr>
                <w:rFonts w:ascii="Times New Roman" w:hAnsi="Times New Roman" w:cs="Times New Roman"/>
                <w:sz w:val="18"/>
                <w:szCs w:val="18"/>
                <w:lang w:val="en-GB"/>
              </w:rPr>
              <w:t>Experts Committee</w:t>
            </w:r>
          </w:p>
        </w:tc>
        <w:tc>
          <w:tcPr>
            <w:tcW w:w="2930" w:type="dxa"/>
            <w:tcMar>
              <w:top w:w="57" w:type="dxa"/>
              <w:bottom w:w="57" w:type="dxa"/>
            </w:tcMar>
          </w:tcPr>
          <w:p w14:paraId="3840184F" w14:textId="22925661" w:rsidR="009A20C3" w:rsidRPr="00700626" w:rsidRDefault="00F66ACA" w:rsidP="005C13B8">
            <w:pPr>
              <w:spacing w:before="0" w:after="0" w:line="240" w:lineRule="auto"/>
              <w:jc w:val="left"/>
              <w:rPr>
                <w:rFonts w:ascii="Times New Roman" w:eastAsia="Times New Roman" w:hAnsi="Times New Roman" w:cs="Times New Roman"/>
                <w:sz w:val="18"/>
                <w:szCs w:val="18"/>
                <w:lang w:val="en-GB" w:eastAsia="es-ES_tradnl"/>
              </w:rPr>
            </w:pPr>
            <w:r>
              <w:rPr>
                <w:rFonts w:ascii="Times New Roman" w:eastAsia="Times New Roman" w:hAnsi="Times New Roman" w:cs="Times New Roman"/>
                <w:sz w:val="18"/>
                <w:szCs w:val="18"/>
                <w:lang w:val="en-GB" w:eastAsia="es-ES_tradnl"/>
              </w:rPr>
              <w:t>Included in the s</w:t>
            </w:r>
            <w:r w:rsidR="009A20C3" w:rsidRPr="00700626">
              <w:rPr>
                <w:rFonts w:ascii="Times New Roman" w:eastAsia="Times New Roman" w:hAnsi="Times New Roman" w:cs="Times New Roman"/>
                <w:sz w:val="18"/>
                <w:szCs w:val="18"/>
                <w:lang w:val="en-GB" w:eastAsia="es-ES_tradnl"/>
              </w:rPr>
              <w:t>ensitivity analysis (experts’ opinion)</w:t>
            </w:r>
          </w:p>
        </w:tc>
      </w:tr>
      <w:tr w:rsidR="00F66ACA" w:rsidRPr="00700626" w14:paraId="1A2BDA0E" w14:textId="77777777" w:rsidTr="00F66ACA">
        <w:tc>
          <w:tcPr>
            <w:tcW w:w="1286" w:type="dxa"/>
          </w:tcPr>
          <w:p w14:paraId="00A62EEC"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DNHC</w:t>
            </w:r>
          </w:p>
        </w:tc>
        <w:tc>
          <w:tcPr>
            <w:tcW w:w="4180" w:type="dxa"/>
            <w:tcMar>
              <w:top w:w="57" w:type="dxa"/>
              <w:bottom w:w="57" w:type="dxa"/>
            </w:tcMar>
          </w:tcPr>
          <w:p w14:paraId="0262C33E"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 of free time from caregivers that are dedicated to informal care to patients, according to FC</w:t>
            </w:r>
          </w:p>
        </w:tc>
        <w:tc>
          <w:tcPr>
            <w:tcW w:w="2377" w:type="dxa"/>
            <w:tcMar>
              <w:top w:w="57" w:type="dxa"/>
              <w:bottom w:w="57" w:type="dxa"/>
            </w:tcMar>
          </w:tcPr>
          <w:p w14:paraId="21E8DB26" w14:textId="70BC7541" w:rsidR="009A20C3" w:rsidRPr="00700626" w:rsidRDefault="009A20C3" w:rsidP="005C13B8">
            <w:pPr>
              <w:spacing w:before="0" w:after="0" w:line="240" w:lineRule="auto"/>
              <w:jc w:val="left"/>
              <w:rPr>
                <w:rFonts w:ascii="Times New Roman" w:hAnsi="Times New Roman" w:cs="Times New Roman"/>
                <w:sz w:val="18"/>
                <w:szCs w:val="18"/>
                <w:lang w:val="en-GB"/>
              </w:rPr>
            </w:pPr>
            <w:r w:rsidRPr="00700626">
              <w:rPr>
                <w:rFonts w:ascii="Times New Roman" w:hAnsi="Times New Roman" w:cs="Times New Roman"/>
                <w:sz w:val="18"/>
                <w:szCs w:val="18"/>
                <w:lang w:val="en-GB"/>
              </w:rPr>
              <w:t xml:space="preserve">Literature </w:t>
            </w:r>
            <w:r w:rsidRPr="00700626">
              <w:rPr>
                <w:rFonts w:ascii="Times New Roman" w:hAnsi="Times New Roman" w:cs="Times New Roman"/>
                <w:sz w:val="18"/>
                <w:szCs w:val="18"/>
                <w:lang w:val="en-GB"/>
              </w:rPr>
              <w:fldChar w:fldCharType="begin"/>
            </w:r>
            <w:r w:rsidR="00763D2F" w:rsidRPr="00700626">
              <w:rPr>
                <w:rFonts w:ascii="Times New Roman" w:hAnsi="Times New Roman" w:cs="Times New Roman"/>
                <w:sz w:val="18"/>
                <w:szCs w:val="18"/>
                <w:lang w:val="en-GB"/>
              </w:rPr>
              <w:instrText xml:space="preserve"> ADDIN ZOTERO_ITEM CSL_CITATION {"citationID":"mf41rGjL","properties":{"formattedCitation":"[40]","plainCitation":"[40]","noteIndex":0},"citationItems":[{"id":52184,"uris":["http://zotero.org/groups/2639534/items/233RMNM2"],"uri":["http://zotero.org/groups/2639534/items/233RMNM2"],"itemData":{"id":52184,"type":"post-weblog","container-title":"PHA Europe","language":"en-GB","title":"The impact of pulmonary arterial hypertension (PAH) on the lives of patients and carers: results from an international survey. European Pulmonary Hypertension Association.","URL":"https://www.phaeurope.org/wp-content/uploads/PAH_Survey_FINAL.pdf","author":[{"family":"PHA Europe.","given":""}],"accessed":{"date-parts":[["2021",2,3]]},"issued":{"date-parts":[["2012"]]}}}],"schema":"https://github.com/citation-style-language/schema/raw/master/csl-citation.json"} </w:instrText>
            </w:r>
            <w:r w:rsidRPr="00700626">
              <w:rPr>
                <w:rFonts w:ascii="Times New Roman" w:hAnsi="Times New Roman" w:cs="Times New Roman"/>
                <w:sz w:val="18"/>
                <w:szCs w:val="18"/>
                <w:lang w:val="en-GB"/>
              </w:rPr>
              <w:fldChar w:fldCharType="separate"/>
            </w:r>
            <w:r w:rsidR="00763D2F" w:rsidRPr="00700626">
              <w:rPr>
                <w:rFonts w:ascii="Times New Roman" w:hAnsi="Times New Roman" w:cs="Times New Roman"/>
                <w:sz w:val="18"/>
                <w:szCs w:val="18"/>
                <w:lang w:val="en-GB"/>
              </w:rPr>
              <w:t>[40]</w:t>
            </w:r>
            <w:r w:rsidRPr="00700626">
              <w:rPr>
                <w:rFonts w:ascii="Times New Roman" w:hAnsi="Times New Roman" w:cs="Times New Roman"/>
                <w:sz w:val="18"/>
                <w:szCs w:val="18"/>
                <w:lang w:val="en-GB"/>
              </w:rPr>
              <w:fldChar w:fldCharType="end"/>
            </w:r>
          </w:p>
        </w:tc>
        <w:tc>
          <w:tcPr>
            <w:tcW w:w="2930" w:type="dxa"/>
            <w:tcMar>
              <w:top w:w="57" w:type="dxa"/>
              <w:bottom w:w="57" w:type="dxa"/>
            </w:tcMar>
          </w:tcPr>
          <w:p w14:paraId="7D2BF390" w14:textId="710F5ED7" w:rsidR="009A20C3" w:rsidRPr="00700626" w:rsidRDefault="00E30C48" w:rsidP="005C13B8">
            <w:pPr>
              <w:spacing w:before="0" w:after="0" w:line="240" w:lineRule="auto"/>
              <w:jc w:val="left"/>
              <w:rPr>
                <w:rFonts w:ascii="Times New Roman" w:eastAsia="Times New Roman" w:hAnsi="Times New Roman" w:cs="Times New Roman"/>
                <w:sz w:val="18"/>
                <w:szCs w:val="18"/>
                <w:lang w:val="en-GB" w:eastAsia="es-ES_tradnl"/>
              </w:rPr>
            </w:pPr>
            <w:r>
              <w:rPr>
                <w:rFonts w:ascii="Times New Roman" w:eastAsia="Times New Roman" w:hAnsi="Times New Roman" w:cs="Times New Roman"/>
                <w:sz w:val="18"/>
                <w:szCs w:val="18"/>
                <w:lang w:val="en-GB" w:eastAsia="es-ES_tradnl"/>
              </w:rPr>
              <w:t>Not included</w:t>
            </w:r>
          </w:p>
        </w:tc>
      </w:tr>
      <w:tr w:rsidR="00F66ACA" w:rsidRPr="00910732" w14:paraId="0469715F" w14:textId="77777777" w:rsidTr="00F66ACA">
        <w:tc>
          <w:tcPr>
            <w:tcW w:w="1286" w:type="dxa"/>
          </w:tcPr>
          <w:p w14:paraId="1F591B30" w14:textId="77777777" w:rsidR="00F66ACA" w:rsidRPr="00700626" w:rsidRDefault="00F66ACA" w:rsidP="00F66ACA">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DNHC</w:t>
            </w:r>
          </w:p>
        </w:tc>
        <w:tc>
          <w:tcPr>
            <w:tcW w:w="4180" w:type="dxa"/>
            <w:tcMar>
              <w:top w:w="57" w:type="dxa"/>
              <w:bottom w:w="57" w:type="dxa"/>
            </w:tcMar>
          </w:tcPr>
          <w:p w14:paraId="3874BA95" w14:textId="77777777" w:rsidR="00F66ACA" w:rsidRPr="00700626" w:rsidRDefault="00F66ACA" w:rsidP="00F66ACA">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Free time of each caregiver is approximately 42 hours per week (we excluded 8 daily hours of sleep and 10 daily hours work)</w:t>
            </w:r>
          </w:p>
        </w:tc>
        <w:tc>
          <w:tcPr>
            <w:tcW w:w="2377" w:type="dxa"/>
            <w:tcMar>
              <w:top w:w="57" w:type="dxa"/>
              <w:bottom w:w="57" w:type="dxa"/>
            </w:tcMar>
          </w:tcPr>
          <w:p w14:paraId="7126BE2B" w14:textId="060FE893" w:rsidR="00F66ACA" w:rsidRPr="00700626" w:rsidRDefault="00F66ACA" w:rsidP="00F66ACA">
            <w:pPr>
              <w:spacing w:before="0" w:after="0" w:line="240" w:lineRule="auto"/>
              <w:jc w:val="left"/>
              <w:rPr>
                <w:rFonts w:ascii="Times New Roman" w:hAnsi="Times New Roman" w:cs="Times New Roman"/>
                <w:sz w:val="18"/>
                <w:szCs w:val="18"/>
                <w:lang w:val="en-GB"/>
              </w:rPr>
            </w:pPr>
            <w:r>
              <w:rPr>
                <w:rFonts w:ascii="Times New Roman" w:hAnsi="Times New Roman" w:cs="Times New Roman"/>
                <w:sz w:val="18"/>
                <w:szCs w:val="18"/>
                <w:lang w:val="en-GB"/>
              </w:rPr>
              <w:t>Experts Committee</w:t>
            </w:r>
          </w:p>
        </w:tc>
        <w:tc>
          <w:tcPr>
            <w:tcW w:w="2930" w:type="dxa"/>
            <w:tcMar>
              <w:top w:w="57" w:type="dxa"/>
              <w:bottom w:w="57" w:type="dxa"/>
            </w:tcMar>
          </w:tcPr>
          <w:p w14:paraId="765A61DE" w14:textId="5C3BDC7B" w:rsidR="00F66ACA" w:rsidRPr="00700626" w:rsidRDefault="004866C1" w:rsidP="00F66ACA">
            <w:pPr>
              <w:spacing w:before="0" w:after="0" w:line="240" w:lineRule="auto"/>
              <w:jc w:val="left"/>
              <w:rPr>
                <w:rFonts w:ascii="Times New Roman" w:eastAsia="Times New Roman" w:hAnsi="Times New Roman" w:cs="Times New Roman"/>
                <w:sz w:val="18"/>
                <w:szCs w:val="18"/>
                <w:lang w:val="en-GB" w:eastAsia="es-ES_tradnl"/>
              </w:rPr>
            </w:pPr>
            <w:r>
              <w:rPr>
                <w:rFonts w:ascii="Times New Roman" w:eastAsia="Times New Roman" w:hAnsi="Times New Roman" w:cs="Times New Roman"/>
                <w:sz w:val="18"/>
                <w:szCs w:val="18"/>
                <w:lang w:val="en-GB" w:eastAsia="es-ES_tradnl"/>
              </w:rPr>
              <w:t>Included in the s</w:t>
            </w:r>
            <w:r w:rsidR="00F66ACA" w:rsidRPr="00700626">
              <w:rPr>
                <w:rFonts w:ascii="Times New Roman" w:eastAsia="Times New Roman" w:hAnsi="Times New Roman" w:cs="Times New Roman"/>
                <w:sz w:val="18"/>
                <w:szCs w:val="18"/>
                <w:lang w:val="en-GB" w:eastAsia="es-ES_tradnl"/>
              </w:rPr>
              <w:t>ensitivity analysis (experts’ opinion)</w:t>
            </w:r>
          </w:p>
        </w:tc>
      </w:tr>
      <w:tr w:rsidR="00F66ACA" w:rsidRPr="00910732" w14:paraId="59509BC7" w14:textId="77777777" w:rsidTr="00F66ACA">
        <w:tc>
          <w:tcPr>
            <w:tcW w:w="1286" w:type="dxa"/>
          </w:tcPr>
          <w:p w14:paraId="5C2EF664"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IC</w:t>
            </w:r>
          </w:p>
        </w:tc>
        <w:tc>
          <w:tcPr>
            <w:tcW w:w="4180" w:type="dxa"/>
            <w:tcMar>
              <w:top w:w="57" w:type="dxa"/>
              <w:bottom w:w="57" w:type="dxa"/>
            </w:tcMar>
          </w:tcPr>
          <w:p w14:paraId="10AF52F7"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Loss of labour productivity by FC (early retirement, permanent disability, temporary leave or reduction of working hours)</w:t>
            </w:r>
          </w:p>
        </w:tc>
        <w:tc>
          <w:tcPr>
            <w:tcW w:w="2377" w:type="dxa"/>
            <w:tcMar>
              <w:top w:w="57" w:type="dxa"/>
              <w:bottom w:w="57" w:type="dxa"/>
            </w:tcMar>
          </w:tcPr>
          <w:p w14:paraId="310E9224" w14:textId="0805C72F" w:rsidR="009A20C3" w:rsidRPr="00700626" w:rsidRDefault="009A20C3" w:rsidP="005C13B8">
            <w:pPr>
              <w:spacing w:before="0" w:after="0" w:line="240" w:lineRule="auto"/>
              <w:jc w:val="left"/>
              <w:rPr>
                <w:rFonts w:ascii="Times New Roman" w:hAnsi="Times New Roman" w:cs="Times New Roman"/>
                <w:sz w:val="18"/>
                <w:szCs w:val="18"/>
                <w:lang w:val="en-GB"/>
              </w:rPr>
            </w:pPr>
            <w:r w:rsidRPr="00700626">
              <w:rPr>
                <w:rFonts w:ascii="Times New Roman" w:hAnsi="Times New Roman" w:cs="Times New Roman"/>
                <w:sz w:val="18"/>
                <w:szCs w:val="18"/>
                <w:lang w:val="en-GB"/>
              </w:rPr>
              <w:t xml:space="preserve">Survey: Spanish Pulmonary Hypertension Patient Organisation, HPE-ORG) </w:t>
            </w:r>
            <w:r w:rsidRPr="00700626">
              <w:rPr>
                <w:rFonts w:ascii="Times New Roman" w:hAnsi="Times New Roman" w:cs="Times New Roman"/>
                <w:sz w:val="18"/>
                <w:szCs w:val="18"/>
                <w:lang w:val="en-GB"/>
              </w:rPr>
              <w:fldChar w:fldCharType="begin"/>
            </w:r>
            <w:r w:rsidR="00763D2F" w:rsidRPr="00700626">
              <w:rPr>
                <w:rFonts w:ascii="Times New Roman" w:hAnsi="Times New Roman" w:cs="Times New Roman"/>
                <w:sz w:val="18"/>
                <w:szCs w:val="18"/>
                <w:lang w:val="en-GB"/>
              </w:rPr>
              <w:instrText xml:space="preserve"> ADDIN ZOTERO_ITEM CSL_CITATION {"citationID":"GBPnOFX8","properties":{"formattedCitation":"[38]","plainCitation":"[38]","noteIndex":0},"citationItems":[{"id":57580,"uris":["http://zotero.org/groups/2639534/items/U2Z9E4QJ"],"uri":["http://zotero.org/groups/2639534/items/U2Z9E4QJ"],"itemData":{"id":57580,"type":"webpage","abstract":"c","container-title":"Hipertensión Pulmonar","language":"es-es","title":"La carga socioeconómica de la hipertensión pulmonar en España","URL":"https://hipertension-pulmonar.com/la-asociacion/estudios/255-la-carga-socioeconomica-de-la-hipertension-pulmonar-en-espana","accessed":{"date-parts":[["2021",6,28]]}}}],"schema":"https://github.com/citation-style-language/schema/raw/master/csl-citation.json"} </w:instrText>
            </w:r>
            <w:r w:rsidRPr="00700626">
              <w:rPr>
                <w:rFonts w:ascii="Times New Roman" w:hAnsi="Times New Roman" w:cs="Times New Roman"/>
                <w:sz w:val="18"/>
                <w:szCs w:val="18"/>
                <w:lang w:val="en-GB"/>
              </w:rPr>
              <w:fldChar w:fldCharType="separate"/>
            </w:r>
            <w:r w:rsidR="00763D2F" w:rsidRPr="00700626">
              <w:rPr>
                <w:rFonts w:ascii="Times New Roman" w:hAnsi="Times New Roman" w:cs="Times New Roman"/>
                <w:sz w:val="18"/>
                <w:szCs w:val="18"/>
                <w:lang w:val="en-GB"/>
              </w:rPr>
              <w:t>[38]</w:t>
            </w:r>
            <w:r w:rsidRPr="00700626">
              <w:rPr>
                <w:rFonts w:ascii="Times New Roman" w:hAnsi="Times New Roman" w:cs="Times New Roman"/>
                <w:sz w:val="18"/>
                <w:szCs w:val="18"/>
                <w:lang w:val="en-GB"/>
              </w:rPr>
              <w:fldChar w:fldCharType="end"/>
            </w:r>
          </w:p>
        </w:tc>
        <w:tc>
          <w:tcPr>
            <w:tcW w:w="2930" w:type="dxa"/>
            <w:tcMar>
              <w:top w:w="57" w:type="dxa"/>
              <w:bottom w:w="57" w:type="dxa"/>
            </w:tcMar>
          </w:tcPr>
          <w:p w14:paraId="170942B3" w14:textId="5287046A" w:rsidR="009A20C3" w:rsidRPr="00700626" w:rsidRDefault="004866C1" w:rsidP="005C13B8">
            <w:pPr>
              <w:spacing w:before="0" w:after="0" w:line="240" w:lineRule="auto"/>
              <w:jc w:val="left"/>
              <w:rPr>
                <w:rFonts w:ascii="Times New Roman" w:eastAsia="Times New Roman" w:hAnsi="Times New Roman" w:cs="Times New Roman"/>
                <w:sz w:val="18"/>
                <w:szCs w:val="18"/>
                <w:lang w:val="en-GB" w:eastAsia="es-ES_tradnl"/>
              </w:rPr>
            </w:pPr>
            <w:r>
              <w:rPr>
                <w:rFonts w:ascii="Times New Roman" w:eastAsia="Times New Roman" w:hAnsi="Times New Roman" w:cs="Times New Roman"/>
                <w:sz w:val="18"/>
                <w:szCs w:val="18"/>
                <w:lang w:val="en-GB" w:eastAsia="es-ES_tradnl"/>
              </w:rPr>
              <w:t>Included in the s</w:t>
            </w:r>
            <w:r w:rsidR="009A20C3" w:rsidRPr="00700626">
              <w:rPr>
                <w:rFonts w:ascii="Times New Roman" w:eastAsia="Times New Roman" w:hAnsi="Times New Roman" w:cs="Times New Roman"/>
                <w:sz w:val="18"/>
                <w:szCs w:val="18"/>
                <w:lang w:val="en-GB" w:eastAsia="es-ES_tradnl"/>
              </w:rPr>
              <w:t>ensitivity analysis (key parameters)</w:t>
            </w:r>
          </w:p>
        </w:tc>
      </w:tr>
      <w:tr w:rsidR="00F66ACA" w:rsidRPr="00700626" w14:paraId="5D9E9D10" w14:textId="77777777" w:rsidTr="00F66ACA">
        <w:tc>
          <w:tcPr>
            <w:tcW w:w="1286" w:type="dxa"/>
          </w:tcPr>
          <w:p w14:paraId="0474F777"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IC</w:t>
            </w:r>
          </w:p>
        </w:tc>
        <w:tc>
          <w:tcPr>
            <w:tcW w:w="4180" w:type="dxa"/>
            <w:tcMar>
              <w:top w:w="57" w:type="dxa"/>
              <w:bottom w:w="57" w:type="dxa"/>
            </w:tcMar>
          </w:tcPr>
          <w:p w14:paraId="16463F5D"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Work days lost to disability: a total of 29.6 days lost per year were applied to patients in FC I-II, and none to patients in FC III-IV</w:t>
            </w:r>
          </w:p>
        </w:tc>
        <w:tc>
          <w:tcPr>
            <w:tcW w:w="2377" w:type="dxa"/>
            <w:tcMar>
              <w:top w:w="57" w:type="dxa"/>
              <w:bottom w:w="57" w:type="dxa"/>
            </w:tcMar>
          </w:tcPr>
          <w:p w14:paraId="1FF98FEE" w14:textId="4C28FFA9" w:rsidR="009A20C3" w:rsidRPr="00700626" w:rsidRDefault="009A20C3" w:rsidP="005C13B8">
            <w:pPr>
              <w:spacing w:before="0" w:after="0" w:line="240" w:lineRule="auto"/>
              <w:jc w:val="left"/>
              <w:rPr>
                <w:rFonts w:ascii="Times New Roman" w:hAnsi="Times New Roman" w:cs="Times New Roman"/>
                <w:sz w:val="18"/>
                <w:szCs w:val="18"/>
                <w:lang w:val="en-GB"/>
              </w:rPr>
            </w:pPr>
            <w:r w:rsidRPr="00700626">
              <w:rPr>
                <w:rFonts w:ascii="Times New Roman" w:hAnsi="Times New Roman" w:cs="Times New Roman"/>
                <w:sz w:val="18"/>
                <w:szCs w:val="18"/>
                <w:lang w:val="en-GB"/>
              </w:rPr>
              <w:t xml:space="preserve">Number of days: literature </w:t>
            </w:r>
            <w:r w:rsidRPr="00700626">
              <w:rPr>
                <w:rFonts w:ascii="Times New Roman" w:hAnsi="Times New Roman" w:cs="Times New Roman"/>
                <w:sz w:val="18"/>
                <w:szCs w:val="18"/>
                <w:lang w:val="en-GB"/>
              </w:rPr>
              <w:fldChar w:fldCharType="begin"/>
            </w:r>
            <w:r w:rsidR="00763D2F" w:rsidRPr="00700626">
              <w:rPr>
                <w:rFonts w:ascii="Times New Roman" w:hAnsi="Times New Roman" w:cs="Times New Roman"/>
                <w:sz w:val="18"/>
                <w:szCs w:val="18"/>
                <w:lang w:val="en-GB"/>
              </w:rPr>
              <w:instrText xml:space="preserve"> ADDIN ZOTERO_ITEM CSL_CITATION {"citationID":"9dUZPUWL","properties":{"formattedCitation":"[41]","plainCitation":"[41]","noteIndex":0},"citationItems":[{"id":51698,"uris":["http://zotero.org/groups/2639534/items/LFBXBD63"],"uri":["http://zotero.org/groups/2639534/items/LFBXBD63"],"itemData":{"id":51698,"type":"article-journal","abstract":"Little is known on how pulmonary arterial hypertension (PAH) may impact worker productivity.\nThe objective of this study was to estimate indirect costs of PAH in an employed population.","container-title":"Value in Health","DOI":"10.1016/j.jval.2014.03.689","ISSN":"1098-3015, 1524-4733","issue":"3","journalAbbreviation":"Value in Health","language":"English","note":"publisher: Elsevier","page":"A118","source":"www.valueinhealthjournal.com","title":"Estimation Of Pulmonary Arterial Hypertension On Productivity Losses In The United States","volume":"17","author":[{"family":"Joish","given":"V. N."},{"family":"Kreilick","given":"C."},{"family":"Germino","given":"R."},{"family":"Muccino","given":"D."}],"issued":{"date-parts":[["2014"]]}}}],"schema":"https://github.com/citation-style-language/schema/raw/master/csl-citation.json"} </w:instrText>
            </w:r>
            <w:r w:rsidRPr="00700626">
              <w:rPr>
                <w:rFonts w:ascii="Times New Roman" w:hAnsi="Times New Roman" w:cs="Times New Roman"/>
                <w:sz w:val="18"/>
                <w:szCs w:val="18"/>
                <w:lang w:val="en-GB"/>
              </w:rPr>
              <w:fldChar w:fldCharType="separate"/>
            </w:r>
            <w:r w:rsidR="00763D2F" w:rsidRPr="00700626">
              <w:rPr>
                <w:rFonts w:ascii="Times New Roman" w:hAnsi="Times New Roman" w:cs="Times New Roman"/>
                <w:sz w:val="18"/>
                <w:szCs w:val="18"/>
                <w:lang w:val="en-GB"/>
              </w:rPr>
              <w:t>[41]</w:t>
            </w:r>
            <w:r w:rsidRPr="00700626">
              <w:rPr>
                <w:rFonts w:ascii="Times New Roman" w:hAnsi="Times New Roman" w:cs="Times New Roman"/>
                <w:sz w:val="18"/>
                <w:szCs w:val="18"/>
                <w:lang w:val="en-GB"/>
              </w:rPr>
              <w:fldChar w:fldCharType="end"/>
            </w:r>
          </w:p>
          <w:p w14:paraId="44135954" w14:textId="12BD7491" w:rsidR="009A20C3" w:rsidRPr="00700626" w:rsidRDefault="009A20C3" w:rsidP="005C13B8">
            <w:pPr>
              <w:spacing w:before="0" w:after="0" w:line="240" w:lineRule="auto"/>
              <w:jc w:val="left"/>
              <w:rPr>
                <w:rFonts w:ascii="Times New Roman" w:hAnsi="Times New Roman" w:cs="Times New Roman"/>
                <w:sz w:val="18"/>
                <w:szCs w:val="18"/>
                <w:lang w:val="en-GB"/>
              </w:rPr>
            </w:pPr>
            <w:r w:rsidRPr="00700626">
              <w:rPr>
                <w:rFonts w:ascii="Times New Roman" w:hAnsi="Times New Roman" w:cs="Times New Roman"/>
                <w:sz w:val="18"/>
                <w:szCs w:val="18"/>
                <w:lang w:val="en-GB"/>
              </w:rPr>
              <w:t xml:space="preserve">Distribution by FC: Survey: Spanish Pulmonary Hypertension Patient Organisation, HPE-ORG) </w:t>
            </w:r>
            <w:r w:rsidRPr="00700626">
              <w:rPr>
                <w:rFonts w:ascii="Times New Roman" w:hAnsi="Times New Roman" w:cs="Times New Roman"/>
                <w:sz w:val="18"/>
                <w:szCs w:val="18"/>
                <w:lang w:val="en-GB"/>
              </w:rPr>
              <w:fldChar w:fldCharType="begin"/>
            </w:r>
            <w:r w:rsidR="00763D2F" w:rsidRPr="00700626">
              <w:rPr>
                <w:rFonts w:ascii="Times New Roman" w:hAnsi="Times New Roman" w:cs="Times New Roman"/>
                <w:sz w:val="18"/>
                <w:szCs w:val="18"/>
                <w:lang w:val="en-GB"/>
              </w:rPr>
              <w:instrText xml:space="preserve"> ADDIN ZOTERO_ITEM CSL_CITATION {"citationID":"bqxgiBhI","properties":{"formattedCitation":"[38]","plainCitation":"[38]","noteIndex":0},"citationItems":[{"id":57580,"uris":["http://zotero.org/groups/2639534/items/U2Z9E4QJ"],"uri":["http://zotero.org/groups/2639534/items/U2Z9E4QJ"],"itemData":{"id":57580,"type":"webpage","abstract":"c","container-title":"Hipertensión Pulmonar","language":"es-es","title":"La carga socioeconómica de la hipertensión pulmonar en España","URL":"https://hipertension-pulmonar.com/la-asociacion/estudios/255-la-carga-socioeconomica-de-la-hipertension-pulmonar-en-espana","accessed":{"date-parts":[["2021",6,28]]}}}],"schema":"https://github.com/citation-style-language/schema/raw/master/csl-citation.json"} </w:instrText>
            </w:r>
            <w:r w:rsidRPr="00700626">
              <w:rPr>
                <w:rFonts w:ascii="Times New Roman" w:hAnsi="Times New Roman" w:cs="Times New Roman"/>
                <w:sz w:val="18"/>
                <w:szCs w:val="18"/>
                <w:lang w:val="en-GB"/>
              </w:rPr>
              <w:fldChar w:fldCharType="separate"/>
            </w:r>
            <w:r w:rsidR="00763D2F" w:rsidRPr="00700626">
              <w:rPr>
                <w:rFonts w:ascii="Times New Roman" w:hAnsi="Times New Roman" w:cs="Times New Roman"/>
                <w:sz w:val="18"/>
                <w:szCs w:val="18"/>
                <w:lang w:val="en-GB"/>
              </w:rPr>
              <w:t>[38]</w:t>
            </w:r>
            <w:r w:rsidRPr="00700626">
              <w:rPr>
                <w:rFonts w:ascii="Times New Roman" w:hAnsi="Times New Roman" w:cs="Times New Roman"/>
                <w:sz w:val="18"/>
                <w:szCs w:val="18"/>
                <w:lang w:val="en-GB"/>
              </w:rPr>
              <w:fldChar w:fldCharType="end"/>
            </w:r>
          </w:p>
        </w:tc>
        <w:tc>
          <w:tcPr>
            <w:tcW w:w="2930" w:type="dxa"/>
            <w:tcMar>
              <w:top w:w="57" w:type="dxa"/>
              <w:bottom w:w="57" w:type="dxa"/>
            </w:tcMar>
          </w:tcPr>
          <w:p w14:paraId="3556CA60" w14:textId="3FF4C327" w:rsidR="009A20C3" w:rsidRPr="00700626" w:rsidRDefault="004866C1" w:rsidP="005C13B8">
            <w:pPr>
              <w:spacing w:before="0" w:after="0" w:line="240" w:lineRule="auto"/>
              <w:jc w:val="left"/>
              <w:rPr>
                <w:rFonts w:ascii="Times New Roman" w:eastAsia="Times New Roman" w:hAnsi="Times New Roman" w:cs="Times New Roman"/>
                <w:sz w:val="18"/>
                <w:szCs w:val="18"/>
                <w:lang w:val="en-GB" w:eastAsia="es-ES_tradnl"/>
              </w:rPr>
            </w:pPr>
            <w:r>
              <w:rPr>
                <w:rFonts w:ascii="Times New Roman" w:eastAsia="Times New Roman" w:hAnsi="Times New Roman" w:cs="Times New Roman"/>
                <w:sz w:val="18"/>
                <w:szCs w:val="18"/>
                <w:lang w:val="en-GB" w:eastAsia="es-ES_tradnl"/>
              </w:rPr>
              <w:t xml:space="preserve">Not included </w:t>
            </w:r>
          </w:p>
        </w:tc>
      </w:tr>
      <w:tr w:rsidR="00F66ACA" w:rsidRPr="00910732" w14:paraId="24614839" w14:textId="77777777" w:rsidTr="00F66ACA">
        <w:tc>
          <w:tcPr>
            <w:tcW w:w="1286" w:type="dxa"/>
          </w:tcPr>
          <w:p w14:paraId="28FC6700"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IC</w:t>
            </w:r>
          </w:p>
        </w:tc>
        <w:tc>
          <w:tcPr>
            <w:tcW w:w="4180" w:type="dxa"/>
            <w:tcMar>
              <w:top w:w="57" w:type="dxa"/>
              <w:bottom w:w="57" w:type="dxa"/>
            </w:tcMar>
          </w:tcPr>
          <w:p w14:paraId="76082BF6"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Time spent on medical visits and tests: An average duration of 30 to 60 minutes was assumed for each visit/test, with an average travelling time of 1 hour (round trip). For hospitalisations and NIMV, the average duration considered was 8 hours per day (equivalent to one working day)</w:t>
            </w:r>
          </w:p>
        </w:tc>
        <w:tc>
          <w:tcPr>
            <w:tcW w:w="2377" w:type="dxa"/>
            <w:tcMar>
              <w:top w:w="57" w:type="dxa"/>
              <w:bottom w:w="57" w:type="dxa"/>
            </w:tcMar>
          </w:tcPr>
          <w:p w14:paraId="328B68B7" w14:textId="77777777" w:rsidR="009A20C3" w:rsidRPr="00700626" w:rsidRDefault="009A20C3" w:rsidP="005C13B8">
            <w:pPr>
              <w:spacing w:before="0" w:after="0" w:line="240" w:lineRule="auto"/>
              <w:jc w:val="left"/>
              <w:rPr>
                <w:rFonts w:ascii="Times New Roman" w:hAnsi="Times New Roman" w:cs="Times New Roman"/>
                <w:sz w:val="18"/>
                <w:szCs w:val="18"/>
                <w:lang w:val="en-GB"/>
              </w:rPr>
            </w:pPr>
            <w:r w:rsidRPr="00700626">
              <w:rPr>
                <w:rFonts w:ascii="Times New Roman" w:hAnsi="Times New Roman" w:cs="Times New Roman"/>
                <w:sz w:val="18"/>
                <w:szCs w:val="18"/>
                <w:lang w:val="en-GB"/>
              </w:rPr>
              <w:t>Experts Committee</w:t>
            </w:r>
          </w:p>
        </w:tc>
        <w:tc>
          <w:tcPr>
            <w:tcW w:w="2930" w:type="dxa"/>
            <w:tcMar>
              <w:top w:w="57" w:type="dxa"/>
              <w:bottom w:w="57" w:type="dxa"/>
            </w:tcMar>
          </w:tcPr>
          <w:p w14:paraId="293D0122" w14:textId="4BE8E061" w:rsidR="009A20C3" w:rsidRPr="00700626" w:rsidRDefault="004866C1" w:rsidP="005C13B8">
            <w:pPr>
              <w:spacing w:before="0" w:after="0" w:line="240" w:lineRule="auto"/>
              <w:jc w:val="left"/>
              <w:rPr>
                <w:rFonts w:ascii="Times New Roman" w:eastAsia="Times New Roman" w:hAnsi="Times New Roman" w:cs="Times New Roman"/>
                <w:sz w:val="18"/>
                <w:szCs w:val="18"/>
                <w:lang w:val="en-GB" w:eastAsia="es-ES_tradnl"/>
              </w:rPr>
            </w:pPr>
            <w:r>
              <w:rPr>
                <w:rFonts w:ascii="Times New Roman" w:eastAsia="Times New Roman" w:hAnsi="Times New Roman" w:cs="Times New Roman"/>
                <w:sz w:val="18"/>
                <w:szCs w:val="18"/>
                <w:lang w:val="en-GB" w:eastAsia="es-ES_tradnl"/>
              </w:rPr>
              <w:t>Included in the s</w:t>
            </w:r>
            <w:r w:rsidR="009A20C3" w:rsidRPr="00700626">
              <w:rPr>
                <w:rFonts w:ascii="Times New Roman" w:eastAsia="Times New Roman" w:hAnsi="Times New Roman" w:cs="Times New Roman"/>
                <w:sz w:val="18"/>
                <w:szCs w:val="18"/>
                <w:lang w:val="en-GB" w:eastAsia="es-ES_tradnl"/>
              </w:rPr>
              <w:t>ensitivity analysis (experts’ opinion)</w:t>
            </w:r>
          </w:p>
        </w:tc>
      </w:tr>
      <w:tr w:rsidR="00F66ACA" w:rsidRPr="00700626" w14:paraId="78C1F337" w14:textId="77777777" w:rsidTr="00F66ACA">
        <w:tc>
          <w:tcPr>
            <w:tcW w:w="1286" w:type="dxa"/>
          </w:tcPr>
          <w:p w14:paraId="431C8880"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Prevalent</w:t>
            </w:r>
          </w:p>
        </w:tc>
        <w:tc>
          <w:tcPr>
            <w:tcW w:w="4180" w:type="dxa"/>
            <w:tcMar>
              <w:top w:w="57" w:type="dxa"/>
              <w:bottom w:w="57" w:type="dxa"/>
            </w:tcMar>
          </w:tcPr>
          <w:p w14:paraId="38AD6F84"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For prevalent patients, follow-up medical visits and tests were considered, and no drug administration cost was assumed</w:t>
            </w:r>
          </w:p>
        </w:tc>
        <w:tc>
          <w:tcPr>
            <w:tcW w:w="2377" w:type="dxa"/>
            <w:tcMar>
              <w:top w:w="57" w:type="dxa"/>
              <w:bottom w:w="57" w:type="dxa"/>
            </w:tcMar>
          </w:tcPr>
          <w:p w14:paraId="709BECB2" w14:textId="7B71BF7A" w:rsidR="009A20C3" w:rsidRPr="00700626" w:rsidRDefault="009A20C3" w:rsidP="005C13B8">
            <w:pPr>
              <w:spacing w:before="0" w:after="0" w:line="240" w:lineRule="auto"/>
              <w:jc w:val="left"/>
              <w:rPr>
                <w:rFonts w:ascii="Times New Roman" w:hAnsi="Times New Roman" w:cs="Times New Roman"/>
                <w:sz w:val="18"/>
                <w:szCs w:val="18"/>
                <w:lang w:val="en-GB"/>
              </w:rPr>
            </w:pPr>
            <w:r w:rsidRPr="00700626">
              <w:rPr>
                <w:rFonts w:ascii="Times New Roman" w:hAnsi="Times New Roman" w:cs="Times New Roman"/>
                <w:sz w:val="18"/>
                <w:szCs w:val="18"/>
                <w:lang w:val="en-GB"/>
              </w:rPr>
              <w:t xml:space="preserve">Literature </w:t>
            </w:r>
            <w:r w:rsidRPr="00700626">
              <w:rPr>
                <w:rFonts w:ascii="Times New Roman" w:hAnsi="Times New Roman" w:cs="Times New Roman"/>
                <w:sz w:val="18"/>
                <w:szCs w:val="18"/>
                <w:lang w:val="en-GB"/>
              </w:rPr>
              <w:fldChar w:fldCharType="begin"/>
            </w:r>
            <w:r w:rsidR="00763D2F" w:rsidRPr="00700626">
              <w:rPr>
                <w:rFonts w:ascii="Times New Roman" w:hAnsi="Times New Roman" w:cs="Times New Roman"/>
                <w:sz w:val="18"/>
                <w:szCs w:val="18"/>
                <w:lang w:val="en-GB"/>
              </w:rPr>
              <w:instrText xml:space="preserve"> ADDIN ZOTERO_ITEM CSL_CITATION {"citationID":"3uwlNJpm","properties":{"formattedCitation":"[37]","plainCitation":"[37]","noteIndex":0},"citationItems":[{"id":51323,"uris":["http://zotero.org/groups/2639534/items/DQHAYYNS"],"uri":["http://zotero.org/groups/2639534/items/DQHAYYNS"],"itemData":{"id":51323,"type":"article-journal","abstract":"BACKGROUND: Pulmonary arterial hypertension (PAH) is considered an orphan disease. Prostacyclins are the keystone for PAH treatment. Choosing between the three available prostacyclin therapies could be complicated because there are no comparison studies, so the final decision must be driven by factors such as efficacy, administration route, safety profile and economic aspects.\nOBJECTIVE: This study provides a cost-effectiveness and cost-utility comparison of initiating prostacyclin therapy with three different treatment alternatives (inhaled iloprost [ILO], intravenous epoprostenol [EPO] and subcutaneous treprostinil [TRE]) for patients with PAH. The goal of this work is to help physicians with their therapeutic decision-making.\nMETHODS: A Markov model was built to simulate a patient cohort with class III PAH according to the classification of the New York Heart Association (NYHA). Four health states corresponding with the NYHA classes plus death were allowed for patients in the model. Changing the treatment was possible when patients worsened from functional class III to IV. The time horizon was 3 years, allowing patients to transition between health states on a 12-week cycle basis. The study perspective was that of the National Health System (NHS) [only direct medical costs were included]. Unitary costs were obtained from the Drug Catalogue and e-Salud Database in 2009 and are given in euros (€). Data on health resources and treatment pathways were informed by a four-member expert panel. Efficacy was obtained from pivotal clinical trials of ILO, EPO and TRE, the latter used in Spain as a foreign medication. Utilities for each health state were obtained from the literature. The final efficacy measure was life-years gained (LYG), and utilities were used to obtain quality-adjusted life-years (QALYs). Costs and effects were discounted at a 3% rate. To check for the robustness of the results, sensitivity analyses were performed.\nRESULTS: At the end of the 3 years, in the base case of the deterministic analysis, initiating prostacyclin therapy with iloprost was the less costly strategy (€132,840), followed by treprostinil (€359,869) and epoprostenol (€429,775). Epoprostenol has shown the best efficacy results with 2.73 LYG and 1.78 QALY, followed by iloprost (2.69 LYG and 1.74 QALY) and treprostinil (2.69 LYG and 1.73 QALY). Incremental cost-effectiveness ratios (ICER) and cost-utility ratios (ICUR) of epoprostenol versus iloprost and treprostinil were much above the €30,000 per LYG or QALY threshold commonly used in Spain. Iloprost was dominant compared with treprostinil. In the probabilistic analysis, epoprostenol, when compared with iloprost, was a dominant strategy in 15% of the simulations, but it was not a cost-effective option in 83% of the cases. When compared with treprostinil, epoprostenol was dominant in 43% of the simulations. Iloprost was dominant compared with treprostinil in 45% of the cases and it was a cost-effective alternative in 39% of the simulations.\nCONCLUSIONS: Initiating prostacyclin treatment with iloprost in patients with PAH, functional class III of the NYHA, is the less costly alternative for the NHS in Spain, with a good efficacy profile when compared with the other alternatives.","container-title":"Applied Health Economics and Health Policy","DOI":"10.2165/11630780-000000000-00000","ISSN":"1179-1896","issue":"3","journalAbbreviation":"Appl Health Econ Health Policy","language":"eng","note":"PMID: 22452448","page":"175-188","source":"PubMed","title":"Cost effectiveness of prostacyclins in pulmonary arterial hypertension","volume":"10","author":[{"family":"Roman","given":"Antonio"},{"family":"Barberà","given":"Joan A."},{"family":"Escribano","given":"Pilar"},{"family":"Sala","given":"Maria L."},{"family":"Febrer","given":"Laia"},{"family":"Oyagüez","given":"Itziar"},{"family":"Sabater","given":"Eliazar"},{"family":"Casado","given":"Miguel A."}],"issued":{"date-parts":[["2012",5,1]]}}}],"schema":"https://github.com/citation-style-language/schema/raw/master/csl-citation.json"} </w:instrText>
            </w:r>
            <w:r w:rsidRPr="00700626">
              <w:rPr>
                <w:rFonts w:ascii="Times New Roman" w:hAnsi="Times New Roman" w:cs="Times New Roman"/>
                <w:sz w:val="18"/>
                <w:szCs w:val="18"/>
                <w:lang w:val="en-GB"/>
              </w:rPr>
              <w:fldChar w:fldCharType="separate"/>
            </w:r>
            <w:r w:rsidR="00763D2F" w:rsidRPr="00700626">
              <w:rPr>
                <w:rFonts w:ascii="Times New Roman" w:hAnsi="Times New Roman" w:cs="Times New Roman"/>
                <w:sz w:val="18"/>
                <w:szCs w:val="18"/>
                <w:lang w:val="en-GB"/>
              </w:rPr>
              <w:t>[37]</w:t>
            </w:r>
            <w:r w:rsidRPr="00700626">
              <w:rPr>
                <w:rFonts w:ascii="Times New Roman" w:hAnsi="Times New Roman" w:cs="Times New Roman"/>
                <w:sz w:val="18"/>
                <w:szCs w:val="18"/>
                <w:lang w:val="en-GB"/>
              </w:rPr>
              <w:fldChar w:fldCharType="end"/>
            </w:r>
          </w:p>
        </w:tc>
        <w:tc>
          <w:tcPr>
            <w:tcW w:w="2930" w:type="dxa"/>
            <w:tcMar>
              <w:top w:w="57" w:type="dxa"/>
              <w:bottom w:w="57" w:type="dxa"/>
            </w:tcMar>
          </w:tcPr>
          <w:p w14:paraId="28D46F63" w14:textId="7768AF9F" w:rsidR="009A20C3" w:rsidRPr="00700626" w:rsidRDefault="004866C1" w:rsidP="005C13B8">
            <w:pPr>
              <w:spacing w:before="0" w:after="0" w:line="240" w:lineRule="auto"/>
              <w:jc w:val="left"/>
              <w:rPr>
                <w:rFonts w:ascii="Times New Roman" w:eastAsia="Times New Roman" w:hAnsi="Times New Roman" w:cs="Times New Roman"/>
                <w:sz w:val="18"/>
                <w:szCs w:val="18"/>
                <w:lang w:val="en-GB" w:eastAsia="es-ES_tradnl"/>
              </w:rPr>
            </w:pPr>
            <w:r>
              <w:rPr>
                <w:rFonts w:ascii="Times New Roman" w:eastAsia="Times New Roman" w:hAnsi="Times New Roman" w:cs="Times New Roman"/>
                <w:sz w:val="18"/>
                <w:szCs w:val="18"/>
                <w:lang w:val="en-GB" w:eastAsia="es-ES_tradnl"/>
              </w:rPr>
              <w:t>Not included</w:t>
            </w:r>
          </w:p>
        </w:tc>
      </w:tr>
      <w:tr w:rsidR="00F66ACA" w:rsidRPr="00910732" w14:paraId="28B92257" w14:textId="77777777" w:rsidTr="00F66ACA">
        <w:tc>
          <w:tcPr>
            <w:tcW w:w="1286" w:type="dxa"/>
          </w:tcPr>
          <w:p w14:paraId="439C8568"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Incident</w:t>
            </w:r>
          </w:p>
        </w:tc>
        <w:tc>
          <w:tcPr>
            <w:tcW w:w="4180" w:type="dxa"/>
            <w:tcMar>
              <w:top w:w="57" w:type="dxa"/>
              <w:bottom w:w="57" w:type="dxa"/>
            </w:tcMar>
          </w:tcPr>
          <w:p w14:paraId="66B6CD82" w14:textId="77777777" w:rsidR="009A20C3" w:rsidRPr="00700626" w:rsidRDefault="009A20C3" w:rsidP="005C13B8">
            <w:pPr>
              <w:pStyle w:val="Prrafodelista"/>
              <w:numPr>
                <w:ilvl w:val="0"/>
                <w:numId w:val="21"/>
              </w:numPr>
              <w:spacing w:before="0" w:after="0" w:line="240" w:lineRule="auto"/>
              <w:ind w:left="0"/>
              <w:contextualSpacing w:val="0"/>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Diagnosis tests and first medical visits were assumed, regardless of the patient’s FC</w:t>
            </w:r>
          </w:p>
          <w:p w14:paraId="0DF6CF31" w14:textId="77777777" w:rsidR="009A20C3" w:rsidRPr="00700626" w:rsidRDefault="009A20C3" w:rsidP="005C13B8">
            <w:pPr>
              <w:pStyle w:val="Prrafodelista"/>
              <w:numPr>
                <w:ilvl w:val="0"/>
                <w:numId w:val="21"/>
              </w:numPr>
              <w:spacing w:before="0" w:after="0" w:line="240" w:lineRule="auto"/>
              <w:ind w:left="0"/>
              <w:contextualSpacing w:val="0"/>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The cost of care management and supportive therapies were added, assuming that incident patients consumed half the annual resources of prevalent ones, as the exact date of diagnosis couldn’t be specified</w:t>
            </w:r>
          </w:p>
          <w:p w14:paraId="507751E8" w14:textId="77777777" w:rsidR="009A20C3" w:rsidRPr="00700626" w:rsidRDefault="009A20C3" w:rsidP="005C13B8">
            <w:pPr>
              <w:pStyle w:val="Prrafodelista"/>
              <w:numPr>
                <w:ilvl w:val="0"/>
                <w:numId w:val="21"/>
              </w:numPr>
              <w:spacing w:before="0" w:after="0" w:line="240" w:lineRule="auto"/>
              <w:ind w:left="0"/>
              <w:contextualSpacing w:val="0"/>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 xml:space="preserve">Transplant costs were not included </w:t>
            </w:r>
          </w:p>
          <w:p w14:paraId="0C8E1996" w14:textId="77777777" w:rsidR="009A20C3" w:rsidRPr="00700626" w:rsidRDefault="009A20C3" w:rsidP="005C13B8">
            <w:pPr>
              <w:pStyle w:val="Prrafodelista"/>
              <w:numPr>
                <w:ilvl w:val="0"/>
                <w:numId w:val="21"/>
              </w:numPr>
              <w:spacing w:before="0" w:after="0" w:line="240" w:lineRule="auto"/>
              <w:ind w:left="0"/>
              <w:contextualSpacing w:val="0"/>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 xml:space="preserve">Costs of early retirement, permanent disability, temporary leave, or reduction of working hours were not included for incident patients. </w:t>
            </w:r>
          </w:p>
        </w:tc>
        <w:tc>
          <w:tcPr>
            <w:tcW w:w="2377" w:type="dxa"/>
            <w:tcMar>
              <w:top w:w="57" w:type="dxa"/>
              <w:bottom w:w="57" w:type="dxa"/>
            </w:tcMar>
          </w:tcPr>
          <w:p w14:paraId="42783CF9" w14:textId="43B923A0" w:rsidR="009A20C3" w:rsidRPr="00700626" w:rsidRDefault="009A20C3" w:rsidP="005C13B8">
            <w:pPr>
              <w:spacing w:before="0" w:after="0" w:line="240" w:lineRule="auto"/>
              <w:jc w:val="left"/>
              <w:rPr>
                <w:rFonts w:ascii="Times New Roman" w:hAnsi="Times New Roman" w:cs="Times New Roman"/>
                <w:sz w:val="18"/>
                <w:szCs w:val="18"/>
                <w:lang w:val="en-GB"/>
              </w:rPr>
            </w:pPr>
            <w:r w:rsidRPr="00700626">
              <w:rPr>
                <w:rFonts w:ascii="Times New Roman" w:hAnsi="Times New Roman" w:cs="Times New Roman"/>
                <w:sz w:val="18"/>
                <w:szCs w:val="18"/>
                <w:lang w:val="en-GB"/>
              </w:rPr>
              <w:t xml:space="preserve">Literature  </w:t>
            </w:r>
            <w:r w:rsidRPr="00700626">
              <w:rPr>
                <w:rFonts w:ascii="Times New Roman" w:hAnsi="Times New Roman" w:cs="Times New Roman"/>
                <w:sz w:val="18"/>
                <w:szCs w:val="18"/>
                <w:lang w:val="en-GB"/>
              </w:rPr>
              <w:fldChar w:fldCharType="begin"/>
            </w:r>
            <w:r w:rsidR="00763D2F" w:rsidRPr="00700626">
              <w:rPr>
                <w:rFonts w:ascii="Times New Roman" w:hAnsi="Times New Roman" w:cs="Times New Roman"/>
                <w:sz w:val="18"/>
                <w:szCs w:val="18"/>
                <w:lang w:val="en-GB"/>
              </w:rPr>
              <w:instrText xml:space="preserve"> ADDIN ZOTERO_ITEM CSL_CITATION {"citationID":"yGtyeDGq","properties":{"formattedCitation":"[32, 42]","plainCitation":"[32, 42]","noteIndex":0},"citationItems":[{"id":65237,"uris":["http://zotero.org/groups/2639534/items/YIBNCEB7"],"uri":["http://zotero.org/groups/2639534/items/YIBNCEB7"],"itemData":{"id":65237,"type":"webpage","title":"Seguridad Social: Trámites y Gestiones","URL":"https://www.seg-social.es/wps/portal/wss/internet/InformacionUtil/44539","author":[{"family":"Ministerio de Inclusión, Seguridad Social y Migraciones","given":""}],"accessed":{"date-parts":[["2022",1,26]]}}},{"id":51586,"uris":["http://zotero.org/groups/2639534/items/H8UNUSMC"],"uri":["http://zotero.org/groups/2639534/items/H8UNUSMC"],"itemData":{"id":51586,"type":"article-journal","abstract":"Guidelines summarize and evaluate all available evidence on a particular issue at the time of the writing process, with the aim of assisting health professionals in selecting the best management strategies for an individual patient with a given condition, taking into account the impact on outcome, as well as the risk-benefit ratio of particular diagnostic or therapeutic means. Guidelines and recommendations should help health professionals to make decisions in their daily practice. However, the final decisions concerning an individual patient must be made by the responsible health professional(s) in consultation with the patient and caregiver as appropriate.","container-title":"The European Respiratory Journal","DOI":"10.1183/13993003.01032-2015","ISSN":"1399-3003","issue":"4","journalAbbreviation":"Eur Respir J","language":"eng","note":"PMID: 26318161","page":"903-975","source":"PubMed","title":"ESC/ERS Guidelines for the diagnosis and treatment of pulmonary hypertension: The Joint Task Force for the Diagnosis and Treatment of Pulmonary Hypertension of the European Society of Cardiology (ESC) and the European Respiratory Society (ERS): Endorsed by: Association for European Paediatric and Congenital Cardiology (AEPC), International Society for Heart and Lung Transplantation (ISHLT)","title-short":"ESC/ERS Guidelines for the diagnosis and treatment of pulmonary hypertension","volume":"46","author":[{"family":"Galiè","given":"Nazzareno"},{"family":"Humbert","given":"Marc"},{"family":"Vachiery","given":"Jean-Luc"},{"family":"Gibbs","given":"Simon"},{"family":"Lang","given":"Irene"},{"family":"Torbicki","given":"Adam"},{"family":"Simonneau","given":"Gérald"},{"family":"Peacock","given":"Andrew"},{"family":"Vonk Noordegraaf","given":"Anton"},{"family":"Beghetti","given":"Maurice"},{"family":"Ghofrani","given":"Ardeschir"},{"family":"Gomez Sanchez","given":"Miguel Angel"},{"family":"Hansmann","given":"Georg"},{"family":"Klepetko","given":"Walter"},{"family":"Lancellotti","given":"Patrizio"},{"family":"Matucci","given":"Marco"},{"family":"McDonagh","given":"Theresa"},{"family":"Pierard","given":"Luc A."},{"family":"Trindade","given":"Pedro T."},{"family":"Zompatori","given":"Maurizio"},{"family":"Hoeper","given":"Marius"}],"issued":{"date-parts":[["2015"]]}}}],"schema":"https://github.com/citation-style-language/schema/raw/master/csl-citation.json"} </w:instrText>
            </w:r>
            <w:r w:rsidRPr="00700626">
              <w:rPr>
                <w:rFonts w:ascii="Times New Roman" w:hAnsi="Times New Roman" w:cs="Times New Roman"/>
                <w:sz w:val="18"/>
                <w:szCs w:val="18"/>
                <w:lang w:val="en-GB"/>
              </w:rPr>
              <w:fldChar w:fldCharType="separate"/>
            </w:r>
            <w:r w:rsidR="00763D2F" w:rsidRPr="00700626">
              <w:rPr>
                <w:rFonts w:ascii="Times New Roman" w:hAnsi="Times New Roman" w:cs="Times New Roman"/>
                <w:sz w:val="18"/>
                <w:szCs w:val="18"/>
                <w:lang w:val="en-GB"/>
              </w:rPr>
              <w:t>[32, 42]</w:t>
            </w:r>
            <w:r w:rsidRPr="00700626">
              <w:rPr>
                <w:rFonts w:ascii="Times New Roman" w:hAnsi="Times New Roman" w:cs="Times New Roman"/>
                <w:sz w:val="18"/>
                <w:szCs w:val="18"/>
                <w:lang w:val="en-GB"/>
              </w:rPr>
              <w:fldChar w:fldCharType="end"/>
            </w:r>
          </w:p>
        </w:tc>
        <w:tc>
          <w:tcPr>
            <w:tcW w:w="2930" w:type="dxa"/>
            <w:tcMar>
              <w:top w:w="57" w:type="dxa"/>
              <w:bottom w:w="57" w:type="dxa"/>
            </w:tcMar>
          </w:tcPr>
          <w:p w14:paraId="19C8001D" w14:textId="2DD11783" w:rsidR="009A20C3" w:rsidRPr="00700626" w:rsidRDefault="004866C1" w:rsidP="005C13B8">
            <w:pPr>
              <w:spacing w:before="0" w:after="0" w:line="240" w:lineRule="auto"/>
              <w:jc w:val="left"/>
              <w:rPr>
                <w:rFonts w:ascii="Times New Roman" w:eastAsia="Times New Roman" w:hAnsi="Times New Roman" w:cs="Times New Roman"/>
                <w:sz w:val="18"/>
                <w:szCs w:val="18"/>
                <w:lang w:val="en-GB" w:eastAsia="es-ES_tradnl"/>
              </w:rPr>
            </w:pPr>
            <w:r>
              <w:rPr>
                <w:rFonts w:ascii="Times New Roman" w:eastAsia="Times New Roman" w:hAnsi="Times New Roman" w:cs="Times New Roman"/>
                <w:sz w:val="18"/>
                <w:szCs w:val="18"/>
                <w:lang w:val="en-GB" w:eastAsia="es-ES_tradnl"/>
              </w:rPr>
              <w:t>Not included</w:t>
            </w:r>
          </w:p>
        </w:tc>
      </w:tr>
      <w:tr w:rsidR="00F66ACA" w:rsidRPr="00700626" w14:paraId="299229E7" w14:textId="77777777" w:rsidTr="00F66ACA">
        <w:tc>
          <w:tcPr>
            <w:tcW w:w="1286" w:type="dxa"/>
          </w:tcPr>
          <w:p w14:paraId="61673A39" w14:textId="77777777" w:rsidR="009A20C3" w:rsidRPr="00700626" w:rsidRDefault="009A20C3" w:rsidP="005C13B8">
            <w:pPr>
              <w:spacing w:before="0" w:after="0" w:line="240" w:lineRule="auto"/>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Epidemiology: prevalence and incidence</w:t>
            </w:r>
          </w:p>
        </w:tc>
        <w:tc>
          <w:tcPr>
            <w:tcW w:w="4180" w:type="dxa"/>
            <w:tcMar>
              <w:top w:w="57" w:type="dxa"/>
              <w:bottom w:w="57" w:type="dxa"/>
            </w:tcMar>
          </w:tcPr>
          <w:p w14:paraId="503175A5" w14:textId="77777777" w:rsidR="009A20C3" w:rsidRPr="00700626" w:rsidRDefault="009A20C3" w:rsidP="005C13B8">
            <w:pPr>
              <w:pStyle w:val="Prrafodelista"/>
              <w:numPr>
                <w:ilvl w:val="0"/>
                <w:numId w:val="22"/>
              </w:numPr>
              <w:spacing w:before="0" w:after="0" w:line="240" w:lineRule="auto"/>
              <w:ind w:left="0"/>
              <w:contextualSpacing w:val="0"/>
              <w:jc w:val="left"/>
              <w:rPr>
                <w:rFonts w:ascii="Times New Roman" w:eastAsia="Times New Roman" w:hAnsi="Times New Roman" w:cs="Times New Roman"/>
                <w:sz w:val="18"/>
                <w:szCs w:val="18"/>
                <w:lang w:val="en-GB" w:eastAsia="es-ES_tradnl"/>
              </w:rPr>
            </w:pPr>
            <w:r w:rsidRPr="00700626">
              <w:rPr>
                <w:rFonts w:ascii="Times New Roman" w:eastAsia="Times New Roman" w:hAnsi="Times New Roman" w:cs="Times New Roman"/>
                <w:sz w:val="18"/>
                <w:szCs w:val="18"/>
                <w:lang w:val="en-GB" w:eastAsia="es-ES_tradnl"/>
              </w:rPr>
              <w:t>A low and high prevalence range was applied (16.0 and 25.9, respectively) and an incidence of 3.7 to the adult Spanish population of 39.1 million in 2020.</w:t>
            </w:r>
          </w:p>
        </w:tc>
        <w:tc>
          <w:tcPr>
            <w:tcW w:w="2377" w:type="dxa"/>
            <w:tcMar>
              <w:top w:w="57" w:type="dxa"/>
              <w:bottom w:w="57" w:type="dxa"/>
            </w:tcMar>
          </w:tcPr>
          <w:p w14:paraId="147B2C16" w14:textId="4C98ADD4" w:rsidR="009A20C3" w:rsidRPr="00700626" w:rsidRDefault="009A20C3" w:rsidP="005C13B8">
            <w:pPr>
              <w:spacing w:before="0" w:after="0" w:line="240" w:lineRule="auto"/>
              <w:jc w:val="left"/>
              <w:rPr>
                <w:rFonts w:ascii="Times New Roman" w:hAnsi="Times New Roman" w:cs="Times New Roman"/>
                <w:sz w:val="18"/>
                <w:szCs w:val="18"/>
                <w:lang w:val="en-GB"/>
              </w:rPr>
            </w:pPr>
            <w:r w:rsidRPr="00700626">
              <w:rPr>
                <w:rFonts w:ascii="Times New Roman" w:hAnsi="Times New Roman" w:cs="Times New Roman"/>
                <w:sz w:val="18"/>
                <w:szCs w:val="18"/>
                <w:lang w:val="en-GB"/>
              </w:rPr>
              <w:t xml:space="preserve">Literature </w:t>
            </w:r>
            <w:r w:rsidRPr="00700626">
              <w:rPr>
                <w:rStyle w:val="jlqj4b"/>
                <w:rFonts w:ascii="Times New Roman" w:hAnsi="Times New Roman" w:cs="Times New Roman"/>
                <w:sz w:val="18"/>
                <w:szCs w:val="18"/>
                <w:lang w:val="en-GB"/>
              </w:rPr>
              <w:fldChar w:fldCharType="begin"/>
            </w:r>
            <w:r w:rsidR="00763D2F" w:rsidRPr="00700626">
              <w:rPr>
                <w:rStyle w:val="jlqj4b"/>
                <w:rFonts w:ascii="Times New Roman" w:hAnsi="Times New Roman" w:cs="Times New Roman"/>
                <w:sz w:val="18"/>
                <w:szCs w:val="18"/>
                <w:lang w:val="en-GB"/>
              </w:rPr>
              <w:instrText xml:space="preserve"> ADDIN ZOTERO_ITEM CSL_CITATION {"citationID":"xpAWIpKU","properties":{"formattedCitation":"[43\\uc0\\u8211{}46]","plainCitation":"[43–46]","noteIndex":0},"citationItems":[{"id":51362,"uris":["http://zotero.org/groups/2639534/items/9SH9VVZJ"],"uri":["http://zotero.org/groups/2639534/items/9SH9VVZJ"],"itemData":{"id":51362,"type":"article-journal","abstract":"A pulmonary hypertension (PH) registry (Spanish Registry of Pulmonary Arterial Hypertension) was undertaken to analyse prevalence, incidence and survival of pulmonary arterial hypertension (PAH) and chronic thromboembolic pulmonary hypertension (CTEPH) in Spain, and to assess the applicability of recent survival prediction equations. Voluntary reporting of previously diagnosed and incident PAH or CTEPH cases (July 2007-June 2008) was performed. Demographic, functional and haemodynamic variables were evaluated. 866 patients with PAH and 162 with CTEPH were included. PAH associated with toxic oil syndrome and pulmonary veno-occlusive disease were reported for the first time in a PAH registry. Estimated prevalences were as follows: PAH, 16 and CTEPH, 3.2 cases per million adult inhabitants (MAI). Estimated incidences were as follows: PAH, 3.7 and CTEPH, 0.9 cases per MAI per yr. 1-, 3- and 5-yr survival was 87%, 75% and 65%, respectively, with no differences between PAH and CTEPH. Male sex, right atrial pressure and cardiac index were independent predictors of death. Matching between observed survival and that predicted by different equations was closer when the characteristics of the cohorts were similar. Epidemiology and survival of PAH patients in the Spanish registry are similar to recent registries. Characteristics of the population from which survival prediction equations are derived influence their applicability to a different cohort. CTEPH is much less prevalent than PAH, although has a similar survival rate.","container-title":"The European respiratory journal : official journal of the European Society for Clinical Respiratory Physiology","DOI":"10.1183/09031936.00101211","journalAbbreviation":"The European respiratory journal : official journal of the European Society for Clinical Respiratory Physiology","page":"596-603","source":"ResearchGate","title":"REHAP investigators. Survival in pulmonary hypertension in Spain: Insights from the Spanish registry","title-short":"REHAP investigators. Survival in pulmonary hypertension in Spain","volume":"40","author":[{"family":"Escribano-Subias","given":"Pilar"},{"family":"Blanco","given":"Isabel"},{"family":"Lopez-Meseguer","given":"Manuel"},{"family":"Jiménez","given":"Carmen"},{"family":"Román","given":"Antonio"},{"family":"Castillo-Palma","given":"Maria"},{"family":"Segovia","given":"Javier"},{"family":"Sanchez","given":"Miguel"},{"family":"Barbera","given":"Joan"}],"issued":{"date-parts":[["2012"]]}}},{"id":52443,"uris":["http://zotero.org/groups/2639534/items/7MHQH73W"],"uri":["http://zotero.org/groups/2639534/items/7MHQH73W"],"itemData":{"id":52443,"type":"article-journal","container-title":"International Journal of Cardiology","DOI":"10.1016/j.ijcard.2015.11.001","ISSN":"1874-1754","journalAbbreviation":"Int J Cardiol","language":"eng","note":"PMID: 26580339","page":"612-613","source":"PubMed","title":"Incidence and prevalence of pulmonary arterial hypertension in Germany","volume":"203","author":[{"family":"Hoeper","given":"Marius M."},{"family":"Huscher","given":"Doerte"},{"family":"Pittrow","given":"David"}],"issued":{"date-parts":[["2016",1,15]]}}},{"id":51351,"uris":["http://zotero.org/groups/2639534/items/NWIFYLC3"],"uri":["http://zotero.org/groups/2639534/items/NWIFYLC3"],"itemData":{"id":51351,"type":"article-journal","abstract":"A pulmonary hypertension (PH) registry (Spanish Registry of Pulmonary Arterial Hypertension) was undertaken to analyse prevalence, incidence and survival of pulmonary arterial hypertension (PAH) and chronic thromboembolic pulmonary hypertension (CTEPH) in Spain, and to assess the applicability of recent survival prediction equations. Voluntary reporting of previously diagnosed and incident PAH or CTEPH cases (July 2007-June 2008) was performed. Demographic, functional and haemodynamic variables were evaluated. 866 patients with PAH and 162 with CTEPH were included. PAH associated with toxic oil syndrome and pulmonary veno-occlusive disease were reported for the first time in a PAH registry. Estimated prevalences were as follows: PAH, 16 and CTEPH, 3.2 cases per million adult inhabitants (MAI). Estimated incidences were as follows: PAH, 3.7 and CTEPH, 0.9 cases per MAI per yr. 1-, 3- and 5-yr survival was 87%, 75% and 65%, respectively, with no differences between PAH and CTEPH. Male sex, right atrial pressure and cardiac index were independent predictors of death. Matching between observed survival and that predicted by different equations was closer when the characteristics of the cohorts were similar. Epidemiology and survival of PAH patients in the Spanish registry are similar to recent registries. Characteristics of the population from which survival prediction equations are derived influence their applicability to a different cohort. CTEPH is much less prevalent than PAH, although has a similar survival rate.","container-title":"The European Respiratory Journal","DOI":"10.1183/09031936.00101211","ISSN":"1399-3003","issue":"3","journalAbbreviation":"Eur Respir J","language":"eng","note":"PMID: 22362843","page":"596-603","source":"PubMed","title":"Survival in pulmonary hypertension in Spain: insights from the Spanish registry","title-short":"Survival in pulmonary hypertension in Spain","volume":"40","author":[{"family":"Escribano-Subias","given":"Pilar"},{"family":"Blanco","given":"Isabel"},{"family":"López-Meseguer","given":"Manuel"},{"family":"Lopez-Guarch","given":"Carmen Jimenez"},{"family":"Roman","given":"Antonio"},{"family":"Morales","given":"Pilar"},{"family":"Castillo-Palma","given":"María Jesús"},{"family":"Segovia","given":"Javier"},{"family":"Gómez-Sanchez","given":"Miguel A."},{"family":"Barberà","given":"Joan Albert"},{"literal":"REHAP investigators"}],"issued":{"date-parts":[["2012"]]}}},{"id":57295,"uris":["http://zotero.org/groups/2639534/items/TW7C5A6R"],"uri":["http://zotero.org/groups/2639534/items/TW7C5A6R"],"itemData":{"id":57295,"type":"webpage","container-title":"Instituto Nacional de Estadística (INE)","title":"Última Nota de prensa. Cifras de Población. Provisionales a 1 de julio de 2020","URL":"https://www.ine.es/dyngs/INEbase/es/operacion.htm?c=Estadistica_C&amp;cid=1254736176951&amp;menu=ultiDatos&amp;idp=1254735572981"}}],"schema":"https://github.com/citation-style-language/schema/raw/master/csl-citation.json"} </w:instrText>
            </w:r>
            <w:r w:rsidRPr="00700626">
              <w:rPr>
                <w:rStyle w:val="jlqj4b"/>
                <w:rFonts w:ascii="Times New Roman" w:hAnsi="Times New Roman" w:cs="Times New Roman"/>
                <w:sz w:val="18"/>
                <w:szCs w:val="18"/>
                <w:lang w:val="en-GB"/>
              </w:rPr>
              <w:fldChar w:fldCharType="separate"/>
            </w:r>
            <w:r w:rsidR="00763D2F" w:rsidRPr="00700626">
              <w:rPr>
                <w:rFonts w:ascii="Times New Roman" w:hAnsi="Times New Roman" w:cs="Times New Roman"/>
                <w:sz w:val="18"/>
                <w:szCs w:val="18"/>
                <w:lang w:val="en-GB"/>
              </w:rPr>
              <w:t>[43–46]</w:t>
            </w:r>
            <w:r w:rsidRPr="00700626">
              <w:rPr>
                <w:rStyle w:val="jlqj4b"/>
                <w:rFonts w:ascii="Times New Roman" w:hAnsi="Times New Roman" w:cs="Times New Roman"/>
                <w:sz w:val="18"/>
                <w:szCs w:val="18"/>
                <w:lang w:val="en-GB"/>
              </w:rPr>
              <w:fldChar w:fldCharType="end"/>
            </w:r>
          </w:p>
        </w:tc>
        <w:tc>
          <w:tcPr>
            <w:tcW w:w="2930" w:type="dxa"/>
            <w:tcMar>
              <w:top w:w="57" w:type="dxa"/>
              <w:bottom w:w="57" w:type="dxa"/>
            </w:tcMar>
          </w:tcPr>
          <w:p w14:paraId="5457061B" w14:textId="34DC2F4C" w:rsidR="009A20C3" w:rsidRPr="00700626" w:rsidRDefault="004866C1" w:rsidP="005C13B8">
            <w:pPr>
              <w:spacing w:before="0" w:after="0" w:line="240" w:lineRule="auto"/>
              <w:jc w:val="left"/>
              <w:rPr>
                <w:rFonts w:ascii="Times New Roman" w:eastAsia="Times New Roman" w:hAnsi="Times New Roman" w:cs="Times New Roman"/>
                <w:sz w:val="18"/>
                <w:szCs w:val="18"/>
                <w:lang w:val="en-GB" w:eastAsia="es-ES_tradnl"/>
              </w:rPr>
            </w:pPr>
            <w:r>
              <w:rPr>
                <w:rFonts w:ascii="Times New Roman" w:eastAsia="Times New Roman" w:hAnsi="Times New Roman" w:cs="Times New Roman"/>
                <w:sz w:val="18"/>
                <w:szCs w:val="18"/>
                <w:lang w:val="en-GB" w:eastAsia="es-ES_tradnl"/>
              </w:rPr>
              <w:t>Included in the s</w:t>
            </w:r>
            <w:r w:rsidR="009A20C3" w:rsidRPr="00700626">
              <w:rPr>
                <w:rFonts w:ascii="Times New Roman" w:eastAsia="Times New Roman" w:hAnsi="Times New Roman" w:cs="Times New Roman"/>
                <w:sz w:val="18"/>
                <w:szCs w:val="18"/>
                <w:lang w:val="en-GB" w:eastAsia="es-ES_tradnl"/>
              </w:rPr>
              <w:t>ensitivity analysis (experts’ opinion)</w:t>
            </w:r>
          </w:p>
        </w:tc>
      </w:tr>
    </w:tbl>
    <w:p w14:paraId="675E5291" w14:textId="7E0F4BCD" w:rsidR="009A20C3" w:rsidRPr="00BF2C9E" w:rsidRDefault="00700626" w:rsidP="009A20C3">
      <w:pPr>
        <w:spacing w:before="120" w:line="276" w:lineRule="auto"/>
        <w:rPr>
          <w:rFonts w:ascii="Times New Roman" w:eastAsia="Times New Roman" w:hAnsi="Times New Roman" w:cs="Times New Roman"/>
          <w:sz w:val="18"/>
          <w:lang w:val="en-GB" w:eastAsia="es-ES_tradnl"/>
        </w:rPr>
      </w:pPr>
      <w:r w:rsidRPr="00BF2C9E">
        <w:rPr>
          <w:rFonts w:ascii="Times New Roman" w:eastAsia="Times New Roman" w:hAnsi="Times New Roman" w:cs="Times New Roman"/>
          <w:b/>
          <w:sz w:val="18"/>
          <w:lang w:val="en-GB" w:eastAsia="es-ES_tradnl"/>
        </w:rPr>
        <w:t>DHC</w:t>
      </w:r>
      <w:r w:rsidRPr="00BF2C9E">
        <w:rPr>
          <w:rFonts w:ascii="Times New Roman" w:eastAsia="Times New Roman" w:hAnsi="Times New Roman" w:cs="Times New Roman"/>
          <w:sz w:val="18"/>
          <w:lang w:val="en-GB" w:eastAsia="es-ES_tradnl"/>
        </w:rPr>
        <w:t>: Direct Healthcare Costs</w:t>
      </w:r>
    </w:p>
    <w:p w14:paraId="2008BD49" w14:textId="4879A128" w:rsidR="001E2903" w:rsidRPr="0021483B" w:rsidRDefault="00774122" w:rsidP="001E2903">
      <w:pPr>
        <w:shd w:val="clear" w:color="auto" w:fill="A6A6A6" w:themeFill="background1" w:themeFillShade="A6"/>
        <w:spacing w:line="240" w:lineRule="auto"/>
        <w:rPr>
          <w:rStyle w:val="TEXTOGENERALCar"/>
          <w:rFonts w:ascii="Times New Roman" w:hAnsi="Times New Roman" w:cs="Times New Roman"/>
          <w:b/>
          <w:bCs/>
          <w:color w:val="FFFFFF" w:themeColor="background1"/>
          <w:sz w:val="32"/>
          <w:szCs w:val="32"/>
          <w:lang w:val="en-GB"/>
        </w:rPr>
      </w:pPr>
      <w:r>
        <w:rPr>
          <w:rStyle w:val="TEXTOGENERALCar"/>
          <w:rFonts w:ascii="Times New Roman" w:hAnsi="Times New Roman" w:cs="Times New Roman"/>
          <w:b/>
          <w:bCs/>
          <w:color w:val="FFFFFF" w:themeColor="background1"/>
          <w:sz w:val="32"/>
          <w:szCs w:val="32"/>
          <w:lang w:val="en-GB"/>
        </w:rPr>
        <w:lastRenderedPageBreak/>
        <w:t>Scenarios for the sensitivity analysis</w:t>
      </w:r>
    </w:p>
    <w:p w14:paraId="521B3686" w14:textId="38E6C688" w:rsidR="00E222E9" w:rsidRDefault="00E222E9" w:rsidP="001843DF">
      <w:pPr>
        <w:spacing w:before="120" w:line="276"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In order to </w:t>
      </w:r>
      <w:r w:rsidRPr="001843DF">
        <w:rPr>
          <w:rFonts w:ascii="Times New Roman" w:hAnsi="Times New Roman" w:cs="Times New Roman"/>
          <w:sz w:val="24"/>
          <w:szCs w:val="24"/>
          <w:lang w:val="en-GB"/>
        </w:rPr>
        <w:t>examine the model’s robustness</w:t>
      </w:r>
      <w:r>
        <w:rPr>
          <w:rFonts w:ascii="Times New Roman" w:hAnsi="Times New Roman" w:cs="Times New Roman"/>
          <w:sz w:val="24"/>
          <w:szCs w:val="24"/>
          <w:lang w:val="en-GB"/>
        </w:rPr>
        <w:t>, a d</w:t>
      </w:r>
      <w:r w:rsidRPr="001843DF">
        <w:rPr>
          <w:rFonts w:ascii="Times New Roman" w:hAnsi="Times New Roman" w:cs="Times New Roman"/>
          <w:sz w:val="24"/>
          <w:szCs w:val="24"/>
          <w:lang w:val="en-GB"/>
        </w:rPr>
        <w:t xml:space="preserve">eterministic sensitivity </w:t>
      </w:r>
      <w:r w:rsidR="00680BF5" w:rsidRPr="001843DF">
        <w:rPr>
          <w:rFonts w:ascii="Times New Roman" w:hAnsi="Times New Roman" w:cs="Times New Roman"/>
          <w:sz w:val="24"/>
          <w:szCs w:val="24"/>
          <w:lang w:val="en-GB"/>
        </w:rPr>
        <w:t>analys</w:t>
      </w:r>
      <w:r w:rsidR="00680BF5">
        <w:rPr>
          <w:rFonts w:ascii="Times New Roman" w:hAnsi="Times New Roman" w:cs="Times New Roman"/>
          <w:sz w:val="24"/>
          <w:szCs w:val="24"/>
          <w:lang w:val="en-GB"/>
        </w:rPr>
        <w:t>i</w:t>
      </w:r>
      <w:r w:rsidR="00680BF5" w:rsidRPr="001843DF">
        <w:rPr>
          <w:rFonts w:ascii="Times New Roman" w:hAnsi="Times New Roman" w:cs="Times New Roman"/>
          <w:sz w:val="24"/>
          <w:szCs w:val="24"/>
          <w:lang w:val="en-GB"/>
        </w:rPr>
        <w:t>s</w:t>
      </w:r>
      <w:r w:rsidR="00680BF5">
        <w:rPr>
          <w:rFonts w:ascii="Times New Roman" w:hAnsi="Times New Roman" w:cs="Times New Roman"/>
          <w:sz w:val="24"/>
          <w:szCs w:val="24"/>
          <w:lang w:val="en-GB"/>
        </w:rPr>
        <w:t xml:space="preserve"> </w:t>
      </w:r>
      <w:r>
        <w:rPr>
          <w:rFonts w:ascii="Times New Roman" w:hAnsi="Times New Roman" w:cs="Times New Roman"/>
          <w:sz w:val="24"/>
          <w:szCs w:val="24"/>
          <w:lang w:val="en-GB"/>
        </w:rPr>
        <w:t>was carried out</w:t>
      </w:r>
      <w:r w:rsidR="002A2BC1">
        <w:rPr>
          <w:rFonts w:ascii="Times New Roman" w:hAnsi="Times New Roman" w:cs="Times New Roman"/>
          <w:sz w:val="24"/>
          <w:szCs w:val="24"/>
          <w:lang w:val="en-GB"/>
        </w:rPr>
        <w:t xml:space="preserve">, including twelve different scenarios based on the possible variation of the most sensitive parameters. The scenarios were validated by the experts committee. </w:t>
      </w:r>
      <w:r w:rsidR="002A2BC1" w:rsidRPr="000402AE">
        <w:rPr>
          <w:rFonts w:ascii="Times New Roman" w:hAnsi="Times New Roman" w:cs="Times New Roman"/>
          <w:b/>
          <w:bCs/>
          <w:sz w:val="24"/>
          <w:szCs w:val="24"/>
          <w:lang w:val="en-GB"/>
        </w:rPr>
        <w:t>Table (S2).2</w:t>
      </w:r>
      <w:r w:rsidR="002A2BC1">
        <w:rPr>
          <w:rFonts w:ascii="Times New Roman" w:hAnsi="Times New Roman" w:cs="Times New Roman"/>
          <w:sz w:val="24"/>
          <w:szCs w:val="24"/>
          <w:lang w:val="en-GB"/>
        </w:rPr>
        <w:t xml:space="preserve"> describes those variations in detail</w:t>
      </w:r>
      <w:r w:rsidR="000402AE">
        <w:rPr>
          <w:rFonts w:ascii="Times New Roman" w:hAnsi="Times New Roman" w:cs="Times New Roman"/>
          <w:sz w:val="24"/>
          <w:szCs w:val="24"/>
          <w:lang w:val="en-GB"/>
        </w:rPr>
        <w:t>.</w:t>
      </w:r>
    </w:p>
    <w:p w14:paraId="3B2DA396" w14:textId="71F56CC2" w:rsidR="00BC7579" w:rsidRPr="0021483B" w:rsidRDefault="00BC7579" w:rsidP="000402AE">
      <w:pPr>
        <w:pStyle w:val="TITULOTABLASYFIGURAS"/>
        <w:spacing w:before="120"/>
        <w:rPr>
          <w:rFonts w:ascii="Times New Roman" w:hAnsi="Times New Roman" w:cs="Times New Roman"/>
          <w:b/>
          <w:bCs/>
          <w:smallCaps w:val="0"/>
          <w:color w:val="auto"/>
          <w:sz w:val="22"/>
          <w:szCs w:val="56"/>
          <w:lang w:val="en-GB"/>
        </w:rPr>
      </w:pPr>
      <w:r w:rsidRPr="0021483B">
        <w:rPr>
          <w:rFonts w:ascii="Times New Roman" w:hAnsi="Times New Roman" w:cs="Times New Roman"/>
          <w:b/>
          <w:bCs/>
          <w:smallCaps w:val="0"/>
          <w:color w:val="auto"/>
          <w:sz w:val="22"/>
          <w:szCs w:val="56"/>
          <w:lang w:val="en-GB"/>
        </w:rPr>
        <w:t>Table (S2).</w:t>
      </w:r>
      <w:r w:rsidRPr="0021483B">
        <w:rPr>
          <w:rFonts w:ascii="Times New Roman" w:hAnsi="Times New Roman" w:cs="Times New Roman"/>
          <w:b/>
          <w:bCs/>
          <w:smallCaps w:val="0"/>
          <w:color w:val="auto"/>
          <w:sz w:val="22"/>
          <w:szCs w:val="56"/>
          <w:lang w:val="en-GB"/>
        </w:rPr>
        <w:fldChar w:fldCharType="begin"/>
      </w:r>
      <w:r w:rsidRPr="0021483B">
        <w:rPr>
          <w:rFonts w:ascii="Times New Roman" w:hAnsi="Times New Roman" w:cs="Times New Roman"/>
          <w:b/>
          <w:bCs/>
          <w:smallCaps w:val="0"/>
          <w:color w:val="auto"/>
          <w:sz w:val="22"/>
          <w:szCs w:val="56"/>
          <w:lang w:val="en-GB"/>
        </w:rPr>
        <w:instrText xml:space="preserve"> SEQ Tabla \* ARABIC </w:instrText>
      </w:r>
      <w:r w:rsidRPr="0021483B">
        <w:rPr>
          <w:rFonts w:ascii="Times New Roman" w:hAnsi="Times New Roman" w:cs="Times New Roman"/>
          <w:b/>
          <w:bCs/>
          <w:smallCaps w:val="0"/>
          <w:color w:val="auto"/>
          <w:sz w:val="22"/>
          <w:szCs w:val="56"/>
          <w:lang w:val="en-GB"/>
        </w:rPr>
        <w:fldChar w:fldCharType="separate"/>
      </w:r>
      <w:r>
        <w:rPr>
          <w:rFonts w:ascii="Times New Roman" w:hAnsi="Times New Roman" w:cs="Times New Roman"/>
          <w:b/>
          <w:bCs/>
          <w:smallCaps w:val="0"/>
          <w:noProof/>
          <w:color w:val="auto"/>
          <w:sz w:val="22"/>
          <w:szCs w:val="56"/>
          <w:lang w:val="en-GB"/>
        </w:rPr>
        <w:t>2</w:t>
      </w:r>
      <w:r w:rsidRPr="0021483B">
        <w:rPr>
          <w:rFonts w:ascii="Times New Roman" w:hAnsi="Times New Roman" w:cs="Times New Roman"/>
          <w:b/>
          <w:bCs/>
          <w:smallCaps w:val="0"/>
          <w:color w:val="auto"/>
          <w:sz w:val="22"/>
          <w:szCs w:val="56"/>
          <w:lang w:val="en-GB"/>
        </w:rPr>
        <w:fldChar w:fldCharType="end"/>
      </w:r>
      <w:r w:rsidRPr="0021483B">
        <w:rPr>
          <w:rFonts w:ascii="Times New Roman" w:hAnsi="Times New Roman" w:cs="Times New Roman"/>
          <w:b/>
          <w:bCs/>
          <w:smallCaps w:val="0"/>
          <w:color w:val="auto"/>
          <w:sz w:val="22"/>
          <w:szCs w:val="56"/>
          <w:lang w:val="en-GB"/>
        </w:rPr>
        <w:t xml:space="preserve">: </w:t>
      </w:r>
      <w:r w:rsidR="008E765E">
        <w:rPr>
          <w:rFonts w:ascii="Times New Roman" w:hAnsi="Times New Roman" w:cs="Times New Roman"/>
          <w:b/>
          <w:bCs/>
          <w:smallCaps w:val="0"/>
          <w:color w:val="auto"/>
          <w:sz w:val="22"/>
          <w:szCs w:val="56"/>
          <w:lang w:val="en-GB"/>
        </w:rPr>
        <w:t xml:space="preserve">Scenarios for the </w:t>
      </w:r>
      <w:r w:rsidR="00774122">
        <w:rPr>
          <w:rFonts w:ascii="Times New Roman" w:hAnsi="Times New Roman" w:cs="Times New Roman"/>
          <w:b/>
          <w:bCs/>
          <w:smallCaps w:val="0"/>
          <w:color w:val="auto"/>
          <w:sz w:val="22"/>
          <w:szCs w:val="56"/>
          <w:lang w:val="en-GB"/>
        </w:rPr>
        <w:t>sensitivity analysis</w:t>
      </w:r>
      <w:r w:rsidRPr="0021483B">
        <w:rPr>
          <w:rFonts w:ascii="Times New Roman" w:hAnsi="Times New Roman" w:cs="Times New Roman"/>
          <w:b/>
          <w:bCs/>
          <w:smallCaps w:val="0"/>
          <w:color w:val="auto"/>
          <w:sz w:val="22"/>
          <w:szCs w:val="56"/>
          <w:lang w:val="en-GB"/>
        </w:rPr>
        <w:t xml:space="preserve"> </w:t>
      </w:r>
    </w:p>
    <w:tbl>
      <w:tblPr>
        <w:tblStyle w:val="Tablaconcuadrcula"/>
        <w:tblW w:w="11199" w:type="dxa"/>
        <w:tblInd w:w="-289" w:type="dxa"/>
        <w:tblLayout w:type="fixed"/>
        <w:tblLook w:val="04A0" w:firstRow="1" w:lastRow="0" w:firstColumn="1" w:lastColumn="0" w:noHBand="0" w:noVBand="1"/>
      </w:tblPr>
      <w:tblGrid>
        <w:gridCol w:w="426"/>
        <w:gridCol w:w="851"/>
        <w:gridCol w:w="1275"/>
        <w:gridCol w:w="1134"/>
        <w:gridCol w:w="1984"/>
        <w:gridCol w:w="1748"/>
        <w:gridCol w:w="1749"/>
        <w:gridCol w:w="2032"/>
      </w:tblGrid>
      <w:tr w:rsidR="00A21644" w:rsidRPr="00A21644" w14:paraId="145A66DB" w14:textId="77777777" w:rsidTr="00A21644">
        <w:tc>
          <w:tcPr>
            <w:tcW w:w="426" w:type="dxa"/>
            <w:shd w:val="clear" w:color="auto" w:fill="000000" w:themeFill="text1"/>
            <w:tcMar>
              <w:top w:w="57" w:type="dxa"/>
              <w:bottom w:w="57" w:type="dxa"/>
            </w:tcMar>
          </w:tcPr>
          <w:p w14:paraId="456DC65D" w14:textId="77777777" w:rsidR="00BC7579" w:rsidRPr="00A21644" w:rsidRDefault="00BC7579" w:rsidP="00A21644">
            <w:pPr>
              <w:tabs>
                <w:tab w:val="left" w:pos="284"/>
              </w:tabs>
              <w:spacing w:before="0" w:after="0" w:line="240" w:lineRule="auto"/>
              <w:jc w:val="left"/>
              <w:rPr>
                <w:rFonts w:ascii="Times New Roman" w:hAnsi="Times New Roman" w:cs="Times New Roman"/>
                <w:b/>
                <w:bCs/>
                <w:sz w:val="18"/>
                <w:szCs w:val="18"/>
                <w:lang w:val="en-GB"/>
              </w:rPr>
            </w:pPr>
            <w:r w:rsidRPr="00A21644">
              <w:rPr>
                <w:rFonts w:ascii="Times New Roman" w:hAnsi="Times New Roman" w:cs="Times New Roman"/>
                <w:b/>
                <w:bCs/>
                <w:sz w:val="18"/>
                <w:szCs w:val="18"/>
                <w:lang w:val="en-GB"/>
              </w:rPr>
              <w:t>#</w:t>
            </w:r>
          </w:p>
        </w:tc>
        <w:tc>
          <w:tcPr>
            <w:tcW w:w="851" w:type="dxa"/>
            <w:shd w:val="clear" w:color="auto" w:fill="000000" w:themeFill="text1"/>
            <w:tcMar>
              <w:top w:w="57" w:type="dxa"/>
              <w:bottom w:w="57" w:type="dxa"/>
            </w:tcMar>
          </w:tcPr>
          <w:p w14:paraId="1F5FBCF2" w14:textId="77777777" w:rsidR="00BC7579" w:rsidRPr="00A21644" w:rsidRDefault="00BC7579" w:rsidP="00A21644">
            <w:pPr>
              <w:tabs>
                <w:tab w:val="left" w:pos="284"/>
              </w:tabs>
              <w:spacing w:before="0" w:after="0" w:line="240" w:lineRule="auto"/>
              <w:jc w:val="left"/>
              <w:rPr>
                <w:rFonts w:ascii="Times New Roman" w:hAnsi="Times New Roman" w:cs="Times New Roman"/>
                <w:b/>
                <w:bCs/>
                <w:sz w:val="18"/>
                <w:szCs w:val="18"/>
                <w:lang w:val="en-GB"/>
              </w:rPr>
            </w:pPr>
            <w:r w:rsidRPr="00A21644">
              <w:rPr>
                <w:rFonts w:ascii="Times New Roman" w:hAnsi="Times New Roman" w:cs="Times New Roman"/>
                <w:b/>
                <w:bCs/>
                <w:sz w:val="18"/>
                <w:szCs w:val="18"/>
                <w:lang w:val="en-GB"/>
              </w:rPr>
              <w:t>Domain</w:t>
            </w:r>
          </w:p>
        </w:tc>
        <w:tc>
          <w:tcPr>
            <w:tcW w:w="1275" w:type="dxa"/>
            <w:shd w:val="clear" w:color="auto" w:fill="000000" w:themeFill="text1"/>
            <w:tcMar>
              <w:top w:w="57" w:type="dxa"/>
              <w:bottom w:w="57" w:type="dxa"/>
            </w:tcMar>
          </w:tcPr>
          <w:p w14:paraId="36E05D9E" w14:textId="77777777" w:rsidR="00BC7579" w:rsidRPr="00A21644" w:rsidRDefault="00BC7579" w:rsidP="00A21644">
            <w:pPr>
              <w:tabs>
                <w:tab w:val="left" w:pos="284"/>
              </w:tabs>
              <w:spacing w:before="0" w:after="0" w:line="240" w:lineRule="auto"/>
              <w:jc w:val="left"/>
              <w:rPr>
                <w:rFonts w:ascii="Times New Roman" w:hAnsi="Times New Roman" w:cs="Times New Roman"/>
                <w:b/>
                <w:bCs/>
                <w:sz w:val="18"/>
                <w:szCs w:val="18"/>
                <w:lang w:val="en-GB"/>
              </w:rPr>
            </w:pPr>
            <w:r w:rsidRPr="00A21644">
              <w:rPr>
                <w:rFonts w:ascii="Times New Roman" w:hAnsi="Times New Roman" w:cs="Times New Roman"/>
                <w:b/>
                <w:bCs/>
                <w:sz w:val="18"/>
                <w:szCs w:val="18"/>
                <w:lang w:val="en-GB"/>
              </w:rPr>
              <w:t>Parameter</w:t>
            </w:r>
          </w:p>
        </w:tc>
        <w:tc>
          <w:tcPr>
            <w:tcW w:w="1134" w:type="dxa"/>
            <w:shd w:val="clear" w:color="auto" w:fill="000000" w:themeFill="text1"/>
            <w:tcMar>
              <w:top w:w="57" w:type="dxa"/>
              <w:bottom w:w="57" w:type="dxa"/>
            </w:tcMar>
          </w:tcPr>
          <w:p w14:paraId="587437BC" w14:textId="77777777" w:rsidR="00BC7579" w:rsidRPr="00A21644" w:rsidRDefault="00BC7579" w:rsidP="00A21644">
            <w:pPr>
              <w:tabs>
                <w:tab w:val="left" w:pos="284"/>
              </w:tabs>
              <w:spacing w:before="0" w:after="0" w:line="240" w:lineRule="auto"/>
              <w:jc w:val="left"/>
              <w:rPr>
                <w:rFonts w:ascii="Times New Roman" w:hAnsi="Times New Roman" w:cs="Times New Roman"/>
                <w:b/>
                <w:bCs/>
                <w:sz w:val="18"/>
                <w:szCs w:val="18"/>
                <w:lang w:val="en-GB"/>
              </w:rPr>
            </w:pPr>
            <w:r w:rsidRPr="00A21644">
              <w:rPr>
                <w:rFonts w:ascii="Times New Roman" w:hAnsi="Times New Roman" w:cs="Times New Roman"/>
                <w:b/>
                <w:bCs/>
                <w:sz w:val="18"/>
                <w:szCs w:val="18"/>
                <w:lang w:val="en-GB"/>
              </w:rPr>
              <w:t>BC Source</w:t>
            </w:r>
          </w:p>
        </w:tc>
        <w:tc>
          <w:tcPr>
            <w:tcW w:w="1984" w:type="dxa"/>
            <w:shd w:val="clear" w:color="auto" w:fill="000000" w:themeFill="text1"/>
            <w:tcMar>
              <w:top w:w="57" w:type="dxa"/>
              <w:bottom w:w="57" w:type="dxa"/>
            </w:tcMar>
          </w:tcPr>
          <w:p w14:paraId="7D8B101E" w14:textId="77777777" w:rsidR="00BC7579" w:rsidRPr="00A21644" w:rsidRDefault="00BC7579" w:rsidP="00A21644">
            <w:pPr>
              <w:tabs>
                <w:tab w:val="left" w:pos="284"/>
              </w:tabs>
              <w:spacing w:before="0" w:after="0" w:line="240" w:lineRule="auto"/>
              <w:jc w:val="left"/>
              <w:rPr>
                <w:rFonts w:ascii="Times New Roman" w:hAnsi="Times New Roman" w:cs="Times New Roman"/>
                <w:b/>
                <w:bCs/>
                <w:sz w:val="18"/>
                <w:szCs w:val="18"/>
                <w:lang w:val="en-GB"/>
              </w:rPr>
            </w:pPr>
            <w:r w:rsidRPr="00A21644">
              <w:rPr>
                <w:rFonts w:ascii="Times New Roman" w:hAnsi="Times New Roman" w:cs="Times New Roman"/>
                <w:b/>
                <w:bCs/>
                <w:sz w:val="18"/>
                <w:szCs w:val="18"/>
                <w:lang w:val="en-GB"/>
              </w:rPr>
              <w:t>SA rationale</w:t>
            </w:r>
          </w:p>
        </w:tc>
        <w:tc>
          <w:tcPr>
            <w:tcW w:w="1748" w:type="dxa"/>
            <w:shd w:val="clear" w:color="auto" w:fill="000000" w:themeFill="text1"/>
            <w:tcMar>
              <w:top w:w="57" w:type="dxa"/>
              <w:bottom w:w="57" w:type="dxa"/>
            </w:tcMar>
          </w:tcPr>
          <w:p w14:paraId="5AF65385" w14:textId="77777777" w:rsidR="00BC7579" w:rsidRPr="00A21644" w:rsidRDefault="00BC7579" w:rsidP="00A21644">
            <w:pPr>
              <w:tabs>
                <w:tab w:val="left" w:pos="284"/>
              </w:tabs>
              <w:spacing w:before="0" w:after="0" w:line="240" w:lineRule="auto"/>
              <w:jc w:val="left"/>
              <w:rPr>
                <w:rFonts w:ascii="Times New Roman" w:hAnsi="Times New Roman" w:cs="Times New Roman"/>
                <w:b/>
                <w:bCs/>
                <w:sz w:val="18"/>
                <w:szCs w:val="18"/>
                <w:lang w:val="en-GB"/>
              </w:rPr>
            </w:pPr>
            <w:r w:rsidRPr="00A21644">
              <w:rPr>
                <w:rFonts w:ascii="Times New Roman" w:hAnsi="Times New Roman" w:cs="Times New Roman"/>
                <w:b/>
                <w:bCs/>
                <w:sz w:val="18"/>
                <w:szCs w:val="18"/>
                <w:lang w:val="en-GB"/>
              </w:rPr>
              <w:t>Base Case</w:t>
            </w:r>
          </w:p>
        </w:tc>
        <w:tc>
          <w:tcPr>
            <w:tcW w:w="1749" w:type="dxa"/>
            <w:shd w:val="clear" w:color="auto" w:fill="000000" w:themeFill="text1"/>
            <w:tcMar>
              <w:top w:w="57" w:type="dxa"/>
              <w:bottom w:w="57" w:type="dxa"/>
            </w:tcMar>
          </w:tcPr>
          <w:p w14:paraId="36EF02A3" w14:textId="7113B2EE" w:rsidR="00BC7579" w:rsidRPr="00A21644" w:rsidRDefault="00BC7579" w:rsidP="00A21644">
            <w:pPr>
              <w:tabs>
                <w:tab w:val="left" w:pos="284"/>
              </w:tabs>
              <w:spacing w:before="0" w:after="0" w:line="240" w:lineRule="auto"/>
              <w:jc w:val="left"/>
              <w:rPr>
                <w:rFonts w:ascii="Times New Roman" w:hAnsi="Times New Roman" w:cs="Times New Roman"/>
                <w:b/>
                <w:bCs/>
                <w:sz w:val="18"/>
                <w:szCs w:val="18"/>
                <w:lang w:val="en-GB"/>
              </w:rPr>
            </w:pPr>
            <w:r w:rsidRPr="00A21644">
              <w:rPr>
                <w:rFonts w:ascii="Times New Roman" w:hAnsi="Times New Roman" w:cs="Times New Roman"/>
                <w:b/>
                <w:bCs/>
                <w:sz w:val="18"/>
                <w:szCs w:val="18"/>
                <w:lang w:val="en-GB"/>
              </w:rPr>
              <w:t>Low</w:t>
            </w:r>
            <w:r w:rsidR="00BF2C9E">
              <w:rPr>
                <w:rFonts w:ascii="Times New Roman" w:hAnsi="Times New Roman" w:cs="Times New Roman"/>
                <w:b/>
                <w:bCs/>
                <w:sz w:val="18"/>
                <w:szCs w:val="18"/>
                <w:lang w:val="en-GB"/>
              </w:rPr>
              <w:t>er case</w:t>
            </w:r>
          </w:p>
        </w:tc>
        <w:tc>
          <w:tcPr>
            <w:tcW w:w="2032" w:type="dxa"/>
            <w:shd w:val="clear" w:color="auto" w:fill="000000" w:themeFill="text1"/>
            <w:tcMar>
              <w:top w:w="57" w:type="dxa"/>
              <w:bottom w:w="57" w:type="dxa"/>
            </w:tcMar>
          </w:tcPr>
          <w:p w14:paraId="0A450195" w14:textId="4D52185D" w:rsidR="00BC7579" w:rsidRPr="00A21644" w:rsidRDefault="00BC7579" w:rsidP="00A21644">
            <w:pPr>
              <w:tabs>
                <w:tab w:val="left" w:pos="284"/>
              </w:tabs>
              <w:spacing w:before="0" w:after="0" w:line="240" w:lineRule="auto"/>
              <w:jc w:val="left"/>
              <w:rPr>
                <w:rFonts w:ascii="Times New Roman" w:hAnsi="Times New Roman" w:cs="Times New Roman"/>
                <w:b/>
                <w:bCs/>
                <w:sz w:val="18"/>
                <w:szCs w:val="18"/>
                <w:lang w:val="en-GB"/>
              </w:rPr>
            </w:pPr>
            <w:r w:rsidRPr="00A21644">
              <w:rPr>
                <w:rFonts w:ascii="Times New Roman" w:hAnsi="Times New Roman" w:cs="Times New Roman"/>
                <w:b/>
                <w:bCs/>
                <w:sz w:val="18"/>
                <w:szCs w:val="18"/>
                <w:lang w:val="en-GB"/>
              </w:rPr>
              <w:t>Upper</w:t>
            </w:r>
            <w:r w:rsidR="00BF2C9E">
              <w:rPr>
                <w:rFonts w:ascii="Times New Roman" w:hAnsi="Times New Roman" w:cs="Times New Roman"/>
                <w:b/>
                <w:bCs/>
                <w:sz w:val="18"/>
                <w:szCs w:val="18"/>
                <w:lang w:val="en-GB"/>
              </w:rPr>
              <w:t xml:space="preserve"> case</w:t>
            </w:r>
          </w:p>
        </w:tc>
      </w:tr>
      <w:tr w:rsidR="00BC7579" w:rsidRPr="00A21644" w14:paraId="4FFEE183" w14:textId="77777777" w:rsidTr="00A21644">
        <w:tc>
          <w:tcPr>
            <w:tcW w:w="426" w:type="dxa"/>
            <w:tcMar>
              <w:top w:w="57" w:type="dxa"/>
              <w:bottom w:w="57" w:type="dxa"/>
            </w:tcMar>
          </w:tcPr>
          <w:p w14:paraId="6B289C19"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1</w:t>
            </w:r>
          </w:p>
        </w:tc>
        <w:tc>
          <w:tcPr>
            <w:tcW w:w="851" w:type="dxa"/>
            <w:tcMar>
              <w:top w:w="57" w:type="dxa"/>
              <w:bottom w:w="57" w:type="dxa"/>
            </w:tcMar>
          </w:tcPr>
          <w:p w14:paraId="0FF9624C"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Epidem.</w:t>
            </w:r>
          </w:p>
        </w:tc>
        <w:tc>
          <w:tcPr>
            <w:tcW w:w="1275" w:type="dxa"/>
            <w:tcMar>
              <w:top w:w="57" w:type="dxa"/>
              <w:bottom w:w="57" w:type="dxa"/>
            </w:tcMar>
          </w:tcPr>
          <w:p w14:paraId="6D3CB0C8"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Prevalence</w:t>
            </w:r>
          </w:p>
        </w:tc>
        <w:tc>
          <w:tcPr>
            <w:tcW w:w="1134" w:type="dxa"/>
            <w:tcMar>
              <w:top w:w="57" w:type="dxa"/>
              <w:bottom w:w="57" w:type="dxa"/>
            </w:tcMar>
          </w:tcPr>
          <w:p w14:paraId="4C56EB2E"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Literature</w:t>
            </w:r>
          </w:p>
        </w:tc>
        <w:tc>
          <w:tcPr>
            <w:tcW w:w="1984" w:type="dxa"/>
            <w:tcMar>
              <w:top w:w="57" w:type="dxa"/>
              <w:bottom w:w="57" w:type="dxa"/>
            </w:tcMar>
          </w:tcPr>
          <w:p w14:paraId="3D892DBC"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Max prevalence, Europe, literature</w:t>
            </w:r>
          </w:p>
        </w:tc>
        <w:tc>
          <w:tcPr>
            <w:tcW w:w="1748" w:type="dxa"/>
            <w:tcMar>
              <w:top w:w="57" w:type="dxa"/>
              <w:bottom w:w="57" w:type="dxa"/>
            </w:tcMar>
          </w:tcPr>
          <w:p w14:paraId="52AC5FF6" w14:textId="085B2368"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 xml:space="preserve">Min (16.0 ppm) </w:t>
            </w:r>
            <w:r w:rsidR="00680BF5">
              <w:rPr>
                <w:rFonts w:ascii="Times New Roman" w:hAnsi="Times New Roman" w:cs="Times New Roman"/>
                <w:sz w:val="18"/>
                <w:szCs w:val="18"/>
                <w:lang w:val="en-GB"/>
              </w:rPr>
              <w:t>–</w:t>
            </w:r>
            <w:r w:rsidRPr="00A21644">
              <w:rPr>
                <w:rFonts w:ascii="Times New Roman" w:hAnsi="Times New Roman" w:cs="Times New Roman"/>
                <w:sz w:val="18"/>
                <w:szCs w:val="18"/>
                <w:lang w:val="en-GB"/>
              </w:rPr>
              <w:t xml:space="preserve"> Max (25.9 ppm)</w:t>
            </w:r>
          </w:p>
        </w:tc>
        <w:tc>
          <w:tcPr>
            <w:tcW w:w="1749" w:type="dxa"/>
            <w:tcMar>
              <w:top w:w="57" w:type="dxa"/>
              <w:bottom w:w="57" w:type="dxa"/>
            </w:tcMar>
          </w:tcPr>
          <w:p w14:paraId="39EA31F7"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w:t>
            </w:r>
          </w:p>
        </w:tc>
        <w:tc>
          <w:tcPr>
            <w:tcW w:w="2032" w:type="dxa"/>
            <w:tcMar>
              <w:top w:w="57" w:type="dxa"/>
              <w:bottom w:w="57" w:type="dxa"/>
            </w:tcMar>
          </w:tcPr>
          <w:p w14:paraId="688BA326" w14:textId="151C25A8" w:rsidR="00BC7579" w:rsidRPr="00695D31" w:rsidRDefault="00BC7579" w:rsidP="00A21644">
            <w:pPr>
              <w:tabs>
                <w:tab w:val="left" w:pos="284"/>
              </w:tabs>
              <w:spacing w:before="0" w:after="0" w:line="240" w:lineRule="auto"/>
              <w:jc w:val="left"/>
              <w:rPr>
                <w:rFonts w:ascii="Times New Roman" w:hAnsi="Times New Roman" w:cs="Times New Roman"/>
                <w:sz w:val="18"/>
                <w:szCs w:val="18"/>
                <w:lang w:val="en-US"/>
              </w:rPr>
            </w:pPr>
            <w:r w:rsidRPr="00695D31">
              <w:rPr>
                <w:rFonts w:ascii="Times New Roman" w:hAnsi="Times New Roman" w:cs="Times New Roman"/>
                <w:sz w:val="18"/>
                <w:szCs w:val="18"/>
                <w:lang w:val="en-US"/>
              </w:rPr>
              <w:t>55 ppm</w:t>
            </w:r>
            <w:r w:rsidR="00695D31" w:rsidRPr="00695D31">
              <w:rPr>
                <w:rFonts w:ascii="Times New Roman" w:hAnsi="Times New Roman" w:cs="Times New Roman"/>
                <w:sz w:val="18"/>
                <w:szCs w:val="18"/>
                <w:lang w:val="en-US"/>
              </w:rPr>
              <w:t xml:space="preserve"> </w:t>
            </w:r>
            <w:r w:rsidR="00695D31" w:rsidRPr="00695D31">
              <w:rPr>
                <w:rFonts w:ascii="Times New Roman" w:hAnsi="Times New Roman" w:cs="Times New Roman"/>
                <w:sz w:val="18"/>
                <w:szCs w:val="18"/>
                <w:lang w:val="en-GB"/>
              </w:rPr>
              <w:fldChar w:fldCharType="begin"/>
            </w:r>
            <w:r w:rsidR="00695D31" w:rsidRPr="00695D31">
              <w:rPr>
                <w:rFonts w:ascii="Times New Roman" w:hAnsi="Times New Roman" w:cs="Times New Roman"/>
                <w:sz w:val="18"/>
                <w:szCs w:val="18"/>
                <w:lang w:val="en-GB"/>
              </w:rPr>
              <w:instrText xml:space="preserve"> ADDIN ZOTERO_ITEM CSL_CITATION {"citationID":"9Hh93GtK","properties":{"formattedCitation":"[47]","plainCitation":"[47]","noteIndex":0},"citationItems":[{"id":51637,"uris":["http://zotero.org/groups/2639534/items/885L9NVN"],"uri":["http://zotero.org/groups/2639534/items/885L9NVN"],"itemData":{"id":51637,"type":"article-journal","abstract":"This systematic review of literature and online reports critically appraised incidence and prevalence estimates of pulmonary arterial hypertension and chronic thromboembolic pulmonary hypertension to identify the most accurate estimates. Medline® and Embase® databases were searched for articles published between 1 January 2003 and 31 August 2020. Studies were grouped according to whether they were registries (population-based estimates), clinical databases (hospital-based estimates) or claims/administrative databases. Registries were classified into systematic and non-systematic registries, according to whether every national centre participated. Of 7309 publications identified, 5414 were screened after removal of duplicates and 33 were included. Inclusion was based on study type, availability of a clear numerator (diagnosed population) and a population- or hospital-based denominator, or all primary data required to calculate estimates. Only the most recent publication from a database was included. Most studies were based on European data and very few included children. In adults, the range of estimates per million was approximately 20-fold for pulmonary arterial hypertension incidence (1.5-32) and prevalence (12.4-268) and of similar magnitude for chronic thromboembolic pulmonary hypertension incidence (0.9-39) and prevalence (14.5-144). Recent (≤5 years) national systematic registry data from centralised healthcare systems provided the following ranges in adult estimates per million: approximately 5.8 for pulmonary arterial hypertension incidence, 47.6-54.7 for pulmonary arterial hypertension prevalence, 3.1-6.0 for chronic thromboembolic pulmonary hypertension incidence and 25.8-38.4 for chronic thromboembolic pulmonary hypertension prevalence. These estimates were considered the most reliable and consistent for the scientific community to plan for resource allocation and improve detection rates.","container-title":"Pulmonary Circulation","DOI":"10.1177/2045894020977300","ISSN":"2045-8932","issue":"1","journalAbbreviation":"Pulm Circ","language":"eng","note":"PMID: 33456755\nPMCID: PMC7797595","page":"2045894020977300","source":"PubMed","title":"Epidemiology of pulmonary arterial hypertension and chronic thromboembolic pulmonary hypertension: identification of the most accurate estimates from a systematic literature review","title-short":"Epidemiology of pulmonary arterial hypertension and chronic thromboembolic pulmonary hypertension","volume":"11","author":[{"family":"Leber","given":"Laurence"},{"family":"Beaudet","given":"Amélie"},{"family":"Muller","given":"Audrey"}],"issued":{"date-parts":[["2021",3]]}}}],"schema":"https://github.com/citation-style-language/schema/raw/master/csl-citation.json"} </w:instrText>
            </w:r>
            <w:r w:rsidR="00695D31" w:rsidRPr="00695D31">
              <w:rPr>
                <w:rFonts w:ascii="Times New Roman" w:hAnsi="Times New Roman" w:cs="Times New Roman"/>
                <w:sz w:val="18"/>
                <w:szCs w:val="18"/>
                <w:lang w:val="en-GB"/>
              </w:rPr>
              <w:fldChar w:fldCharType="separate"/>
            </w:r>
            <w:r w:rsidR="00695D31" w:rsidRPr="00695D31">
              <w:rPr>
                <w:rFonts w:ascii="Times New Roman" w:hAnsi="Times New Roman" w:cs="Times New Roman"/>
                <w:sz w:val="18"/>
                <w:szCs w:val="18"/>
              </w:rPr>
              <w:t>[47]</w:t>
            </w:r>
            <w:r w:rsidR="00695D31" w:rsidRPr="00695D31">
              <w:rPr>
                <w:rFonts w:ascii="Times New Roman" w:hAnsi="Times New Roman" w:cs="Times New Roman"/>
                <w:sz w:val="18"/>
                <w:szCs w:val="18"/>
                <w:lang w:val="en-GB"/>
              </w:rPr>
              <w:fldChar w:fldCharType="end"/>
            </w:r>
          </w:p>
        </w:tc>
      </w:tr>
      <w:tr w:rsidR="00BC7579" w:rsidRPr="00A21644" w14:paraId="044C1972" w14:textId="77777777" w:rsidTr="00A21644">
        <w:tc>
          <w:tcPr>
            <w:tcW w:w="426" w:type="dxa"/>
            <w:tcMar>
              <w:top w:w="57" w:type="dxa"/>
              <w:bottom w:w="57" w:type="dxa"/>
            </w:tcMar>
          </w:tcPr>
          <w:p w14:paraId="001E5056"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2</w:t>
            </w:r>
          </w:p>
        </w:tc>
        <w:tc>
          <w:tcPr>
            <w:tcW w:w="851" w:type="dxa"/>
            <w:tcMar>
              <w:top w:w="57" w:type="dxa"/>
              <w:bottom w:w="57" w:type="dxa"/>
            </w:tcMar>
          </w:tcPr>
          <w:p w14:paraId="25FC9C61"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DHC</w:t>
            </w:r>
          </w:p>
        </w:tc>
        <w:tc>
          <w:tcPr>
            <w:tcW w:w="1275" w:type="dxa"/>
            <w:tcMar>
              <w:top w:w="57" w:type="dxa"/>
              <w:bottom w:w="57" w:type="dxa"/>
            </w:tcMar>
          </w:tcPr>
          <w:p w14:paraId="6708045D"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Number of visits, diagnostics</w:t>
            </w:r>
          </w:p>
        </w:tc>
        <w:tc>
          <w:tcPr>
            <w:tcW w:w="1134" w:type="dxa"/>
            <w:tcMar>
              <w:top w:w="57" w:type="dxa"/>
              <w:bottom w:w="57" w:type="dxa"/>
            </w:tcMar>
          </w:tcPr>
          <w:p w14:paraId="399C44D1"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Experts Opinion</w:t>
            </w:r>
          </w:p>
        </w:tc>
        <w:tc>
          <w:tcPr>
            <w:tcW w:w="1984" w:type="dxa"/>
            <w:tcMar>
              <w:top w:w="57" w:type="dxa"/>
              <w:bottom w:w="57" w:type="dxa"/>
            </w:tcMar>
          </w:tcPr>
          <w:p w14:paraId="3B08E862"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 40%-50%</w:t>
            </w:r>
          </w:p>
        </w:tc>
        <w:tc>
          <w:tcPr>
            <w:tcW w:w="1748" w:type="dxa"/>
            <w:tcMar>
              <w:top w:w="57" w:type="dxa"/>
              <w:bottom w:w="57" w:type="dxa"/>
            </w:tcMar>
          </w:tcPr>
          <w:p w14:paraId="5FC7C500"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 xml:space="preserve">Primary care: 5 </w:t>
            </w:r>
          </w:p>
          <w:p w14:paraId="0DDD8332"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 xml:space="preserve">Cardiology: 2; </w:t>
            </w:r>
          </w:p>
          <w:p w14:paraId="05FEC1C0"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Pneumology:2</w:t>
            </w:r>
          </w:p>
        </w:tc>
        <w:tc>
          <w:tcPr>
            <w:tcW w:w="1749" w:type="dxa"/>
            <w:tcMar>
              <w:top w:w="57" w:type="dxa"/>
              <w:bottom w:w="57" w:type="dxa"/>
            </w:tcMar>
          </w:tcPr>
          <w:p w14:paraId="195B9927"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Primary Care: -2</w:t>
            </w:r>
          </w:p>
          <w:p w14:paraId="6A0F1BB2"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Others: -1</w:t>
            </w:r>
          </w:p>
        </w:tc>
        <w:tc>
          <w:tcPr>
            <w:tcW w:w="2032" w:type="dxa"/>
            <w:tcMar>
              <w:top w:w="57" w:type="dxa"/>
              <w:bottom w:w="57" w:type="dxa"/>
            </w:tcMar>
          </w:tcPr>
          <w:p w14:paraId="60A67426"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Primary Care: +2</w:t>
            </w:r>
          </w:p>
          <w:p w14:paraId="6CC2B2A3"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Others: +1</w:t>
            </w:r>
          </w:p>
        </w:tc>
      </w:tr>
      <w:tr w:rsidR="00BC7579" w:rsidRPr="00A21644" w14:paraId="491B089C" w14:textId="77777777" w:rsidTr="00A21644">
        <w:tc>
          <w:tcPr>
            <w:tcW w:w="426" w:type="dxa"/>
            <w:tcMar>
              <w:top w:w="57" w:type="dxa"/>
              <w:bottom w:w="57" w:type="dxa"/>
            </w:tcMar>
          </w:tcPr>
          <w:p w14:paraId="7678D233"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3</w:t>
            </w:r>
          </w:p>
        </w:tc>
        <w:tc>
          <w:tcPr>
            <w:tcW w:w="851" w:type="dxa"/>
            <w:tcMar>
              <w:top w:w="57" w:type="dxa"/>
              <w:bottom w:w="57" w:type="dxa"/>
            </w:tcMar>
          </w:tcPr>
          <w:p w14:paraId="1424D9AE"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DHC</w:t>
            </w:r>
          </w:p>
        </w:tc>
        <w:tc>
          <w:tcPr>
            <w:tcW w:w="1275" w:type="dxa"/>
            <w:tcMar>
              <w:top w:w="57" w:type="dxa"/>
              <w:bottom w:w="57" w:type="dxa"/>
            </w:tcMar>
          </w:tcPr>
          <w:p w14:paraId="64BF9218"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Medical tests, diagnostics</w:t>
            </w:r>
          </w:p>
        </w:tc>
        <w:tc>
          <w:tcPr>
            <w:tcW w:w="1134" w:type="dxa"/>
            <w:tcMar>
              <w:top w:w="57" w:type="dxa"/>
              <w:bottom w:w="57" w:type="dxa"/>
            </w:tcMar>
          </w:tcPr>
          <w:p w14:paraId="2454912A"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Experts Opinion</w:t>
            </w:r>
          </w:p>
        </w:tc>
        <w:tc>
          <w:tcPr>
            <w:tcW w:w="1984" w:type="dxa"/>
            <w:tcMar>
              <w:top w:w="57" w:type="dxa"/>
              <w:bottom w:w="57" w:type="dxa"/>
            </w:tcMar>
          </w:tcPr>
          <w:p w14:paraId="5B51C80E"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 60%</w:t>
            </w:r>
          </w:p>
        </w:tc>
        <w:tc>
          <w:tcPr>
            <w:tcW w:w="1748" w:type="dxa"/>
            <w:tcMar>
              <w:top w:w="57" w:type="dxa"/>
              <w:bottom w:w="57" w:type="dxa"/>
            </w:tcMar>
          </w:tcPr>
          <w:p w14:paraId="6B74AC15"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Electrocardiogram Chest x-ray, Biochemistry (2.5 tests each)</w:t>
            </w:r>
          </w:p>
        </w:tc>
        <w:tc>
          <w:tcPr>
            <w:tcW w:w="1749" w:type="dxa"/>
            <w:tcMar>
              <w:top w:w="57" w:type="dxa"/>
              <w:bottom w:w="57" w:type="dxa"/>
            </w:tcMar>
          </w:tcPr>
          <w:p w14:paraId="75FA8A27"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-1.5</w:t>
            </w:r>
          </w:p>
        </w:tc>
        <w:tc>
          <w:tcPr>
            <w:tcW w:w="2032" w:type="dxa"/>
            <w:tcMar>
              <w:top w:w="57" w:type="dxa"/>
              <w:bottom w:w="57" w:type="dxa"/>
            </w:tcMar>
          </w:tcPr>
          <w:p w14:paraId="2792E2FF"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+1.5</w:t>
            </w:r>
          </w:p>
        </w:tc>
      </w:tr>
      <w:tr w:rsidR="00BC7579" w:rsidRPr="00A21644" w14:paraId="3B9DDBE4" w14:textId="77777777" w:rsidTr="00A21644">
        <w:tc>
          <w:tcPr>
            <w:tcW w:w="426" w:type="dxa"/>
            <w:tcMar>
              <w:top w:w="57" w:type="dxa"/>
              <w:bottom w:w="57" w:type="dxa"/>
            </w:tcMar>
          </w:tcPr>
          <w:p w14:paraId="2D261673"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4</w:t>
            </w:r>
          </w:p>
        </w:tc>
        <w:tc>
          <w:tcPr>
            <w:tcW w:w="851" w:type="dxa"/>
            <w:tcMar>
              <w:top w:w="57" w:type="dxa"/>
              <w:bottom w:w="57" w:type="dxa"/>
            </w:tcMar>
          </w:tcPr>
          <w:p w14:paraId="29380216"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DHC</w:t>
            </w:r>
          </w:p>
        </w:tc>
        <w:tc>
          <w:tcPr>
            <w:tcW w:w="1275" w:type="dxa"/>
            <w:tcMar>
              <w:top w:w="57" w:type="dxa"/>
              <w:bottom w:w="57" w:type="dxa"/>
            </w:tcMar>
          </w:tcPr>
          <w:p w14:paraId="64B4C455"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Emergency visits</w:t>
            </w:r>
          </w:p>
        </w:tc>
        <w:tc>
          <w:tcPr>
            <w:tcW w:w="1134" w:type="dxa"/>
            <w:tcMar>
              <w:top w:w="57" w:type="dxa"/>
              <w:bottom w:w="57" w:type="dxa"/>
            </w:tcMar>
          </w:tcPr>
          <w:p w14:paraId="05DCCF84"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Experts Opinion</w:t>
            </w:r>
          </w:p>
        </w:tc>
        <w:tc>
          <w:tcPr>
            <w:tcW w:w="1984" w:type="dxa"/>
            <w:tcMar>
              <w:top w:w="57" w:type="dxa"/>
              <w:bottom w:w="57" w:type="dxa"/>
            </w:tcMar>
          </w:tcPr>
          <w:p w14:paraId="0311BE3E"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Extremes</w:t>
            </w:r>
          </w:p>
        </w:tc>
        <w:tc>
          <w:tcPr>
            <w:tcW w:w="1748" w:type="dxa"/>
            <w:tcMar>
              <w:top w:w="57" w:type="dxa"/>
              <w:bottom w:w="57" w:type="dxa"/>
            </w:tcMar>
          </w:tcPr>
          <w:p w14:paraId="5ABC0858"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40% emergency service (ES)</w:t>
            </w:r>
          </w:p>
          <w:p w14:paraId="7A98FE2C"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60% unscheduled visits to referral (UV)</w:t>
            </w:r>
          </w:p>
        </w:tc>
        <w:tc>
          <w:tcPr>
            <w:tcW w:w="1749" w:type="dxa"/>
            <w:tcMar>
              <w:top w:w="57" w:type="dxa"/>
              <w:bottom w:w="57" w:type="dxa"/>
            </w:tcMar>
          </w:tcPr>
          <w:p w14:paraId="5A5BC589"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0% ES</w:t>
            </w:r>
          </w:p>
          <w:p w14:paraId="0DB5F3D0"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100% UV</w:t>
            </w:r>
          </w:p>
        </w:tc>
        <w:tc>
          <w:tcPr>
            <w:tcW w:w="2032" w:type="dxa"/>
            <w:tcMar>
              <w:top w:w="57" w:type="dxa"/>
              <w:bottom w:w="57" w:type="dxa"/>
            </w:tcMar>
          </w:tcPr>
          <w:p w14:paraId="18571A47"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100% ES</w:t>
            </w:r>
          </w:p>
          <w:p w14:paraId="6097D39B"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0% UV</w:t>
            </w:r>
          </w:p>
        </w:tc>
      </w:tr>
      <w:tr w:rsidR="00BC7579" w:rsidRPr="00A21644" w14:paraId="1F31DAB8" w14:textId="77777777" w:rsidTr="00A21644">
        <w:tc>
          <w:tcPr>
            <w:tcW w:w="426" w:type="dxa"/>
            <w:tcMar>
              <w:top w:w="57" w:type="dxa"/>
              <w:bottom w:w="57" w:type="dxa"/>
            </w:tcMar>
          </w:tcPr>
          <w:p w14:paraId="320999F6"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5</w:t>
            </w:r>
          </w:p>
        </w:tc>
        <w:tc>
          <w:tcPr>
            <w:tcW w:w="851" w:type="dxa"/>
            <w:tcMar>
              <w:top w:w="57" w:type="dxa"/>
              <w:bottom w:w="57" w:type="dxa"/>
            </w:tcMar>
          </w:tcPr>
          <w:p w14:paraId="35644DEE"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DHC</w:t>
            </w:r>
          </w:p>
        </w:tc>
        <w:tc>
          <w:tcPr>
            <w:tcW w:w="1275" w:type="dxa"/>
            <w:tcMar>
              <w:top w:w="57" w:type="dxa"/>
              <w:bottom w:w="57" w:type="dxa"/>
            </w:tcMar>
          </w:tcPr>
          <w:p w14:paraId="640E7BF3"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Distribution by FC, number of hospitalization days, FC I-II</w:t>
            </w:r>
          </w:p>
        </w:tc>
        <w:tc>
          <w:tcPr>
            <w:tcW w:w="1134" w:type="dxa"/>
            <w:tcMar>
              <w:top w:w="57" w:type="dxa"/>
              <w:bottom w:w="57" w:type="dxa"/>
            </w:tcMar>
          </w:tcPr>
          <w:p w14:paraId="1AB606FA"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Experts Opinion</w:t>
            </w:r>
          </w:p>
        </w:tc>
        <w:tc>
          <w:tcPr>
            <w:tcW w:w="1984" w:type="dxa"/>
            <w:tcMar>
              <w:top w:w="57" w:type="dxa"/>
              <w:bottom w:w="57" w:type="dxa"/>
            </w:tcMar>
          </w:tcPr>
          <w:p w14:paraId="5436554C"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Extremes</w:t>
            </w:r>
          </w:p>
        </w:tc>
        <w:tc>
          <w:tcPr>
            <w:tcW w:w="1748" w:type="dxa"/>
            <w:tcMar>
              <w:top w:w="57" w:type="dxa"/>
              <w:bottom w:w="57" w:type="dxa"/>
            </w:tcMar>
          </w:tcPr>
          <w:p w14:paraId="43733274"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 xml:space="preserve">FC I: 10% </w:t>
            </w:r>
          </w:p>
          <w:p w14:paraId="356370EC"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 xml:space="preserve">FC II: 90% </w:t>
            </w:r>
          </w:p>
        </w:tc>
        <w:tc>
          <w:tcPr>
            <w:tcW w:w="1749" w:type="dxa"/>
            <w:tcMar>
              <w:top w:w="57" w:type="dxa"/>
              <w:bottom w:w="57" w:type="dxa"/>
            </w:tcMar>
          </w:tcPr>
          <w:p w14:paraId="42EFCCF9"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FC I: 100%</w:t>
            </w:r>
          </w:p>
          <w:p w14:paraId="049751FD"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FC II: 0%</w:t>
            </w:r>
          </w:p>
        </w:tc>
        <w:tc>
          <w:tcPr>
            <w:tcW w:w="2032" w:type="dxa"/>
            <w:tcMar>
              <w:top w:w="57" w:type="dxa"/>
              <w:bottom w:w="57" w:type="dxa"/>
            </w:tcMar>
          </w:tcPr>
          <w:p w14:paraId="3C310F1B"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FC I: 0%</w:t>
            </w:r>
          </w:p>
          <w:p w14:paraId="411D617D"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FC II: 100%</w:t>
            </w:r>
          </w:p>
        </w:tc>
      </w:tr>
      <w:tr w:rsidR="00BC7579" w:rsidRPr="00A21644" w14:paraId="3C9FF9BE" w14:textId="77777777" w:rsidTr="00A21644">
        <w:tc>
          <w:tcPr>
            <w:tcW w:w="426" w:type="dxa"/>
            <w:tcMar>
              <w:top w:w="57" w:type="dxa"/>
              <w:bottom w:w="57" w:type="dxa"/>
            </w:tcMar>
          </w:tcPr>
          <w:p w14:paraId="56A0844F"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6</w:t>
            </w:r>
          </w:p>
        </w:tc>
        <w:tc>
          <w:tcPr>
            <w:tcW w:w="851" w:type="dxa"/>
            <w:tcMar>
              <w:top w:w="57" w:type="dxa"/>
              <w:bottom w:w="57" w:type="dxa"/>
            </w:tcMar>
          </w:tcPr>
          <w:p w14:paraId="67009EC4"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DHC</w:t>
            </w:r>
          </w:p>
        </w:tc>
        <w:tc>
          <w:tcPr>
            <w:tcW w:w="1275" w:type="dxa"/>
            <w:tcMar>
              <w:top w:w="57" w:type="dxa"/>
              <w:bottom w:w="57" w:type="dxa"/>
            </w:tcMar>
          </w:tcPr>
          <w:p w14:paraId="1DD7BDC4"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Discount on drug costs</w:t>
            </w:r>
          </w:p>
        </w:tc>
        <w:tc>
          <w:tcPr>
            <w:tcW w:w="1134" w:type="dxa"/>
            <w:tcMar>
              <w:top w:w="57" w:type="dxa"/>
              <w:bottom w:w="57" w:type="dxa"/>
            </w:tcMar>
          </w:tcPr>
          <w:p w14:paraId="7897C5A4"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Official data</w:t>
            </w:r>
          </w:p>
        </w:tc>
        <w:tc>
          <w:tcPr>
            <w:tcW w:w="1984" w:type="dxa"/>
            <w:tcMar>
              <w:top w:w="57" w:type="dxa"/>
              <w:bottom w:w="57" w:type="dxa"/>
            </w:tcMar>
          </w:tcPr>
          <w:p w14:paraId="718622AE" w14:textId="3D0401A9"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From -43.1%</w:t>
            </w:r>
            <w:r w:rsidR="00BF2C9E">
              <w:rPr>
                <w:rFonts w:ascii="Times New Roman" w:hAnsi="Times New Roman" w:cs="Times New Roman"/>
                <w:sz w:val="18"/>
                <w:szCs w:val="18"/>
                <w:lang w:val="en-GB"/>
              </w:rPr>
              <w:t xml:space="preserve"> to 0%</w:t>
            </w:r>
          </w:p>
        </w:tc>
        <w:tc>
          <w:tcPr>
            <w:tcW w:w="1748" w:type="dxa"/>
            <w:tcMar>
              <w:top w:w="57" w:type="dxa"/>
              <w:bottom w:w="57" w:type="dxa"/>
            </w:tcMar>
          </w:tcPr>
          <w:p w14:paraId="41ED6206"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 xml:space="preserve">PVL (+) 4% VAT (–) RDL discount </w:t>
            </w:r>
          </w:p>
        </w:tc>
        <w:tc>
          <w:tcPr>
            <w:tcW w:w="1749" w:type="dxa"/>
            <w:tcMar>
              <w:top w:w="57" w:type="dxa"/>
              <w:bottom w:w="57" w:type="dxa"/>
            </w:tcMar>
          </w:tcPr>
          <w:p w14:paraId="4AD660E9" w14:textId="07BCD539"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 xml:space="preserve">-43.1% </w:t>
            </w:r>
            <w:r w:rsidR="00111B3F" w:rsidRPr="00A21644">
              <w:rPr>
                <w:rFonts w:ascii="Times New Roman" w:hAnsi="Times New Roman" w:cs="Times New Roman"/>
                <w:sz w:val="18"/>
                <w:szCs w:val="18"/>
                <w:lang w:val="en-GB"/>
              </w:rPr>
              <w:fldChar w:fldCharType="begin"/>
            </w:r>
            <w:r w:rsidR="00695D31">
              <w:rPr>
                <w:rFonts w:ascii="Times New Roman" w:hAnsi="Times New Roman" w:cs="Times New Roman"/>
                <w:sz w:val="18"/>
                <w:szCs w:val="18"/>
                <w:lang w:val="en-GB"/>
              </w:rPr>
              <w:instrText xml:space="preserve"> ADDIN ZOTERO_ITEM CSL_CITATION {"citationID":"cafnMKKz","properties":{"formattedCitation":"[48]","plainCitation":"[48]","noteIndex":0},"citationItems":[{"id":52700,"uris":["http://zotero.org/groups/337550/items/8PY6E6JT"],"uri":["http://zotero.org/groups/337550/items/8PY6E6JT"],"itemData":{"id":52700,"type":"webpage","abstract":"El número de medicamentos de uso o de dispensación hospitalaria con precio notificado ha pasado de los 125 que había en 2014 a 579 presentaciones el pasado mes de enero.","container-title":"diariofarma","language":"es","title":"Precios notificados: cada año hay más y con mayor diferencia sobre el real","title-short":"Precios notificados","URL":"https://www.diariofarma.com/2019/02/12/precios-notificados-cada-ano-hay-mas-y-con-mayor-diferencia-sobre-el-real","author":[{"family":"DiarioFarma","given":""}],"issued":{"date-parts":[["2019"]]}}}],"schema":"https://github.com/citation-style-language/schema/raw/master/csl-citation.json"} </w:instrText>
            </w:r>
            <w:r w:rsidR="00111B3F" w:rsidRPr="00A21644">
              <w:rPr>
                <w:rFonts w:ascii="Times New Roman" w:hAnsi="Times New Roman" w:cs="Times New Roman"/>
                <w:sz w:val="18"/>
                <w:szCs w:val="18"/>
                <w:lang w:val="en-GB"/>
              </w:rPr>
              <w:fldChar w:fldCharType="separate"/>
            </w:r>
            <w:r w:rsidR="00695D31" w:rsidRPr="00695D31">
              <w:rPr>
                <w:rFonts w:ascii="Times New Roman" w:hAnsi="Times New Roman" w:cs="Times New Roman"/>
                <w:sz w:val="18"/>
              </w:rPr>
              <w:t>[48]</w:t>
            </w:r>
            <w:r w:rsidR="00111B3F" w:rsidRPr="00A21644">
              <w:rPr>
                <w:rFonts w:ascii="Times New Roman" w:hAnsi="Times New Roman" w:cs="Times New Roman"/>
                <w:sz w:val="18"/>
                <w:szCs w:val="18"/>
                <w:lang w:val="en-GB"/>
              </w:rPr>
              <w:fldChar w:fldCharType="end"/>
            </w:r>
          </w:p>
        </w:tc>
        <w:tc>
          <w:tcPr>
            <w:tcW w:w="2032" w:type="dxa"/>
            <w:tcMar>
              <w:top w:w="57" w:type="dxa"/>
              <w:bottom w:w="57" w:type="dxa"/>
            </w:tcMar>
          </w:tcPr>
          <w:p w14:paraId="1D50B798"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0%</w:t>
            </w:r>
          </w:p>
        </w:tc>
      </w:tr>
      <w:tr w:rsidR="00BC7579" w:rsidRPr="00910732" w14:paraId="36E49F28" w14:textId="77777777" w:rsidTr="00A21644">
        <w:tc>
          <w:tcPr>
            <w:tcW w:w="426" w:type="dxa"/>
            <w:tcMar>
              <w:top w:w="57" w:type="dxa"/>
              <w:bottom w:w="57" w:type="dxa"/>
            </w:tcMar>
          </w:tcPr>
          <w:p w14:paraId="603CB85A"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7</w:t>
            </w:r>
          </w:p>
        </w:tc>
        <w:tc>
          <w:tcPr>
            <w:tcW w:w="851" w:type="dxa"/>
            <w:tcMar>
              <w:top w:w="57" w:type="dxa"/>
              <w:bottom w:w="57" w:type="dxa"/>
            </w:tcMar>
          </w:tcPr>
          <w:p w14:paraId="147935BB"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DHC / DNHC</w:t>
            </w:r>
          </w:p>
        </w:tc>
        <w:tc>
          <w:tcPr>
            <w:tcW w:w="1275" w:type="dxa"/>
            <w:tcMar>
              <w:top w:w="57" w:type="dxa"/>
              <w:bottom w:w="57" w:type="dxa"/>
            </w:tcMar>
          </w:tcPr>
          <w:p w14:paraId="090F0308"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Unit cost for tests, visits, transplant, transport, hospitalisation and support therapies</w:t>
            </w:r>
          </w:p>
        </w:tc>
        <w:tc>
          <w:tcPr>
            <w:tcW w:w="1134" w:type="dxa"/>
            <w:tcMar>
              <w:top w:w="57" w:type="dxa"/>
              <w:bottom w:w="57" w:type="dxa"/>
            </w:tcMar>
          </w:tcPr>
          <w:p w14:paraId="1FF3F0F2"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Official data</w:t>
            </w:r>
          </w:p>
        </w:tc>
        <w:tc>
          <w:tcPr>
            <w:tcW w:w="1984" w:type="dxa"/>
            <w:tcMar>
              <w:top w:w="57" w:type="dxa"/>
              <w:bottom w:w="57" w:type="dxa"/>
            </w:tcMar>
          </w:tcPr>
          <w:p w14:paraId="6C6F3FBD"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Extremes</w:t>
            </w:r>
          </w:p>
        </w:tc>
        <w:tc>
          <w:tcPr>
            <w:tcW w:w="1748" w:type="dxa"/>
            <w:tcMar>
              <w:top w:w="57" w:type="dxa"/>
              <w:bottom w:w="57" w:type="dxa"/>
            </w:tcMar>
          </w:tcPr>
          <w:p w14:paraId="02ED2EF9" w14:textId="4D73CE4C"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Median from prices</w:t>
            </w:r>
            <w:r w:rsidR="00BF2C9E">
              <w:rPr>
                <w:rFonts w:ascii="Times New Roman" w:hAnsi="Times New Roman" w:cs="Times New Roman"/>
                <w:sz w:val="18"/>
                <w:szCs w:val="18"/>
                <w:lang w:val="en-GB"/>
              </w:rPr>
              <w:t>/unit costs</w:t>
            </w:r>
            <w:r w:rsidRPr="00A21644">
              <w:rPr>
                <w:rFonts w:ascii="Times New Roman" w:hAnsi="Times New Roman" w:cs="Times New Roman"/>
                <w:sz w:val="18"/>
                <w:szCs w:val="18"/>
                <w:lang w:val="en-GB"/>
              </w:rPr>
              <w:t xml:space="preserve"> in Autonomous Communit</w:t>
            </w:r>
            <w:r w:rsidR="00BF2C9E">
              <w:rPr>
                <w:rFonts w:ascii="Times New Roman" w:hAnsi="Times New Roman" w:cs="Times New Roman"/>
                <w:sz w:val="18"/>
                <w:szCs w:val="18"/>
                <w:lang w:val="en-GB"/>
              </w:rPr>
              <w:t>ies</w:t>
            </w:r>
          </w:p>
        </w:tc>
        <w:tc>
          <w:tcPr>
            <w:tcW w:w="1749" w:type="dxa"/>
            <w:tcMar>
              <w:top w:w="57" w:type="dxa"/>
              <w:bottom w:w="57" w:type="dxa"/>
            </w:tcMar>
          </w:tcPr>
          <w:p w14:paraId="602FBCEE" w14:textId="4DB3D385"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Minimum</w:t>
            </w:r>
            <w:r w:rsidR="00BF2C9E">
              <w:rPr>
                <w:rFonts w:ascii="Times New Roman" w:hAnsi="Times New Roman" w:cs="Times New Roman"/>
                <w:sz w:val="18"/>
                <w:szCs w:val="18"/>
                <w:lang w:val="en-GB"/>
              </w:rPr>
              <w:t xml:space="preserve"> unit costs</w:t>
            </w:r>
            <w:r w:rsidR="00BF2C9E" w:rsidRPr="00A21644">
              <w:rPr>
                <w:rFonts w:ascii="Times New Roman" w:hAnsi="Times New Roman" w:cs="Times New Roman"/>
                <w:sz w:val="18"/>
                <w:szCs w:val="18"/>
                <w:lang w:val="en-GB"/>
              </w:rPr>
              <w:t xml:space="preserve"> in Autonomous Communit</w:t>
            </w:r>
            <w:r w:rsidR="00BF2C9E">
              <w:rPr>
                <w:rFonts w:ascii="Times New Roman" w:hAnsi="Times New Roman" w:cs="Times New Roman"/>
                <w:sz w:val="18"/>
                <w:szCs w:val="18"/>
                <w:lang w:val="en-GB"/>
              </w:rPr>
              <w:t>ies</w:t>
            </w:r>
          </w:p>
        </w:tc>
        <w:tc>
          <w:tcPr>
            <w:tcW w:w="2032" w:type="dxa"/>
            <w:tcMar>
              <w:top w:w="57" w:type="dxa"/>
              <w:bottom w:w="57" w:type="dxa"/>
            </w:tcMar>
          </w:tcPr>
          <w:p w14:paraId="226FD254" w14:textId="7952F94F"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Maximum</w:t>
            </w:r>
            <w:r w:rsidR="00BF2C9E">
              <w:rPr>
                <w:rFonts w:ascii="Times New Roman" w:hAnsi="Times New Roman" w:cs="Times New Roman"/>
                <w:sz w:val="18"/>
                <w:szCs w:val="18"/>
                <w:lang w:val="en-GB"/>
              </w:rPr>
              <w:t xml:space="preserve"> unit cost</w:t>
            </w:r>
            <w:r w:rsidR="00BF2C9E" w:rsidRPr="00A21644">
              <w:rPr>
                <w:rFonts w:ascii="Times New Roman" w:hAnsi="Times New Roman" w:cs="Times New Roman"/>
                <w:sz w:val="18"/>
                <w:szCs w:val="18"/>
                <w:lang w:val="en-GB"/>
              </w:rPr>
              <w:t xml:space="preserve"> in Autonomous Communit</w:t>
            </w:r>
            <w:r w:rsidR="00BF2C9E">
              <w:rPr>
                <w:rFonts w:ascii="Times New Roman" w:hAnsi="Times New Roman" w:cs="Times New Roman"/>
                <w:sz w:val="18"/>
                <w:szCs w:val="18"/>
                <w:lang w:val="en-GB"/>
              </w:rPr>
              <w:t>ies</w:t>
            </w:r>
          </w:p>
        </w:tc>
      </w:tr>
      <w:tr w:rsidR="00BC7579" w:rsidRPr="00A21644" w14:paraId="0DBBDC19" w14:textId="77777777" w:rsidTr="00A21644">
        <w:tc>
          <w:tcPr>
            <w:tcW w:w="426" w:type="dxa"/>
            <w:tcMar>
              <w:top w:w="57" w:type="dxa"/>
              <w:bottom w:w="57" w:type="dxa"/>
            </w:tcMar>
          </w:tcPr>
          <w:p w14:paraId="7BBA95AC"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8</w:t>
            </w:r>
          </w:p>
        </w:tc>
        <w:tc>
          <w:tcPr>
            <w:tcW w:w="851" w:type="dxa"/>
            <w:tcMar>
              <w:top w:w="57" w:type="dxa"/>
              <w:bottom w:w="57" w:type="dxa"/>
            </w:tcMar>
          </w:tcPr>
          <w:p w14:paraId="400CE703"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DNHC</w:t>
            </w:r>
          </w:p>
        </w:tc>
        <w:tc>
          <w:tcPr>
            <w:tcW w:w="1275" w:type="dxa"/>
            <w:tcMar>
              <w:top w:w="57" w:type="dxa"/>
              <w:bottom w:w="57" w:type="dxa"/>
            </w:tcMar>
          </w:tcPr>
          <w:p w14:paraId="4A073DEC"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Number of hours dedicated by caregivers to patients, per week</w:t>
            </w:r>
          </w:p>
        </w:tc>
        <w:tc>
          <w:tcPr>
            <w:tcW w:w="1134" w:type="dxa"/>
            <w:tcMar>
              <w:top w:w="57" w:type="dxa"/>
              <w:bottom w:w="57" w:type="dxa"/>
            </w:tcMar>
          </w:tcPr>
          <w:p w14:paraId="12DF6CCA"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Literature</w:t>
            </w:r>
          </w:p>
        </w:tc>
        <w:tc>
          <w:tcPr>
            <w:tcW w:w="1984" w:type="dxa"/>
            <w:tcMar>
              <w:top w:w="57" w:type="dxa"/>
              <w:bottom w:w="57" w:type="dxa"/>
            </w:tcMar>
          </w:tcPr>
          <w:p w14:paraId="205D43FF"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 28%-33%</w:t>
            </w:r>
          </w:p>
        </w:tc>
        <w:tc>
          <w:tcPr>
            <w:tcW w:w="1748" w:type="dxa"/>
            <w:tcMar>
              <w:top w:w="57" w:type="dxa"/>
              <w:bottom w:w="57" w:type="dxa"/>
            </w:tcMar>
          </w:tcPr>
          <w:p w14:paraId="35065379"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FC I-II: 21</w:t>
            </w:r>
          </w:p>
          <w:p w14:paraId="4EBD0786"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FC III: 26</w:t>
            </w:r>
          </w:p>
          <w:p w14:paraId="44D66CDB"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FC IV: 29</w:t>
            </w:r>
          </w:p>
        </w:tc>
        <w:tc>
          <w:tcPr>
            <w:tcW w:w="1749" w:type="dxa"/>
            <w:tcMar>
              <w:top w:w="57" w:type="dxa"/>
              <w:bottom w:w="57" w:type="dxa"/>
            </w:tcMar>
          </w:tcPr>
          <w:p w14:paraId="711AEAD7"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FC I-II: 14</w:t>
            </w:r>
          </w:p>
          <w:p w14:paraId="30B03FC7"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FC III: 18</w:t>
            </w:r>
          </w:p>
          <w:p w14:paraId="748B90ED"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FC IV: 21</w:t>
            </w:r>
          </w:p>
        </w:tc>
        <w:tc>
          <w:tcPr>
            <w:tcW w:w="2032" w:type="dxa"/>
            <w:tcMar>
              <w:top w:w="57" w:type="dxa"/>
              <w:bottom w:w="57" w:type="dxa"/>
            </w:tcMar>
          </w:tcPr>
          <w:p w14:paraId="2943D9EC"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FC I-II: 27</w:t>
            </w:r>
          </w:p>
          <w:p w14:paraId="2B0BF619"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FC III: 34</w:t>
            </w:r>
          </w:p>
          <w:p w14:paraId="04ECDBE0"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FC IV: 38</w:t>
            </w:r>
          </w:p>
        </w:tc>
      </w:tr>
      <w:tr w:rsidR="00BC7579" w:rsidRPr="00A21644" w14:paraId="2351037B" w14:textId="77777777" w:rsidTr="00A21644">
        <w:tc>
          <w:tcPr>
            <w:tcW w:w="426" w:type="dxa"/>
            <w:tcMar>
              <w:top w:w="57" w:type="dxa"/>
              <w:bottom w:w="57" w:type="dxa"/>
            </w:tcMar>
          </w:tcPr>
          <w:p w14:paraId="7AF755A3"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9</w:t>
            </w:r>
          </w:p>
        </w:tc>
        <w:tc>
          <w:tcPr>
            <w:tcW w:w="851" w:type="dxa"/>
            <w:tcMar>
              <w:top w:w="57" w:type="dxa"/>
              <w:bottom w:w="57" w:type="dxa"/>
            </w:tcMar>
          </w:tcPr>
          <w:p w14:paraId="7D9D5502"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DNHC</w:t>
            </w:r>
          </w:p>
        </w:tc>
        <w:tc>
          <w:tcPr>
            <w:tcW w:w="1275" w:type="dxa"/>
            <w:tcMar>
              <w:top w:w="57" w:type="dxa"/>
              <w:bottom w:w="57" w:type="dxa"/>
            </w:tcMar>
          </w:tcPr>
          <w:p w14:paraId="17D3253D"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Distribution, formal and informal care</w:t>
            </w:r>
          </w:p>
        </w:tc>
        <w:tc>
          <w:tcPr>
            <w:tcW w:w="1134" w:type="dxa"/>
            <w:tcMar>
              <w:top w:w="57" w:type="dxa"/>
              <w:bottom w:w="57" w:type="dxa"/>
            </w:tcMar>
          </w:tcPr>
          <w:p w14:paraId="1A486436"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Literature</w:t>
            </w:r>
          </w:p>
        </w:tc>
        <w:tc>
          <w:tcPr>
            <w:tcW w:w="1984" w:type="dxa"/>
            <w:tcMar>
              <w:top w:w="57" w:type="dxa"/>
              <w:bottom w:w="57" w:type="dxa"/>
            </w:tcMar>
          </w:tcPr>
          <w:p w14:paraId="6639374B"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Formal: 17%-36%</w:t>
            </w:r>
          </w:p>
        </w:tc>
        <w:tc>
          <w:tcPr>
            <w:tcW w:w="1748" w:type="dxa"/>
            <w:tcMar>
              <w:top w:w="57" w:type="dxa"/>
              <w:bottom w:w="57" w:type="dxa"/>
            </w:tcMar>
          </w:tcPr>
          <w:p w14:paraId="3C0B239E"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 xml:space="preserve">Formal: 26% </w:t>
            </w:r>
          </w:p>
          <w:p w14:paraId="12624968"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 xml:space="preserve">Informal: 74% </w:t>
            </w:r>
          </w:p>
        </w:tc>
        <w:tc>
          <w:tcPr>
            <w:tcW w:w="1749" w:type="dxa"/>
            <w:tcMar>
              <w:top w:w="57" w:type="dxa"/>
              <w:bottom w:w="57" w:type="dxa"/>
            </w:tcMar>
          </w:tcPr>
          <w:p w14:paraId="5FA6C890"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Formal: 17% Informal: 83%</w:t>
            </w:r>
          </w:p>
        </w:tc>
        <w:tc>
          <w:tcPr>
            <w:tcW w:w="2032" w:type="dxa"/>
            <w:tcMar>
              <w:top w:w="57" w:type="dxa"/>
              <w:bottom w:w="57" w:type="dxa"/>
            </w:tcMar>
          </w:tcPr>
          <w:p w14:paraId="1C69157B"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 xml:space="preserve">Formal: 36% </w:t>
            </w:r>
          </w:p>
          <w:p w14:paraId="0669C902"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 xml:space="preserve">Informal: 64% </w:t>
            </w:r>
          </w:p>
        </w:tc>
      </w:tr>
      <w:tr w:rsidR="00BC7579" w:rsidRPr="00910732" w14:paraId="2A4B57F0" w14:textId="77777777" w:rsidTr="00A21644">
        <w:tc>
          <w:tcPr>
            <w:tcW w:w="426" w:type="dxa"/>
            <w:tcMar>
              <w:top w:w="57" w:type="dxa"/>
              <w:bottom w:w="57" w:type="dxa"/>
            </w:tcMar>
          </w:tcPr>
          <w:p w14:paraId="75FF5089"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10</w:t>
            </w:r>
          </w:p>
        </w:tc>
        <w:tc>
          <w:tcPr>
            <w:tcW w:w="851" w:type="dxa"/>
            <w:tcMar>
              <w:top w:w="57" w:type="dxa"/>
              <w:bottom w:w="57" w:type="dxa"/>
            </w:tcMar>
          </w:tcPr>
          <w:p w14:paraId="5EC18337"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DNHC</w:t>
            </w:r>
          </w:p>
        </w:tc>
        <w:tc>
          <w:tcPr>
            <w:tcW w:w="1275" w:type="dxa"/>
            <w:tcMar>
              <w:top w:w="57" w:type="dxa"/>
              <w:bottom w:w="57" w:type="dxa"/>
            </w:tcMar>
          </w:tcPr>
          <w:p w14:paraId="40D3C11A"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Time spent on medical visits and tests</w:t>
            </w:r>
          </w:p>
        </w:tc>
        <w:tc>
          <w:tcPr>
            <w:tcW w:w="1134" w:type="dxa"/>
            <w:tcMar>
              <w:top w:w="57" w:type="dxa"/>
              <w:bottom w:w="57" w:type="dxa"/>
            </w:tcMar>
          </w:tcPr>
          <w:p w14:paraId="16A3E069"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Experts Opinion</w:t>
            </w:r>
          </w:p>
        </w:tc>
        <w:tc>
          <w:tcPr>
            <w:tcW w:w="1984" w:type="dxa"/>
            <w:tcMar>
              <w:top w:w="57" w:type="dxa"/>
              <w:bottom w:w="57" w:type="dxa"/>
            </w:tcMar>
          </w:tcPr>
          <w:p w14:paraId="27E4C715"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Visits/tests: ± 25%-50%</w:t>
            </w:r>
          </w:p>
          <w:p w14:paraId="0EB6272E"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Travel: ± 50%</w:t>
            </w:r>
          </w:p>
          <w:p w14:paraId="7D09CC2D"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Hosp/NIMV: ±25%</w:t>
            </w:r>
          </w:p>
        </w:tc>
        <w:tc>
          <w:tcPr>
            <w:tcW w:w="1748" w:type="dxa"/>
            <w:tcMar>
              <w:top w:w="57" w:type="dxa"/>
              <w:bottom w:w="57" w:type="dxa"/>
            </w:tcMar>
          </w:tcPr>
          <w:p w14:paraId="7BEACA96"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 xml:space="preserve">Visit/test: 30-60m </w:t>
            </w:r>
          </w:p>
          <w:p w14:paraId="796AE096"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 xml:space="preserve">Travel: 1h (round) </w:t>
            </w:r>
          </w:p>
          <w:p w14:paraId="1436E3B0"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 xml:space="preserve">Hosp/NIMV: 8h/day </w:t>
            </w:r>
          </w:p>
        </w:tc>
        <w:tc>
          <w:tcPr>
            <w:tcW w:w="1749" w:type="dxa"/>
            <w:tcMar>
              <w:top w:w="57" w:type="dxa"/>
              <w:bottom w:w="57" w:type="dxa"/>
            </w:tcMar>
          </w:tcPr>
          <w:p w14:paraId="18C9A0E5"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Visit/test: -15m</w:t>
            </w:r>
          </w:p>
          <w:p w14:paraId="0A2E2F63"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 xml:space="preserve">Travel: -30m </w:t>
            </w:r>
          </w:p>
          <w:p w14:paraId="28DC934D"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 xml:space="preserve">Hosp/NIMV: -2h </w:t>
            </w:r>
          </w:p>
        </w:tc>
        <w:tc>
          <w:tcPr>
            <w:tcW w:w="2032" w:type="dxa"/>
            <w:tcMar>
              <w:top w:w="57" w:type="dxa"/>
              <w:bottom w:w="57" w:type="dxa"/>
            </w:tcMar>
          </w:tcPr>
          <w:p w14:paraId="310BBC80"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Visit/test: +15m Travel: +30m Hosp/NIMV: +2h</w:t>
            </w:r>
          </w:p>
        </w:tc>
      </w:tr>
      <w:tr w:rsidR="00BC7579" w:rsidRPr="00A21644" w14:paraId="082D81FB" w14:textId="77777777" w:rsidTr="00A21644">
        <w:tc>
          <w:tcPr>
            <w:tcW w:w="426" w:type="dxa"/>
            <w:tcMar>
              <w:top w:w="57" w:type="dxa"/>
              <w:bottom w:w="57" w:type="dxa"/>
            </w:tcMar>
          </w:tcPr>
          <w:p w14:paraId="27795912"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11</w:t>
            </w:r>
          </w:p>
        </w:tc>
        <w:tc>
          <w:tcPr>
            <w:tcW w:w="851" w:type="dxa"/>
            <w:tcMar>
              <w:top w:w="57" w:type="dxa"/>
              <w:bottom w:w="57" w:type="dxa"/>
            </w:tcMar>
          </w:tcPr>
          <w:p w14:paraId="755ADAEE"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DNHC / IC</w:t>
            </w:r>
          </w:p>
        </w:tc>
        <w:tc>
          <w:tcPr>
            <w:tcW w:w="1275" w:type="dxa"/>
            <w:tcMar>
              <w:top w:w="57" w:type="dxa"/>
              <w:bottom w:w="57" w:type="dxa"/>
            </w:tcMar>
          </w:tcPr>
          <w:p w14:paraId="398DE308"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Wages / average working hours</w:t>
            </w:r>
          </w:p>
        </w:tc>
        <w:tc>
          <w:tcPr>
            <w:tcW w:w="1134" w:type="dxa"/>
            <w:tcMar>
              <w:top w:w="57" w:type="dxa"/>
              <w:bottom w:w="57" w:type="dxa"/>
            </w:tcMar>
          </w:tcPr>
          <w:p w14:paraId="134B8C71"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Official data</w:t>
            </w:r>
          </w:p>
        </w:tc>
        <w:tc>
          <w:tcPr>
            <w:tcW w:w="1984" w:type="dxa"/>
            <w:tcMar>
              <w:top w:w="57" w:type="dxa"/>
              <w:bottom w:w="57" w:type="dxa"/>
            </w:tcMar>
          </w:tcPr>
          <w:p w14:paraId="5457790E"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 5%</w:t>
            </w:r>
          </w:p>
        </w:tc>
        <w:tc>
          <w:tcPr>
            <w:tcW w:w="1748" w:type="dxa"/>
            <w:tcMar>
              <w:top w:w="57" w:type="dxa"/>
              <w:bottom w:w="57" w:type="dxa"/>
            </w:tcMar>
          </w:tcPr>
          <w:p w14:paraId="3ACBFC28"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INE</w:t>
            </w:r>
          </w:p>
        </w:tc>
        <w:tc>
          <w:tcPr>
            <w:tcW w:w="1749" w:type="dxa"/>
            <w:tcMar>
              <w:top w:w="57" w:type="dxa"/>
              <w:bottom w:w="57" w:type="dxa"/>
            </w:tcMar>
          </w:tcPr>
          <w:p w14:paraId="3E955DDA"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-5%</w:t>
            </w:r>
          </w:p>
        </w:tc>
        <w:tc>
          <w:tcPr>
            <w:tcW w:w="2032" w:type="dxa"/>
            <w:tcMar>
              <w:top w:w="57" w:type="dxa"/>
              <w:bottom w:w="57" w:type="dxa"/>
            </w:tcMar>
          </w:tcPr>
          <w:p w14:paraId="033E4D70"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+5%</w:t>
            </w:r>
          </w:p>
        </w:tc>
      </w:tr>
      <w:tr w:rsidR="00BC7579" w:rsidRPr="00910732" w14:paraId="346EC8BB" w14:textId="77777777" w:rsidTr="00A21644">
        <w:tc>
          <w:tcPr>
            <w:tcW w:w="426" w:type="dxa"/>
            <w:tcMar>
              <w:top w:w="57" w:type="dxa"/>
              <w:bottom w:w="57" w:type="dxa"/>
            </w:tcMar>
          </w:tcPr>
          <w:p w14:paraId="54E027D1"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12</w:t>
            </w:r>
          </w:p>
        </w:tc>
        <w:tc>
          <w:tcPr>
            <w:tcW w:w="851" w:type="dxa"/>
            <w:tcMar>
              <w:top w:w="57" w:type="dxa"/>
              <w:bottom w:w="57" w:type="dxa"/>
            </w:tcMar>
          </w:tcPr>
          <w:p w14:paraId="36645F26"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IC</w:t>
            </w:r>
          </w:p>
        </w:tc>
        <w:tc>
          <w:tcPr>
            <w:tcW w:w="1275" w:type="dxa"/>
            <w:tcMar>
              <w:top w:w="57" w:type="dxa"/>
              <w:bottom w:w="57" w:type="dxa"/>
            </w:tcMar>
          </w:tcPr>
          <w:p w14:paraId="43A30461"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Loss of labour productivity: (a) ER% + PL%; (b) TL%</w:t>
            </w:r>
          </w:p>
        </w:tc>
        <w:tc>
          <w:tcPr>
            <w:tcW w:w="1134" w:type="dxa"/>
            <w:tcMar>
              <w:top w:w="57" w:type="dxa"/>
              <w:bottom w:w="57" w:type="dxa"/>
            </w:tcMar>
          </w:tcPr>
          <w:p w14:paraId="5FEBD354"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Literature</w:t>
            </w:r>
          </w:p>
        </w:tc>
        <w:tc>
          <w:tcPr>
            <w:tcW w:w="1984" w:type="dxa"/>
            <w:tcMar>
              <w:top w:w="57" w:type="dxa"/>
              <w:bottom w:w="57" w:type="dxa"/>
            </w:tcMar>
          </w:tcPr>
          <w:p w14:paraId="75173267"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 10-20%</w:t>
            </w:r>
          </w:p>
        </w:tc>
        <w:tc>
          <w:tcPr>
            <w:tcW w:w="1748" w:type="dxa"/>
            <w:tcMar>
              <w:top w:w="57" w:type="dxa"/>
              <w:bottom w:w="57" w:type="dxa"/>
            </w:tcMar>
          </w:tcPr>
          <w:p w14:paraId="15F5810C"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FC I-II: 60/20</w:t>
            </w:r>
          </w:p>
          <w:p w14:paraId="066464EE"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FC III: 100/0</w:t>
            </w:r>
          </w:p>
          <w:p w14:paraId="5480C172"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FC IV: 100/0</w:t>
            </w:r>
          </w:p>
        </w:tc>
        <w:tc>
          <w:tcPr>
            <w:tcW w:w="1749" w:type="dxa"/>
            <w:tcMar>
              <w:top w:w="57" w:type="dxa"/>
              <w:bottom w:w="57" w:type="dxa"/>
            </w:tcMar>
          </w:tcPr>
          <w:p w14:paraId="6A8A1B16"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FC I-II: 40/30</w:t>
            </w:r>
          </w:p>
          <w:p w14:paraId="4F3E11AE"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FC III: 80/20</w:t>
            </w:r>
          </w:p>
          <w:p w14:paraId="1B390F43"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FC IV: 90/10</w:t>
            </w:r>
          </w:p>
        </w:tc>
        <w:tc>
          <w:tcPr>
            <w:tcW w:w="2032" w:type="dxa"/>
            <w:tcMar>
              <w:top w:w="57" w:type="dxa"/>
              <w:bottom w:w="57" w:type="dxa"/>
            </w:tcMar>
          </w:tcPr>
          <w:p w14:paraId="770B4904"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FC I-II: 80/10</w:t>
            </w:r>
          </w:p>
          <w:p w14:paraId="06FD09D4" w14:textId="77777777" w:rsidR="00BC7579" w:rsidRPr="00A21644" w:rsidRDefault="00BC7579" w:rsidP="00A21644">
            <w:pPr>
              <w:tabs>
                <w:tab w:val="left" w:pos="284"/>
              </w:tabs>
              <w:spacing w:before="0" w:after="0" w:line="240" w:lineRule="auto"/>
              <w:jc w:val="left"/>
              <w:rPr>
                <w:rFonts w:ascii="Times New Roman" w:hAnsi="Times New Roman" w:cs="Times New Roman"/>
                <w:sz w:val="18"/>
                <w:szCs w:val="18"/>
                <w:lang w:val="en-GB"/>
              </w:rPr>
            </w:pPr>
            <w:r w:rsidRPr="00A21644">
              <w:rPr>
                <w:rFonts w:ascii="Times New Roman" w:hAnsi="Times New Roman" w:cs="Times New Roman"/>
                <w:sz w:val="18"/>
                <w:szCs w:val="18"/>
                <w:lang w:val="en-GB"/>
              </w:rPr>
              <w:t>FC III/FC IV=BC</w:t>
            </w:r>
          </w:p>
        </w:tc>
      </w:tr>
    </w:tbl>
    <w:p w14:paraId="62D8CB98" w14:textId="01687BAE" w:rsidR="00BC7579" w:rsidRPr="00BC7579" w:rsidRDefault="00DF716B" w:rsidP="00BC7579">
      <w:pPr>
        <w:tabs>
          <w:tab w:val="left" w:pos="284"/>
        </w:tabs>
        <w:spacing w:before="120" w:line="240" w:lineRule="auto"/>
        <w:ind w:left="-284"/>
        <w:rPr>
          <w:rFonts w:ascii="Times New Roman" w:hAnsi="Times New Roman" w:cs="Times New Roman"/>
          <w:sz w:val="18"/>
          <w:szCs w:val="18"/>
          <w:lang w:val="en-GB"/>
        </w:rPr>
      </w:pPr>
      <w:r w:rsidRPr="00BC7579">
        <w:rPr>
          <w:rFonts w:ascii="Times New Roman" w:hAnsi="Times New Roman" w:cs="Times New Roman"/>
          <w:b/>
          <w:bCs/>
          <w:sz w:val="18"/>
          <w:szCs w:val="18"/>
          <w:lang w:val="en-GB"/>
        </w:rPr>
        <w:t>BC</w:t>
      </w:r>
      <w:r w:rsidRPr="00BC7579">
        <w:rPr>
          <w:rFonts w:ascii="Times New Roman" w:hAnsi="Times New Roman" w:cs="Times New Roman"/>
          <w:sz w:val="18"/>
          <w:szCs w:val="18"/>
          <w:lang w:val="en-GB"/>
        </w:rPr>
        <w:t>: Base Case.</w:t>
      </w:r>
      <w:r>
        <w:rPr>
          <w:rFonts w:ascii="Times New Roman" w:hAnsi="Times New Roman" w:cs="Times New Roman"/>
          <w:sz w:val="18"/>
          <w:szCs w:val="18"/>
          <w:lang w:val="en-GB"/>
        </w:rPr>
        <w:t xml:space="preserve"> </w:t>
      </w:r>
      <w:r w:rsidR="00BC7579" w:rsidRPr="00BC7579">
        <w:rPr>
          <w:rFonts w:ascii="Times New Roman" w:hAnsi="Times New Roman" w:cs="Times New Roman"/>
          <w:b/>
          <w:bCs/>
          <w:sz w:val="18"/>
          <w:szCs w:val="18"/>
          <w:lang w:val="en-GB"/>
        </w:rPr>
        <w:t>DHC</w:t>
      </w:r>
      <w:r w:rsidR="00BC7579" w:rsidRPr="00BC7579">
        <w:rPr>
          <w:rFonts w:ascii="Times New Roman" w:hAnsi="Times New Roman" w:cs="Times New Roman"/>
          <w:sz w:val="18"/>
          <w:szCs w:val="18"/>
          <w:lang w:val="en-GB"/>
        </w:rPr>
        <w:t xml:space="preserve">: Direct Healthcare Costs. </w:t>
      </w:r>
      <w:r w:rsidR="00BC7579" w:rsidRPr="00BC7579">
        <w:rPr>
          <w:rFonts w:ascii="Times New Roman" w:hAnsi="Times New Roman" w:cs="Times New Roman"/>
          <w:b/>
          <w:bCs/>
          <w:sz w:val="18"/>
          <w:szCs w:val="18"/>
          <w:lang w:val="en-GB"/>
        </w:rPr>
        <w:t>DNHC</w:t>
      </w:r>
      <w:r w:rsidR="00BC7579" w:rsidRPr="00BC7579">
        <w:rPr>
          <w:rFonts w:ascii="Times New Roman" w:hAnsi="Times New Roman" w:cs="Times New Roman"/>
          <w:sz w:val="18"/>
          <w:szCs w:val="18"/>
          <w:lang w:val="en-GB"/>
        </w:rPr>
        <w:t>: Direct Non-Healthcare Costs.</w:t>
      </w:r>
      <w:r w:rsidR="005F7EE3">
        <w:rPr>
          <w:rFonts w:ascii="Times New Roman" w:hAnsi="Times New Roman" w:cs="Times New Roman"/>
          <w:sz w:val="18"/>
          <w:szCs w:val="18"/>
          <w:lang w:val="en-GB"/>
        </w:rPr>
        <w:t xml:space="preserve"> </w:t>
      </w:r>
      <w:r w:rsidR="005F7EE3" w:rsidRPr="00BC7579">
        <w:rPr>
          <w:rFonts w:ascii="Times New Roman" w:hAnsi="Times New Roman" w:cs="Times New Roman"/>
          <w:b/>
          <w:bCs/>
          <w:sz w:val="18"/>
          <w:szCs w:val="18"/>
          <w:lang w:val="en-GB"/>
        </w:rPr>
        <w:t>Epidem.</w:t>
      </w:r>
      <w:r w:rsidR="005F7EE3" w:rsidRPr="00BC7579">
        <w:rPr>
          <w:rFonts w:ascii="Times New Roman" w:hAnsi="Times New Roman" w:cs="Times New Roman"/>
          <w:sz w:val="18"/>
          <w:szCs w:val="18"/>
          <w:lang w:val="en-GB"/>
        </w:rPr>
        <w:t>: Epidemiology.</w:t>
      </w:r>
      <w:r w:rsidR="005F7EE3">
        <w:rPr>
          <w:rFonts w:ascii="Times New Roman" w:hAnsi="Times New Roman" w:cs="Times New Roman"/>
          <w:sz w:val="18"/>
          <w:szCs w:val="18"/>
          <w:lang w:val="en-GB"/>
        </w:rPr>
        <w:t xml:space="preserve"> </w:t>
      </w:r>
      <w:r w:rsidR="005F7EE3" w:rsidRPr="00BC7579">
        <w:rPr>
          <w:rFonts w:ascii="Times New Roman" w:hAnsi="Times New Roman" w:cs="Times New Roman"/>
          <w:b/>
          <w:bCs/>
          <w:sz w:val="18"/>
          <w:szCs w:val="18"/>
          <w:lang w:val="en-GB"/>
        </w:rPr>
        <w:t>ER</w:t>
      </w:r>
      <w:r w:rsidR="005F7EE3" w:rsidRPr="00BC7579">
        <w:rPr>
          <w:rFonts w:ascii="Times New Roman" w:hAnsi="Times New Roman" w:cs="Times New Roman"/>
          <w:sz w:val="18"/>
          <w:szCs w:val="18"/>
          <w:lang w:val="en-GB"/>
        </w:rPr>
        <w:t xml:space="preserve">: Early Retirement. </w:t>
      </w:r>
      <w:r w:rsidR="005F7EE3" w:rsidRPr="00BC7579">
        <w:rPr>
          <w:rFonts w:ascii="Times New Roman" w:hAnsi="Times New Roman" w:cs="Times New Roman"/>
          <w:b/>
          <w:bCs/>
          <w:sz w:val="18"/>
          <w:szCs w:val="18"/>
          <w:lang w:val="en-GB"/>
        </w:rPr>
        <w:t>ES</w:t>
      </w:r>
      <w:r w:rsidR="005F7EE3" w:rsidRPr="00BC7579">
        <w:rPr>
          <w:rFonts w:ascii="Times New Roman" w:hAnsi="Times New Roman" w:cs="Times New Roman"/>
          <w:sz w:val="18"/>
          <w:szCs w:val="18"/>
          <w:lang w:val="en-GB"/>
        </w:rPr>
        <w:t>: Emergency Services.</w:t>
      </w:r>
      <w:r>
        <w:rPr>
          <w:rFonts w:ascii="Times New Roman" w:hAnsi="Times New Roman" w:cs="Times New Roman"/>
          <w:sz w:val="18"/>
          <w:szCs w:val="18"/>
          <w:lang w:val="en-GB"/>
        </w:rPr>
        <w:t xml:space="preserve"> </w:t>
      </w:r>
      <w:r w:rsidR="00680BF5" w:rsidRPr="00BC7579">
        <w:rPr>
          <w:rFonts w:ascii="Times New Roman" w:hAnsi="Times New Roman" w:cs="Times New Roman"/>
          <w:b/>
          <w:bCs/>
          <w:sz w:val="18"/>
          <w:szCs w:val="18"/>
          <w:lang w:val="en-GB"/>
        </w:rPr>
        <w:t>FC</w:t>
      </w:r>
      <w:r w:rsidR="00680BF5" w:rsidRPr="00BC7579">
        <w:rPr>
          <w:rFonts w:ascii="Times New Roman" w:hAnsi="Times New Roman" w:cs="Times New Roman"/>
          <w:sz w:val="18"/>
          <w:szCs w:val="18"/>
          <w:lang w:val="en-GB"/>
        </w:rPr>
        <w:t>: Functional Class.</w:t>
      </w:r>
      <w:r w:rsidR="00680BF5">
        <w:rPr>
          <w:rFonts w:ascii="Times New Roman" w:hAnsi="Times New Roman" w:cs="Times New Roman"/>
          <w:sz w:val="18"/>
          <w:szCs w:val="18"/>
          <w:lang w:val="en-GB"/>
        </w:rPr>
        <w:t xml:space="preserve"> </w:t>
      </w:r>
      <w:r w:rsidR="00680BF5" w:rsidRPr="00BC7579">
        <w:rPr>
          <w:rFonts w:ascii="Times New Roman" w:hAnsi="Times New Roman" w:cs="Times New Roman"/>
          <w:b/>
          <w:bCs/>
          <w:sz w:val="18"/>
          <w:szCs w:val="18"/>
          <w:lang w:val="en-GB"/>
        </w:rPr>
        <w:t>h</w:t>
      </w:r>
      <w:r w:rsidR="00680BF5" w:rsidRPr="00BC7579">
        <w:rPr>
          <w:rFonts w:ascii="Times New Roman" w:hAnsi="Times New Roman" w:cs="Times New Roman"/>
          <w:sz w:val="18"/>
          <w:szCs w:val="18"/>
          <w:lang w:val="en-GB"/>
        </w:rPr>
        <w:t>: hours</w:t>
      </w:r>
      <w:r>
        <w:rPr>
          <w:rFonts w:ascii="Times New Roman" w:hAnsi="Times New Roman" w:cs="Times New Roman"/>
          <w:sz w:val="18"/>
          <w:szCs w:val="18"/>
          <w:lang w:val="en-GB"/>
        </w:rPr>
        <w:t>.</w:t>
      </w:r>
      <w:r w:rsidR="005F7EE3">
        <w:rPr>
          <w:rFonts w:ascii="Times New Roman" w:hAnsi="Times New Roman" w:cs="Times New Roman"/>
          <w:sz w:val="18"/>
          <w:szCs w:val="18"/>
          <w:lang w:val="en-GB"/>
        </w:rPr>
        <w:t xml:space="preserve"> </w:t>
      </w:r>
      <w:r w:rsidR="005F7EE3" w:rsidRPr="00BC7579">
        <w:rPr>
          <w:rFonts w:ascii="Times New Roman" w:hAnsi="Times New Roman" w:cs="Times New Roman"/>
          <w:b/>
          <w:bCs/>
          <w:sz w:val="18"/>
          <w:szCs w:val="18"/>
          <w:lang w:val="en-GB"/>
        </w:rPr>
        <w:t>Hosp</w:t>
      </w:r>
      <w:r w:rsidR="005F7EE3" w:rsidRPr="00BC7579">
        <w:rPr>
          <w:rFonts w:ascii="Times New Roman" w:hAnsi="Times New Roman" w:cs="Times New Roman"/>
          <w:sz w:val="18"/>
          <w:szCs w:val="18"/>
          <w:lang w:val="en-GB"/>
        </w:rPr>
        <w:t>: Hospitalisations.</w:t>
      </w:r>
      <w:r w:rsidR="00680BF5" w:rsidRPr="00BC7579">
        <w:rPr>
          <w:rFonts w:ascii="Times New Roman" w:hAnsi="Times New Roman" w:cs="Times New Roman"/>
          <w:sz w:val="18"/>
          <w:szCs w:val="18"/>
          <w:lang w:val="en-GB"/>
        </w:rPr>
        <w:t xml:space="preserve"> </w:t>
      </w:r>
      <w:r w:rsidR="00BC7579" w:rsidRPr="00BC7579">
        <w:rPr>
          <w:rFonts w:ascii="Times New Roman" w:hAnsi="Times New Roman" w:cs="Times New Roman"/>
          <w:b/>
          <w:bCs/>
          <w:sz w:val="18"/>
          <w:szCs w:val="18"/>
          <w:lang w:val="en-GB"/>
        </w:rPr>
        <w:t>IC</w:t>
      </w:r>
      <w:r w:rsidR="00BC7579" w:rsidRPr="00BC7579">
        <w:rPr>
          <w:rFonts w:ascii="Times New Roman" w:hAnsi="Times New Roman" w:cs="Times New Roman"/>
          <w:sz w:val="18"/>
          <w:szCs w:val="18"/>
          <w:lang w:val="en-GB"/>
        </w:rPr>
        <w:t>: Indirect Costs.</w:t>
      </w:r>
      <w:r w:rsidR="00680BF5">
        <w:rPr>
          <w:rFonts w:ascii="Times New Roman" w:hAnsi="Times New Roman" w:cs="Times New Roman"/>
          <w:sz w:val="18"/>
          <w:szCs w:val="18"/>
          <w:lang w:val="en-GB"/>
        </w:rPr>
        <w:t xml:space="preserve"> </w:t>
      </w:r>
      <w:r w:rsidR="00680BF5" w:rsidRPr="00BC7579">
        <w:rPr>
          <w:rFonts w:ascii="Times New Roman" w:hAnsi="Times New Roman" w:cs="Times New Roman"/>
          <w:b/>
          <w:bCs/>
          <w:sz w:val="18"/>
          <w:szCs w:val="18"/>
          <w:lang w:val="en-GB"/>
        </w:rPr>
        <w:t>INE</w:t>
      </w:r>
      <w:r w:rsidR="00680BF5" w:rsidRPr="00BC7579">
        <w:rPr>
          <w:rFonts w:ascii="Times New Roman" w:hAnsi="Times New Roman" w:cs="Times New Roman"/>
          <w:sz w:val="18"/>
          <w:szCs w:val="18"/>
          <w:lang w:val="en-GB"/>
        </w:rPr>
        <w:t>: National Statistics Institute.</w:t>
      </w:r>
      <w:r>
        <w:rPr>
          <w:rFonts w:ascii="Times New Roman" w:hAnsi="Times New Roman" w:cs="Times New Roman"/>
          <w:sz w:val="18"/>
          <w:szCs w:val="18"/>
          <w:lang w:val="en-GB"/>
        </w:rPr>
        <w:t xml:space="preserve"> </w:t>
      </w:r>
      <w:r w:rsidRPr="00BC7579">
        <w:rPr>
          <w:rFonts w:ascii="Times New Roman" w:hAnsi="Times New Roman" w:cs="Times New Roman"/>
          <w:b/>
          <w:bCs/>
          <w:sz w:val="18"/>
          <w:szCs w:val="18"/>
          <w:lang w:val="en-GB"/>
        </w:rPr>
        <w:t>LC</w:t>
      </w:r>
      <w:r w:rsidRPr="00BC7579">
        <w:rPr>
          <w:rFonts w:ascii="Times New Roman" w:hAnsi="Times New Roman" w:cs="Times New Roman"/>
          <w:sz w:val="18"/>
          <w:szCs w:val="18"/>
          <w:lang w:val="en-GB"/>
        </w:rPr>
        <w:t>: Lower Case.</w:t>
      </w:r>
      <w:r w:rsidR="00680BF5">
        <w:rPr>
          <w:rFonts w:ascii="Times New Roman" w:hAnsi="Times New Roman" w:cs="Times New Roman"/>
          <w:sz w:val="18"/>
          <w:szCs w:val="18"/>
          <w:lang w:val="en-GB"/>
        </w:rPr>
        <w:t xml:space="preserve"> </w:t>
      </w:r>
      <w:r w:rsidR="00680BF5" w:rsidRPr="00BC7579">
        <w:rPr>
          <w:rFonts w:ascii="Times New Roman" w:hAnsi="Times New Roman" w:cs="Times New Roman"/>
          <w:b/>
          <w:bCs/>
          <w:sz w:val="18"/>
          <w:szCs w:val="18"/>
          <w:lang w:val="en-GB"/>
        </w:rPr>
        <w:t>m</w:t>
      </w:r>
      <w:r w:rsidR="00680BF5" w:rsidRPr="00BC7579">
        <w:rPr>
          <w:rFonts w:ascii="Times New Roman" w:hAnsi="Times New Roman" w:cs="Times New Roman"/>
          <w:sz w:val="18"/>
          <w:szCs w:val="18"/>
          <w:lang w:val="en-GB"/>
        </w:rPr>
        <w:t xml:space="preserve">: minutes. </w:t>
      </w:r>
      <w:r w:rsidR="00BC7579" w:rsidRPr="00BC7579">
        <w:rPr>
          <w:rFonts w:ascii="Times New Roman" w:hAnsi="Times New Roman" w:cs="Times New Roman"/>
          <w:b/>
          <w:bCs/>
          <w:sz w:val="18"/>
          <w:szCs w:val="18"/>
          <w:lang w:val="en-GB"/>
        </w:rPr>
        <w:t>NIMV</w:t>
      </w:r>
      <w:r w:rsidR="00BC7579" w:rsidRPr="00BC7579">
        <w:rPr>
          <w:rFonts w:ascii="Times New Roman" w:hAnsi="Times New Roman" w:cs="Times New Roman"/>
          <w:sz w:val="18"/>
          <w:szCs w:val="18"/>
          <w:lang w:val="en-GB"/>
        </w:rPr>
        <w:t>: Non-Invasive Mechanical ventilation.</w:t>
      </w:r>
      <w:r w:rsidR="005F7EE3">
        <w:rPr>
          <w:rFonts w:ascii="Times New Roman" w:hAnsi="Times New Roman" w:cs="Times New Roman"/>
          <w:sz w:val="18"/>
          <w:szCs w:val="18"/>
          <w:lang w:val="en-GB"/>
        </w:rPr>
        <w:t xml:space="preserve"> </w:t>
      </w:r>
      <w:r w:rsidR="005F7EE3" w:rsidRPr="00BC7579">
        <w:rPr>
          <w:rFonts w:ascii="Times New Roman" w:hAnsi="Times New Roman" w:cs="Times New Roman"/>
          <w:b/>
          <w:bCs/>
          <w:sz w:val="18"/>
          <w:szCs w:val="18"/>
          <w:lang w:val="en-GB"/>
        </w:rPr>
        <w:t>PL</w:t>
      </w:r>
      <w:r w:rsidR="005F7EE3" w:rsidRPr="00BC7579">
        <w:rPr>
          <w:rFonts w:ascii="Times New Roman" w:hAnsi="Times New Roman" w:cs="Times New Roman"/>
          <w:sz w:val="18"/>
          <w:szCs w:val="18"/>
          <w:lang w:val="en-GB"/>
        </w:rPr>
        <w:t xml:space="preserve">: Permanent Leave. </w:t>
      </w:r>
      <w:r w:rsidR="00BC7579" w:rsidRPr="00BC7579">
        <w:rPr>
          <w:rFonts w:ascii="Times New Roman" w:hAnsi="Times New Roman" w:cs="Times New Roman"/>
          <w:b/>
          <w:bCs/>
          <w:sz w:val="18"/>
          <w:szCs w:val="18"/>
          <w:lang w:val="en-GB"/>
        </w:rPr>
        <w:t>RDL</w:t>
      </w:r>
      <w:r w:rsidR="00BC7579" w:rsidRPr="00BC7579">
        <w:rPr>
          <w:rFonts w:ascii="Times New Roman" w:hAnsi="Times New Roman" w:cs="Times New Roman"/>
          <w:sz w:val="18"/>
          <w:szCs w:val="18"/>
          <w:lang w:val="en-GB"/>
        </w:rPr>
        <w:t>: Royal Decree.</w:t>
      </w:r>
      <w:r w:rsidR="005F7EE3">
        <w:rPr>
          <w:rFonts w:ascii="Times New Roman" w:hAnsi="Times New Roman" w:cs="Times New Roman"/>
          <w:sz w:val="18"/>
          <w:szCs w:val="18"/>
          <w:lang w:val="en-GB"/>
        </w:rPr>
        <w:t xml:space="preserve"> </w:t>
      </w:r>
      <w:r w:rsidR="005F7EE3" w:rsidRPr="00BC7579">
        <w:rPr>
          <w:rFonts w:ascii="Times New Roman" w:hAnsi="Times New Roman" w:cs="Times New Roman"/>
          <w:b/>
          <w:bCs/>
          <w:sz w:val="18"/>
          <w:szCs w:val="18"/>
          <w:lang w:val="en-GB"/>
        </w:rPr>
        <w:t>SA</w:t>
      </w:r>
      <w:r w:rsidR="005F7EE3" w:rsidRPr="00BC7579">
        <w:rPr>
          <w:rFonts w:ascii="Times New Roman" w:hAnsi="Times New Roman" w:cs="Times New Roman"/>
          <w:sz w:val="18"/>
          <w:szCs w:val="18"/>
          <w:lang w:val="en-GB"/>
        </w:rPr>
        <w:t>: Sensitivity analysis</w:t>
      </w:r>
      <w:r w:rsidR="005F7EE3">
        <w:rPr>
          <w:rFonts w:ascii="Times New Roman" w:hAnsi="Times New Roman" w:cs="Times New Roman"/>
          <w:sz w:val="18"/>
          <w:szCs w:val="18"/>
          <w:lang w:val="en-GB"/>
        </w:rPr>
        <w:t xml:space="preserve"> </w:t>
      </w:r>
      <w:r w:rsidR="005F7EE3" w:rsidRPr="00BC7579">
        <w:rPr>
          <w:rFonts w:ascii="Times New Roman" w:hAnsi="Times New Roman" w:cs="Times New Roman"/>
          <w:b/>
          <w:bCs/>
          <w:sz w:val="18"/>
          <w:szCs w:val="18"/>
          <w:lang w:val="en-GB"/>
        </w:rPr>
        <w:t>TL</w:t>
      </w:r>
      <w:r w:rsidR="005F7EE3" w:rsidRPr="00BC7579">
        <w:rPr>
          <w:rFonts w:ascii="Times New Roman" w:hAnsi="Times New Roman" w:cs="Times New Roman"/>
          <w:sz w:val="18"/>
          <w:szCs w:val="18"/>
          <w:lang w:val="en-GB"/>
        </w:rPr>
        <w:t>: Temporary Leave.</w:t>
      </w:r>
      <w:r w:rsidR="00BC7579" w:rsidRPr="00BC7579">
        <w:rPr>
          <w:rFonts w:ascii="Times New Roman" w:hAnsi="Times New Roman" w:cs="Times New Roman"/>
          <w:sz w:val="18"/>
          <w:szCs w:val="18"/>
          <w:lang w:val="en-GB"/>
        </w:rPr>
        <w:t xml:space="preserve"> </w:t>
      </w:r>
      <w:r w:rsidR="00BC7579" w:rsidRPr="00BC7579">
        <w:rPr>
          <w:rFonts w:ascii="Times New Roman" w:hAnsi="Times New Roman" w:cs="Times New Roman"/>
          <w:b/>
          <w:bCs/>
          <w:sz w:val="18"/>
          <w:szCs w:val="18"/>
          <w:lang w:val="en-GB"/>
        </w:rPr>
        <w:t>UC</w:t>
      </w:r>
      <w:r w:rsidR="00BC7579" w:rsidRPr="00BC7579">
        <w:rPr>
          <w:rFonts w:ascii="Times New Roman" w:hAnsi="Times New Roman" w:cs="Times New Roman"/>
          <w:sz w:val="18"/>
          <w:szCs w:val="18"/>
          <w:lang w:val="en-GB"/>
        </w:rPr>
        <w:t xml:space="preserve">: Upper Case.  </w:t>
      </w:r>
      <w:r w:rsidR="00BC7579" w:rsidRPr="00BC7579">
        <w:rPr>
          <w:rFonts w:ascii="Times New Roman" w:hAnsi="Times New Roman" w:cs="Times New Roman"/>
          <w:b/>
          <w:bCs/>
          <w:sz w:val="18"/>
          <w:szCs w:val="18"/>
          <w:lang w:val="en-GB"/>
        </w:rPr>
        <w:t>UV</w:t>
      </w:r>
      <w:r w:rsidR="00BC7579" w:rsidRPr="00BC7579">
        <w:rPr>
          <w:rFonts w:ascii="Times New Roman" w:hAnsi="Times New Roman" w:cs="Times New Roman"/>
          <w:sz w:val="18"/>
          <w:szCs w:val="18"/>
          <w:lang w:val="en-GB"/>
        </w:rPr>
        <w:t xml:space="preserve">: Unscheduled visits to referral, </w:t>
      </w:r>
      <w:r w:rsidR="00BC7579" w:rsidRPr="00BC7579">
        <w:rPr>
          <w:rFonts w:ascii="Times New Roman" w:hAnsi="Times New Roman" w:cs="Times New Roman"/>
          <w:b/>
          <w:bCs/>
          <w:sz w:val="18"/>
          <w:szCs w:val="18"/>
          <w:lang w:val="en-GB"/>
        </w:rPr>
        <w:t>VAT</w:t>
      </w:r>
      <w:r w:rsidR="00BC7579" w:rsidRPr="00BC7579">
        <w:rPr>
          <w:rFonts w:ascii="Times New Roman" w:hAnsi="Times New Roman" w:cs="Times New Roman"/>
          <w:sz w:val="18"/>
          <w:szCs w:val="18"/>
          <w:lang w:val="en-GB"/>
        </w:rPr>
        <w:t xml:space="preserve">: Value Added Tax. </w:t>
      </w:r>
    </w:p>
    <w:p w14:paraId="15B96EA6" w14:textId="37956550" w:rsidR="000402AE" w:rsidRPr="0021483B" w:rsidRDefault="000402AE" w:rsidP="000402AE">
      <w:pPr>
        <w:shd w:val="clear" w:color="auto" w:fill="A6A6A6" w:themeFill="background1" w:themeFillShade="A6"/>
        <w:spacing w:line="240" w:lineRule="auto"/>
        <w:rPr>
          <w:rStyle w:val="TEXTOGENERALCar"/>
          <w:rFonts w:ascii="Times New Roman" w:hAnsi="Times New Roman" w:cs="Times New Roman"/>
          <w:b/>
          <w:bCs/>
          <w:color w:val="FFFFFF" w:themeColor="background1"/>
          <w:sz w:val="32"/>
          <w:szCs w:val="32"/>
          <w:lang w:val="en-GB"/>
        </w:rPr>
      </w:pPr>
      <w:r>
        <w:rPr>
          <w:rStyle w:val="TEXTOGENERALCar"/>
          <w:rFonts w:ascii="Times New Roman" w:hAnsi="Times New Roman" w:cs="Times New Roman"/>
          <w:b/>
          <w:bCs/>
          <w:color w:val="FFFFFF" w:themeColor="background1"/>
          <w:sz w:val="32"/>
          <w:szCs w:val="32"/>
          <w:lang w:val="en-GB"/>
        </w:rPr>
        <w:lastRenderedPageBreak/>
        <w:t xml:space="preserve">Results </w:t>
      </w:r>
    </w:p>
    <w:p w14:paraId="20EBF3BF" w14:textId="3ABB85AE" w:rsidR="00CD5C0F" w:rsidRDefault="001344E8" w:rsidP="000402AE">
      <w:pPr>
        <w:spacing w:before="120" w:line="276" w:lineRule="auto"/>
        <w:rPr>
          <w:rFonts w:ascii="Times New Roman" w:hAnsi="Times New Roman" w:cs="Times New Roman"/>
          <w:sz w:val="24"/>
          <w:szCs w:val="24"/>
          <w:lang w:val="en-GB"/>
        </w:rPr>
      </w:pPr>
      <w:r w:rsidRPr="00CD5C0F">
        <w:rPr>
          <w:rFonts w:ascii="Times New Roman" w:hAnsi="Times New Roman" w:cs="Times New Roman"/>
          <w:b/>
          <w:bCs/>
          <w:sz w:val="24"/>
          <w:szCs w:val="24"/>
          <w:lang w:val="en-GB"/>
        </w:rPr>
        <w:t xml:space="preserve">Table </w:t>
      </w:r>
      <w:r w:rsidR="00F337E9" w:rsidRPr="00CD5C0F">
        <w:rPr>
          <w:rFonts w:ascii="Times New Roman" w:hAnsi="Times New Roman" w:cs="Times New Roman"/>
          <w:b/>
          <w:bCs/>
          <w:sz w:val="24"/>
          <w:szCs w:val="24"/>
          <w:lang w:val="en-GB"/>
        </w:rPr>
        <w:t>(S2).3</w:t>
      </w:r>
      <w:r w:rsidR="00F337E9">
        <w:rPr>
          <w:rFonts w:ascii="Times New Roman" w:hAnsi="Times New Roman" w:cs="Times New Roman"/>
          <w:sz w:val="24"/>
          <w:szCs w:val="24"/>
          <w:lang w:val="en-GB"/>
        </w:rPr>
        <w:t xml:space="preserve"> and </w:t>
      </w:r>
      <w:r w:rsidR="00F337E9" w:rsidRPr="00CD5C0F">
        <w:rPr>
          <w:rFonts w:ascii="Times New Roman" w:hAnsi="Times New Roman" w:cs="Times New Roman"/>
          <w:b/>
          <w:bCs/>
          <w:sz w:val="24"/>
          <w:szCs w:val="24"/>
          <w:lang w:val="en-GB"/>
        </w:rPr>
        <w:t>Figure (S2).1</w:t>
      </w:r>
      <w:r w:rsidR="00F337E9">
        <w:rPr>
          <w:rFonts w:ascii="Times New Roman" w:hAnsi="Times New Roman" w:cs="Times New Roman"/>
          <w:sz w:val="24"/>
          <w:szCs w:val="24"/>
          <w:lang w:val="en-GB"/>
        </w:rPr>
        <w:t xml:space="preserve"> show the sensitivity analysis results. </w:t>
      </w:r>
      <w:r w:rsidR="00817D07">
        <w:rPr>
          <w:rFonts w:ascii="Times New Roman" w:hAnsi="Times New Roman" w:cs="Times New Roman"/>
          <w:sz w:val="24"/>
          <w:szCs w:val="24"/>
          <w:lang w:val="en-GB"/>
        </w:rPr>
        <w:t>T</w:t>
      </w:r>
      <w:r w:rsidR="00817D07" w:rsidRPr="00817D07">
        <w:rPr>
          <w:rFonts w:ascii="Times New Roman" w:hAnsi="Times New Roman" w:cs="Times New Roman"/>
          <w:sz w:val="24"/>
          <w:szCs w:val="24"/>
          <w:lang w:val="en-GB"/>
        </w:rPr>
        <w:t>he most sensitive parameter was prevalence, with an impact of 105% (+ €111 million versus base case) over total costs estimated. Changes in unit costs could derive in -9% (€9 million) or +44% (€46 million). A drug discount could reduce total costs up to 22% (€23 million). The other parameters varied at a median of between -0.7% and +0.4% (ranging from -3% to +3%)</w:t>
      </w:r>
      <w:r w:rsidR="00CD5C0F">
        <w:rPr>
          <w:rFonts w:ascii="Times New Roman" w:hAnsi="Times New Roman" w:cs="Times New Roman"/>
          <w:sz w:val="24"/>
          <w:szCs w:val="24"/>
          <w:lang w:val="en-GB"/>
        </w:rPr>
        <w:t>.</w:t>
      </w:r>
    </w:p>
    <w:p w14:paraId="2EF62D22" w14:textId="47042998" w:rsidR="000E4574" w:rsidRPr="0021483B" w:rsidRDefault="000E4574" w:rsidP="00CD5C0F">
      <w:pPr>
        <w:pStyle w:val="TITULOTABLASYFIGURAS"/>
        <w:spacing w:before="360"/>
        <w:rPr>
          <w:rFonts w:ascii="Times New Roman" w:hAnsi="Times New Roman" w:cs="Times New Roman"/>
          <w:b/>
          <w:bCs/>
          <w:smallCaps w:val="0"/>
          <w:color w:val="auto"/>
          <w:sz w:val="22"/>
          <w:szCs w:val="56"/>
          <w:lang w:val="en-GB"/>
        </w:rPr>
      </w:pPr>
      <w:r w:rsidRPr="0021483B">
        <w:rPr>
          <w:rFonts w:ascii="Times New Roman" w:hAnsi="Times New Roman" w:cs="Times New Roman"/>
          <w:b/>
          <w:bCs/>
          <w:smallCaps w:val="0"/>
          <w:color w:val="auto"/>
          <w:sz w:val="22"/>
          <w:szCs w:val="56"/>
          <w:lang w:val="en-GB"/>
        </w:rPr>
        <w:t>Table (S2).</w:t>
      </w:r>
      <w:r w:rsidRPr="0021483B">
        <w:rPr>
          <w:rFonts w:ascii="Times New Roman" w:hAnsi="Times New Roman" w:cs="Times New Roman"/>
          <w:b/>
          <w:bCs/>
          <w:smallCaps w:val="0"/>
          <w:color w:val="auto"/>
          <w:sz w:val="22"/>
          <w:szCs w:val="56"/>
          <w:lang w:val="en-GB"/>
        </w:rPr>
        <w:fldChar w:fldCharType="begin"/>
      </w:r>
      <w:r w:rsidRPr="0021483B">
        <w:rPr>
          <w:rFonts w:ascii="Times New Roman" w:hAnsi="Times New Roman" w:cs="Times New Roman"/>
          <w:b/>
          <w:bCs/>
          <w:smallCaps w:val="0"/>
          <w:color w:val="auto"/>
          <w:sz w:val="22"/>
          <w:szCs w:val="56"/>
          <w:lang w:val="en-GB"/>
        </w:rPr>
        <w:instrText xml:space="preserve"> SEQ Tabla \* ARABIC </w:instrText>
      </w:r>
      <w:r w:rsidRPr="0021483B">
        <w:rPr>
          <w:rFonts w:ascii="Times New Roman" w:hAnsi="Times New Roman" w:cs="Times New Roman"/>
          <w:b/>
          <w:bCs/>
          <w:smallCaps w:val="0"/>
          <w:color w:val="auto"/>
          <w:sz w:val="22"/>
          <w:szCs w:val="56"/>
          <w:lang w:val="en-GB"/>
        </w:rPr>
        <w:fldChar w:fldCharType="separate"/>
      </w:r>
      <w:r>
        <w:rPr>
          <w:rFonts w:ascii="Times New Roman" w:hAnsi="Times New Roman" w:cs="Times New Roman"/>
          <w:b/>
          <w:bCs/>
          <w:smallCaps w:val="0"/>
          <w:noProof/>
          <w:color w:val="auto"/>
          <w:sz w:val="22"/>
          <w:szCs w:val="56"/>
          <w:lang w:val="en-GB"/>
        </w:rPr>
        <w:t>3</w:t>
      </w:r>
      <w:r w:rsidRPr="0021483B">
        <w:rPr>
          <w:rFonts w:ascii="Times New Roman" w:hAnsi="Times New Roman" w:cs="Times New Roman"/>
          <w:b/>
          <w:bCs/>
          <w:smallCaps w:val="0"/>
          <w:color w:val="auto"/>
          <w:sz w:val="22"/>
          <w:szCs w:val="56"/>
          <w:lang w:val="en-GB"/>
        </w:rPr>
        <w:fldChar w:fldCharType="end"/>
      </w:r>
      <w:r w:rsidRPr="0021483B">
        <w:rPr>
          <w:rFonts w:ascii="Times New Roman" w:hAnsi="Times New Roman" w:cs="Times New Roman"/>
          <w:b/>
          <w:bCs/>
          <w:smallCaps w:val="0"/>
          <w:color w:val="auto"/>
          <w:sz w:val="22"/>
          <w:szCs w:val="56"/>
          <w:lang w:val="en-GB"/>
        </w:rPr>
        <w:t xml:space="preserve">: </w:t>
      </w:r>
      <w:r>
        <w:rPr>
          <w:rFonts w:ascii="Times New Roman" w:hAnsi="Times New Roman" w:cs="Times New Roman"/>
          <w:b/>
          <w:bCs/>
          <w:smallCaps w:val="0"/>
          <w:color w:val="auto"/>
          <w:sz w:val="22"/>
          <w:szCs w:val="56"/>
          <w:lang w:val="en-GB"/>
        </w:rPr>
        <w:t xml:space="preserve">Results of the sensitivity analysis, </w:t>
      </w:r>
      <w:r w:rsidR="005C0917">
        <w:rPr>
          <w:rFonts w:ascii="Times New Roman" w:hAnsi="Times New Roman" w:cs="Times New Roman"/>
          <w:b/>
          <w:bCs/>
          <w:smallCaps w:val="0"/>
          <w:color w:val="auto"/>
          <w:sz w:val="22"/>
          <w:szCs w:val="56"/>
          <w:lang w:val="en-GB"/>
        </w:rPr>
        <w:t xml:space="preserve">variations in € and </w:t>
      </w:r>
      <w:r>
        <w:rPr>
          <w:rFonts w:ascii="Times New Roman" w:hAnsi="Times New Roman" w:cs="Times New Roman"/>
          <w:b/>
          <w:bCs/>
          <w:smallCaps w:val="0"/>
          <w:color w:val="auto"/>
          <w:sz w:val="22"/>
          <w:szCs w:val="56"/>
          <w:lang w:val="en-GB"/>
        </w:rPr>
        <w:t>%</w:t>
      </w:r>
      <w:r w:rsidR="005C0917">
        <w:rPr>
          <w:rFonts w:ascii="Times New Roman" w:hAnsi="Times New Roman" w:cs="Times New Roman"/>
          <w:b/>
          <w:bCs/>
          <w:smallCaps w:val="0"/>
          <w:color w:val="auto"/>
          <w:sz w:val="22"/>
          <w:szCs w:val="56"/>
          <w:lang w:val="en-GB"/>
        </w:rPr>
        <w:t xml:space="preserve"> vs. base case</w:t>
      </w:r>
      <w:r w:rsidR="0015726E">
        <w:rPr>
          <w:rFonts w:ascii="Times New Roman" w:hAnsi="Times New Roman" w:cs="Times New Roman"/>
          <w:b/>
          <w:bCs/>
          <w:smallCaps w:val="0"/>
          <w:color w:val="auto"/>
          <w:sz w:val="22"/>
          <w:szCs w:val="56"/>
          <w:lang w:val="en-GB"/>
        </w:rPr>
        <w:t>, lower and upper case, lower</w:t>
      </w:r>
      <w:r w:rsidR="005C0917">
        <w:rPr>
          <w:rFonts w:ascii="Times New Roman" w:hAnsi="Times New Roman" w:cs="Times New Roman"/>
          <w:b/>
          <w:bCs/>
          <w:smallCaps w:val="0"/>
          <w:color w:val="auto"/>
          <w:sz w:val="22"/>
          <w:szCs w:val="56"/>
          <w:lang w:val="en-GB"/>
        </w:rPr>
        <w:t>-end of prevalence range</w:t>
      </w:r>
      <w:r w:rsidR="0015726E">
        <w:rPr>
          <w:rFonts w:ascii="Times New Roman" w:hAnsi="Times New Roman" w:cs="Times New Roman"/>
          <w:b/>
          <w:bCs/>
          <w:smallCaps w:val="0"/>
          <w:color w:val="auto"/>
          <w:sz w:val="22"/>
          <w:szCs w:val="56"/>
          <w:lang w:val="en-GB"/>
        </w:rPr>
        <w:t xml:space="preserve"> and higher</w:t>
      </w:r>
      <w:r w:rsidR="005C0917">
        <w:rPr>
          <w:rFonts w:ascii="Times New Roman" w:hAnsi="Times New Roman" w:cs="Times New Roman"/>
          <w:b/>
          <w:bCs/>
          <w:smallCaps w:val="0"/>
          <w:color w:val="auto"/>
          <w:sz w:val="22"/>
          <w:szCs w:val="56"/>
          <w:lang w:val="en-GB"/>
        </w:rPr>
        <w:t>-end of</w:t>
      </w:r>
      <w:r w:rsidR="0015726E">
        <w:rPr>
          <w:rFonts w:ascii="Times New Roman" w:hAnsi="Times New Roman" w:cs="Times New Roman"/>
          <w:b/>
          <w:bCs/>
          <w:smallCaps w:val="0"/>
          <w:color w:val="auto"/>
          <w:sz w:val="22"/>
          <w:szCs w:val="56"/>
          <w:lang w:val="en-GB"/>
        </w:rPr>
        <w:t xml:space="preserve"> </w:t>
      </w:r>
      <w:r w:rsidR="00CD5C0F">
        <w:rPr>
          <w:rFonts w:ascii="Times New Roman" w:hAnsi="Times New Roman" w:cs="Times New Roman"/>
          <w:b/>
          <w:bCs/>
          <w:smallCaps w:val="0"/>
          <w:color w:val="auto"/>
          <w:sz w:val="22"/>
          <w:szCs w:val="56"/>
          <w:lang w:val="en-GB"/>
        </w:rPr>
        <w:t>prevalence</w:t>
      </w:r>
      <w:r w:rsidR="005C0917">
        <w:rPr>
          <w:rFonts w:ascii="Times New Roman" w:hAnsi="Times New Roman" w:cs="Times New Roman"/>
          <w:b/>
          <w:bCs/>
          <w:smallCaps w:val="0"/>
          <w:color w:val="auto"/>
          <w:sz w:val="22"/>
          <w:szCs w:val="56"/>
          <w:lang w:val="en-GB"/>
        </w:rPr>
        <w:t xml:space="preserve"> range</w:t>
      </w:r>
      <w:r w:rsidRPr="0021483B">
        <w:rPr>
          <w:rFonts w:ascii="Times New Roman" w:hAnsi="Times New Roman" w:cs="Times New Roman"/>
          <w:b/>
          <w:bCs/>
          <w:smallCaps w:val="0"/>
          <w:color w:val="auto"/>
          <w:sz w:val="22"/>
          <w:szCs w:val="56"/>
          <w:lang w:val="en-GB"/>
        </w:rPr>
        <w:t xml:space="preserve"> </w:t>
      </w:r>
    </w:p>
    <w:tbl>
      <w:tblPr>
        <w:tblW w:w="10873" w:type="dxa"/>
        <w:tblLayout w:type="fixed"/>
        <w:tblCellMar>
          <w:left w:w="70" w:type="dxa"/>
          <w:right w:w="70" w:type="dxa"/>
        </w:tblCellMar>
        <w:tblLook w:val="04A0" w:firstRow="1" w:lastRow="0" w:firstColumn="1" w:lastColumn="0" w:noHBand="0" w:noVBand="1"/>
      </w:tblPr>
      <w:tblGrid>
        <w:gridCol w:w="410"/>
        <w:gridCol w:w="2000"/>
        <w:gridCol w:w="1057"/>
        <w:gridCol w:w="1058"/>
        <w:gridCol w:w="1058"/>
        <w:gridCol w:w="1058"/>
        <w:gridCol w:w="1058"/>
        <w:gridCol w:w="1058"/>
        <w:gridCol w:w="1058"/>
        <w:gridCol w:w="1058"/>
      </w:tblGrid>
      <w:tr w:rsidR="0011254F" w:rsidRPr="00A21644" w14:paraId="4D732F40" w14:textId="77777777" w:rsidTr="00C730F1">
        <w:trPr>
          <w:trHeight w:val="288"/>
        </w:trPr>
        <w:tc>
          <w:tcPr>
            <w:tcW w:w="410" w:type="dxa"/>
            <w:vMerge w:val="restart"/>
            <w:tcBorders>
              <w:top w:val="single" w:sz="8" w:space="0" w:color="auto"/>
              <w:left w:val="single" w:sz="8" w:space="0" w:color="auto"/>
              <w:right w:val="single" w:sz="8" w:space="0" w:color="auto"/>
            </w:tcBorders>
            <w:shd w:val="clear" w:color="000000" w:fill="000000"/>
            <w:noWrap/>
            <w:vAlign w:val="center"/>
            <w:hideMark/>
          </w:tcPr>
          <w:p w14:paraId="61A377CC" w14:textId="77777777" w:rsidR="0011254F" w:rsidRPr="007D0070" w:rsidRDefault="0011254F" w:rsidP="007D0070">
            <w:pPr>
              <w:spacing w:before="0" w:after="0" w:line="240" w:lineRule="auto"/>
              <w:jc w:val="center"/>
              <w:rPr>
                <w:rFonts w:ascii="Times New Roman" w:eastAsia="Times New Roman" w:hAnsi="Times New Roman" w:cs="Times New Roman"/>
                <w:b/>
                <w:bCs/>
                <w:color w:val="FFFFFF"/>
                <w:sz w:val="18"/>
                <w:szCs w:val="18"/>
                <w:lang w:val="en-GB" w:eastAsia="es-ES"/>
              </w:rPr>
            </w:pPr>
            <w:r w:rsidRPr="007D0070">
              <w:rPr>
                <w:rFonts w:ascii="Times New Roman" w:eastAsia="Times New Roman" w:hAnsi="Times New Roman" w:cs="Times New Roman"/>
                <w:b/>
                <w:bCs/>
                <w:color w:val="FFFFFF"/>
                <w:sz w:val="18"/>
                <w:szCs w:val="18"/>
                <w:lang w:val="en-GB" w:eastAsia="es-ES"/>
              </w:rPr>
              <w:t>#</w:t>
            </w:r>
          </w:p>
        </w:tc>
        <w:tc>
          <w:tcPr>
            <w:tcW w:w="2000" w:type="dxa"/>
            <w:vMerge w:val="restart"/>
            <w:tcBorders>
              <w:top w:val="single" w:sz="8" w:space="0" w:color="auto"/>
              <w:left w:val="nil"/>
              <w:right w:val="nil"/>
            </w:tcBorders>
            <w:shd w:val="clear" w:color="000000" w:fill="000000"/>
            <w:noWrap/>
            <w:vAlign w:val="center"/>
            <w:hideMark/>
          </w:tcPr>
          <w:p w14:paraId="5737A6B9" w14:textId="77777777" w:rsidR="0011254F" w:rsidRPr="007D0070" w:rsidRDefault="0011254F" w:rsidP="007D0070">
            <w:pPr>
              <w:spacing w:before="0" w:after="0" w:line="240" w:lineRule="auto"/>
              <w:jc w:val="center"/>
              <w:rPr>
                <w:rFonts w:ascii="Times New Roman" w:eastAsia="Times New Roman" w:hAnsi="Times New Roman" w:cs="Times New Roman"/>
                <w:b/>
                <w:bCs/>
                <w:color w:val="FFFFFF"/>
                <w:sz w:val="18"/>
                <w:szCs w:val="18"/>
                <w:lang w:val="en-GB" w:eastAsia="es-ES"/>
              </w:rPr>
            </w:pPr>
            <w:r w:rsidRPr="007D0070">
              <w:rPr>
                <w:rFonts w:ascii="Times New Roman" w:eastAsia="Times New Roman" w:hAnsi="Times New Roman" w:cs="Times New Roman"/>
                <w:b/>
                <w:bCs/>
                <w:color w:val="FFFFFF"/>
                <w:sz w:val="18"/>
                <w:szCs w:val="18"/>
                <w:lang w:val="en-GB" w:eastAsia="es-ES"/>
              </w:rPr>
              <w:t>Description</w:t>
            </w:r>
          </w:p>
        </w:tc>
        <w:tc>
          <w:tcPr>
            <w:tcW w:w="2115" w:type="dxa"/>
            <w:gridSpan w:val="2"/>
            <w:tcBorders>
              <w:top w:val="single" w:sz="8" w:space="0" w:color="auto"/>
              <w:left w:val="single" w:sz="8" w:space="0" w:color="auto"/>
              <w:right w:val="nil"/>
            </w:tcBorders>
            <w:shd w:val="clear" w:color="000000" w:fill="000000"/>
            <w:noWrap/>
            <w:vAlign w:val="center"/>
            <w:hideMark/>
          </w:tcPr>
          <w:p w14:paraId="0D03EA57" w14:textId="77777777" w:rsidR="0011254F" w:rsidRPr="007D0070" w:rsidRDefault="0011254F" w:rsidP="007D0070">
            <w:pPr>
              <w:spacing w:before="0" w:after="0" w:line="240" w:lineRule="auto"/>
              <w:jc w:val="center"/>
              <w:rPr>
                <w:rFonts w:ascii="Times New Roman" w:eastAsia="Times New Roman" w:hAnsi="Times New Roman" w:cs="Times New Roman"/>
                <w:b/>
                <w:bCs/>
                <w:color w:val="FFFFFF"/>
                <w:sz w:val="18"/>
                <w:szCs w:val="18"/>
                <w:lang w:val="en-GB" w:eastAsia="es-ES"/>
              </w:rPr>
            </w:pPr>
            <w:r w:rsidRPr="007D0070">
              <w:rPr>
                <w:rFonts w:ascii="Times New Roman" w:eastAsia="Times New Roman" w:hAnsi="Times New Roman" w:cs="Times New Roman"/>
                <w:b/>
                <w:bCs/>
                <w:color w:val="FFFFFF"/>
                <w:sz w:val="18"/>
                <w:szCs w:val="18"/>
                <w:lang w:val="en-GB" w:eastAsia="es-ES"/>
              </w:rPr>
              <w:t>Lower case (€)</w:t>
            </w:r>
          </w:p>
        </w:tc>
        <w:tc>
          <w:tcPr>
            <w:tcW w:w="2116" w:type="dxa"/>
            <w:gridSpan w:val="2"/>
            <w:tcBorders>
              <w:top w:val="single" w:sz="8" w:space="0" w:color="auto"/>
              <w:left w:val="nil"/>
              <w:right w:val="single" w:sz="8" w:space="0" w:color="000000"/>
            </w:tcBorders>
            <w:shd w:val="clear" w:color="000000" w:fill="000000"/>
            <w:noWrap/>
            <w:vAlign w:val="center"/>
            <w:hideMark/>
          </w:tcPr>
          <w:p w14:paraId="6A41CAFE" w14:textId="77777777" w:rsidR="0011254F" w:rsidRPr="007D0070" w:rsidRDefault="0011254F" w:rsidP="007D0070">
            <w:pPr>
              <w:spacing w:before="0" w:after="0" w:line="240" w:lineRule="auto"/>
              <w:jc w:val="center"/>
              <w:rPr>
                <w:rFonts w:ascii="Times New Roman" w:eastAsia="Times New Roman" w:hAnsi="Times New Roman" w:cs="Times New Roman"/>
                <w:b/>
                <w:bCs/>
                <w:color w:val="FFFFFF"/>
                <w:sz w:val="18"/>
                <w:szCs w:val="18"/>
                <w:lang w:val="en-GB" w:eastAsia="es-ES"/>
              </w:rPr>
            </w:pPr>
            <w:r w:rsidRPr="007D0070">
              <w:rPr>
                <w:rFonts w:ascii="Times New Roman" w:eastAsia="Times New Roman" w:hAnsi="Times New Roman" w:cs="Times New Roman"/>
                <w:b/>
                <w:bCs/>
                <w:color w:val="FFFFFF"/>
                <w:sz w:val="18"/>
                <w:szCs w:val="18"/>
                <w:lang w:val="en-GB" w:eastAsia="es-ES"/>
              </w:rPr>
              <w:t>Lower Case (%)</w:t>
            </w:r>
          </w:p>
        </w:tc>
        <w:tc>
          <w:tcPr>
            <w:tcW w:w="2116" w:type="dxa"/>
            <w:gridSpan w:val="2"/>
            <w:tcBorders>
              <w:top w:val="single" w:sz="8" w:space="0" w:color="auto"/>
              <w:left w:val="nil"/>
              <w:right w:val="nil"/>
            </w:tcBorders>
            <w:shd w:val="clear" w:color="000000" w:fill="000000"/>
            <w:noWrap/>
            <w:vAlign w:val="center"/>
            <w:hideMark/>
          </w:tcPr>
          <w:p w14:paraId="791565BC" w14:textId="77777777" w:rsidR="0011254F" w:rsidRPr="007D0070" w:rsidRDefault="0011254F" w:rsidP="007D0070">
            <w:pPr>
              <w:spacing w:before="0" w:after="0" w:line="240" w:lineRule="auto"/>
              <w:jc w:val="center"/>
              <w:rPr>
                <w:rFonts w:ascii="Times New Roman" w:eastAsia="Times New Roman" w:hAnsi="Times New Roman" w:cs="Times New Roman"/>
                <w:b/>
                <w:bCs/>
                <w:color w:val="FFFFFF"/>
                <w:sz w:val="18"/>
                <w:szCs w:val="18"/>
                <w:lang w:val="en-GB" w:eastAsia="es-ES"/>
              </w:rPr>
            </w:pPr>
            <w:r w:rsidRPr="007D0070">
              <w:rPr>
                <w:rFonts w:ascii="Times New Roman" w:eastAsia="Times New Roman" w:hAnsi="Times New Roman" w:cs="Times New Roman"/>
                <w:b/>
                <w:bCs/>
                <w:color w:val="FFFFFF"/>
                <w:sz w:val="18"/>
                <w:szCs w:val="18"/>
                <w:lang w:val="en-GB" w:eastAsia="es-ES"/>
              </w:rPr>
              <w:t>Upper Case (€)</w:t>
            </w:r>
          </w:p>
        </w:tc>
        <w:tc>
          <w:tcPr>
            <w:tcW w:w="2116" w:type="dxa"/>
            <w:gridSpan w:val="2"/>
            <w:tcBorders>
              <w:top w:val="single" w:sz="8" w:space="0" w:color="auto"/>
              <w:left w:val="nil"/>
              <w:right w:val="single" w:sz="8" w:space="0" w:color="000000"/>
            </w:tcBorders>
            <w:shd w:val="clear" w:color="000000" w:fill="000000"/>
            <w:noWrap/>
            <w:vAlign w:val="center"/>
            <w:hideMark/>
          </w:tcPr>
          <w:p w14:paraId="44ECD9FA" w14:textId="77777777" w:rsidR="0011254F" w:rsidRPr="007D0070" w:rsidRDefault="0011254F" w:rsidP="007D0070">
            <w:pPr>
              <w:spacing w:before="0" w:after="0" w:line="240" w:lineRule="auto"/>
              <w:jc w:val="center"/>
              <w:rPr>
                <w:rFonts w:ascii="Times New Roman" w:eastAsia="Times New Roman" w:hAnsi="Times New Roman" w:cs="Times New Roman"/>
                <w:b/>
                <w:bCs/>
                <w:color w:val="FFFFFF"/>
                <w:sz w:val="18"/>
                <w:szCs w:val="18"/>
                <w:lang w:val="en-GB" w:eastAsia="es-ES"/>
              </w:rPr>
            </w:pPr>
            <w:r w:rsidRPr="007D0070">
              <w:rPr>
                <w:rFonts w:ascii="Times New Roman" w:eastAsia="Times New Roman" w:hAnsi="Times New Roman" w:cs="Times New Roman"/>
                <w:b/>
                <w:bCs/>
                <w:color w:val="FFFFFF"/>
                <w:sz w:val="18"/>
                <w:szCs w:val="18"/>
                <w:lang w:val="en-GB" w:eastAsia="es-ES"/>
              </w:rPr>
              <w:t>Upper case (%)</w:t>
            </w:r>
          </w:p>
        </w:tc>
      </w:tr>
      <w:tr w:rsidR="00910732" w:rsidRPr="00A21644" w14:paraId="5EA3DA0C" w14:textId="77777777" w:rsidTr="00910732">
        <w:trPr>
          <w:trHeight w:val="312"/>
        </w:trPr>
        <w:tc>
          <w:tcPr>
            <w:tcW w:w="410" w:type="dxa"/>
            <w:vMerge/>
            <w:tcBorders>
              <w:left w:val="single" w:sz="8" w:space="0" w:color="auto"/>
              <w:bottom w:val="single" w:sz="4" w:space="0" w:color="auto"/>
              <w:right w:val="single" w:sz="8" w:space="0" w:color="auto"/>
            </w:tcBorders>
            <w:shd w:val="clear" w:color="000000" w:fill="FFFFFF"/>
            <w:noWrap/>
            <w:vAlign w:val="bottom"/>
          </w:tcPr>
          <w:p w14:paraId="6F9A6231" w14:textId="77777777" w:rsidR="0011254F" w:rsidRPr="007D0070" w:rsidRDefault="0011254F" w:rsidP="007D0070">
            <w:pPr>
              <w:spacing w:before="0" w:after="0" w:line="240" w:lineRule="auto"/>
              <w:jc w:val="center"/>
              <w:rPr>
                <w:rFonts w:ascii="Times New Roman" w:eastAsia="Times New Roman" w:hAnsi="Times New Roman" w:cs="Times New Roman"/>
                <w:color w:val="000000"/>
                <w:sz w:val="18"/>
                <w:szCs w:val="18"/>
                <w:lang w:val="en-GB" w:eastAsia="es-ES"/>
              </w:rPr>
            </w:pPr>
          </w:p>
        </w:tc>
        <w:tc>
          <w:tcPr>
            <w:tcW w:w="2000" w:type="dxa"/>
            <w:vMerge/>
            <w:tcBorders>
              <w:left w:val="nil"/>
              <w:bottom w:val="single" w:sz="4" w:space="0" w:color="auto"/>
              <w:right w:val="nil"/>
            </w:tcBorders>
            <w:shd w:val="clear" w:color="000000" w:fill="FFFFFF"/>
            <w:noWrap/>
            <w:vAlign w:val="bottom"/>
          </w:tcPr>
          <w:p w14:paraId="10B5F4A1" w14:textId="77777777" w:rsidR="0011254F" w:rsidRPr="007D0070" w:rsidRDefault="0011254F" w:rsidP="007D0070">
            <w:pPr>
              <w:spacing w:before="0" w:after="0" w:line="240" w:lineRule="auto"/>
              <w:jc w:val="left"/>
              <w:rPr>
                <w:rFonts w:ascii="Times New Roman" w:eastAsia="Times New Roman" w:hAnsi="Times New Roman" w:cs="Times New Roman"/>
                <w:color w:val="000000"/>
                <w:sz w:val="18"/>
                <w:szCs w:val="18"/>
                <w:lang w:val="en-GB" w:eastAsia="es-ES"/>
              </w:rPr>
            </w:pPr>
          </w:p>
        </w:tc>
        <w:tc>
          <w:tcPr>
            <w:tcW w:w="1057" w:type="dxa"/>
            <w:tcBorders>
              <w:top w:val="nil"/>
              <w:left w:val="single" w:sz="8" w:space="0" w:color="auto"/>
              <w:bottom w:val="single" w:sz="4" w:space="0" w:color="auto"/>
              <w:right w:val="nil"/>
            </w:tcBorders>
            <w:shd w:val="clear" w:color="auto" w:fill="AEAAAA" w:themeFill="background2" w:themeFillShade="BF"/>
            <w:noWrap/>
            <w:vAlign w:val="bottom"/>
          </w:tcPr>
          <w:p w14:paraId="2F767DA9" w14:textId="41CE1C4E" w:rsidR="0011254F" w:rsidRPr="00910732" w:rsidRDefault="0011254F" w:rsidP="00910732">
            <w:pPr>
              <w:spacing w:before="0" w:after="0" w:line="240" w:lineRule="auto"/>
              <w:jc w:val="center"/>
              <w:rPr>
                <w:rFonts w:ascii="Times New Roman" w:eastAsia="Times New Roman" w:hAnsi="Times New Roman" w:cs="Times New Roman"/>
                <w:b/>
                <w:bCs/>
                <w:color w:val="000000"/>
                <w:sz w:val="18"/>
                <w:szCs w:val="18"/>
                <w:lang w:val="en-GB" w:eastAsia="es-ES"/>
              </w:rPr>
            </w:pPr>
            <w:r w:rsidRPr="00910732">
              <w:rPr>
                <w:rFonts w:ascii="Times New Roman" w:eastAsia="Times New Roman" w:hAnsi="Times New Roman" w:cs="Times New Roman"/>
                <w:b/>
                <w:bCs/>
                <w:color w:val="000000"/>
                <w:sz w:val="18"/>
                <w:szCs w:val="18"/>
                <w:lang w:val="en-GB" w:eastAsia="es-ES"/>
              </w:rPr>
              <w:t>LEPR</w:t>
            </w:r>
          </w:p>
        </w:tc>
        <w:tc>
          <w:tcPr>
            <w:tcW w:w="1058" w:type="dxa"/>
            <w:tcBorders>
              <w:top w:val="nil"/>
              <w:left w:val="nil"/>
              <w:bottom w:val="single" w:sz="4" w:space="0" w:color="auto"/>
              <w:right w:val="nil"/>
            </w:tcBorders>
            <w:shd w:val="clear" w:color="auto" w:fill="AEAAAA" w:themeFill="background2" w:themeFillShade="BF"/>
            <w:noWrap/>
            <w:vAlign w:val="bottom"/>
          </w:tcPr>
          <w:p w14:paraId="6FBF8692" w14:textId="4E92B1FC" w:rsidR="0011254F" w:rsidRPr="00910732" w:rsidRDefault="0011254F" w:rsidP="00910732">
            <w:pPr>
              <w:spacing w:before="0" w:after="0" w:line="240" w:lineRule="auto"/>
              <w:jc w:val="center"/>
              <w:rPr>
                <w:rFonts w:ascii="Times New Roman" w:eastAsia="Times New Roman" w:hAnsi="Times New Roman" w:cs="Times New Roman"/>
                <w:b/>
                <w:bCs/>
                <w:color w:val="000000"/>
                <w:sz w:val="18"/>
                <w:szCs w:val="18"/>
                <w:lang w:val="en-GB" w:eastAsia="es-ES"/>
              </w:rPr>
            </w:pPr>
            <w:r w:rsidRPr="00910732">
              <w:rPr>
                <w:rFonts w:ascii="Times New Roman" w:eastAsia="Times New Roman" w:hAnsi="Times New Roman" w:cs="Times New Roman"/>
                <w:b/>
                <w:bCs/>
                <w:color w:val="000000"/>
                <w:sz w:val="18"/>
                <w:szCs w:val="18"/>
                <w:lang w:val="en-GB" w:eastAsia="es-ES"/>
              </w:rPr>
              <w:t>HEPR</w:t>
            </w:r>
          </w:p>
        </w:tc>
        <w:tc>
          <w:tcPr>
            <w:tcW w:w="1058" w:type="dxa"/>
            <w:tcBorders>
              <w:top w:val="nil"/>
              <w:left w:val="nil"/>
              <w:bottom w:val="single" w:sz="4" w:space="0" w:color="auto"/>
              <w:right w:val="nil"/>
            </w:tcBorders>
            <w:shd w:val="clear" w:color="auto" w:fill="AEAAAA" w:themeFill="background2" w:themeFillShade="BF"/>
            <w:noWrap/>
            <w:vAlign w:val="bottom"/>
          </w:tcPr>
          <w:p w14:paraId="219A8880" w14:textId="388D67D9" w:rsidR="0011254F" w:rsidRPr="00910732" w:rsidRDefault="0011254F" w:rsidP="00910732">
            <w:pPr>
              <w:spacing w:before="0" w:after="0" w:line="240" w:lineRule="auto"/>
              <w:jc w:val="center"/>
              <w:rPr>
                <w:rFonts w:ascii="Times New Roman" w:eastAsia="Times New Roman" w:hAnsi="Times New Roman" w:cs="Times New Roman"/>
                <w:b/>
                <w:bCs/>
                <w:color w:val="000000"/>
                <w:sz w:val="18"/>
                <w:szCs w:val="18"/>
                <w:lang w:val="en-GB" w:eastAsia="es-ES"/>
              </w:rPr>
            </w:pPr>
            <w:r w:rsidRPr="00910732">
              <w:rPr>
                <w:rFonts w:ascii="Times New Roman" w:eastAsia="Times New Roman" w:hAnsi="Times New Roman" w:cs="Times New Roman"/>
                <w:b/>
                <w:bCs/>
                <w:color w:val="000000"/>
                <w:sz w:val="18"/>
                <w:szCs w:val="18"/>
                <w:lang w:val="en-GB" w:eastAsia="es-ES"/>
              </w:rPr>
              <w:t>LEPR</w:t>
            </w:r>
          </w:p>
        </w:tc>
        <w:tc>
          <w:tcPr>
            <w:tcW w:w="1058" w:type="dxa"/>
            <w:tcBorders>
              <w:top w:val="nil"/>
              <w:left w:val="nil"/>
              <w:bottom w:val="single" w:sz="4" w:space="0" w:color="auto"/>
              <w:right w:val="single" w:sz="8" w:space="0" w:color="auto"/>
            </w:tcBorders>
            <w:shd w:val="clear" w:color="auto" w:fill="AEAAAA" w:themeFill="background2" w:themeFillShade="BF"/>
            <w:noWrap/>
            <w:vAlign w:val="bottom"/>
          </w:tcPr>
          <w:p w14:paraId="40735AE9" w14:textId="4BEF5153" w:rsidR="0011254F" w:rsidRPr="00910732" w:rsidRDefault="0011254F" w:rsidP="00910732">
            <w:pPr>
              <w:spacing w:before="0" w:after="0" w:line="240" w:lineRule="auto"/>
              <w:jc w:val="center"/>
              <w:rPr>
                <w:rFonts w:ascii="Times New Roman" w:eastAsia="Times New Roman" w:hAnsi="Times New Roman" w:cs="Times New Roman"/>
                <w:b/>
                <w:bCs/>
                <w:color w:val="000000"/>
                <w:sz w:val="18"/>
                <w:szCs w:val="18"/>
                <w:lang w:val="en-GB" w:eastAsia="es-ES"/>
              </w:rPr>
            </w:pPr>
            <w:r w:rsidRPr="00910732">
              <w:rPr>
                <w:rFonts w:ascii="Times New Roman" w:eastAsia="Times New Roman" w:hAnsi="Times New Roman" w:cs="Times New Roman"/>
                <w:b/>
                <w:bCs/>
                <w:color w:val="000000"/>
                <w:sz w:val="18"/>
                <w:szCs w:val="18"/>
                <w:lang w:val="en-GB" w:eastAsia="es-ES"/>
              </w:rPr>
              <w:t>HEPR</w:t>
            </w:r>
          </w:p>
        </w:tc>
        <w:tc>
          <w:tcPr>
            <w:tcW w:w="1058" w:type="dxa"/>
            <w:tcBorders>
              <w:top w:val="nil"/>
              <w:left w:val="nil"/>
              <w:bottom w:val="single" w:sz="4" w:space="0" w:color="auto"/>
              <w:right w:val="nil"/>
            </w:tcBorders>
            <w:shd w:val="clear" w:color="auto" w:fill="AEAAAA" w:themeFill="background2" w:themeFillShade="BF"/>
            <w:noWrap/>
            <w:vAlign w:val="bottom"/>
          </w:tcPr>
          <w:p w14:paraId="24737044" w14:textId="2ACCDCD9" w:rsidR="0011254F" w:rsidRPr="00910732" w:rsidRDefault="0011254F" w:rsidP="00910732">
            <w:pPr>
              <w:spacing w:before="0" w:after="0" w:line="240" w:lineRule="auto"/>
              <w:jc w:val="center"/>
              <w:rPr>
                <w:rFonts w:ascii="Times New Roman" w:eastAsia="Times New Roman" w:hAnsi="Times New Roman" w:cs="Times New Roman"/>
                <w:b/>
                <w:bCs/>
                <w:color w:val="000000"/>
                <w:sz w:val="18"/>
                <w:szCs w:val="18"/>
                <w:lang w:val="en-GB" w:eastAsia="es-ES"/>
              </w:rPr>
            </w:pPr>
            <w:r w:rsidRPr="00910732">
              <w:rPr>
                <w:rFonts w:ascii="Times New Roman" w:eastAsia="Times New Roman" w:hAnsi="Times New Roman" w:cs="Times New Roman"/>
                <w:b/>
                <w:bCs/>
                <w:color w:val="000000"/>
                <w:sz w:val="18"/>
                <w:szCs w:val="18"/>
                <w:lang w:val="en-GB" w:eastAsia="es-ES"/>
              </w:rPr>
              <w:t>LEPR</w:t>
            </w:r>
          </w:p>
        </w:tc>
        <w:tc>
          <w:tcPr>
            <w:tcW w:w="1058" w:type="dxa"/>
            <w:tcBorders>
              <w:top w:val="nil"/>
              <w:left w:val="nil"/>
              <w:bottom w:val="single" w:sz="4" w:space="0" w:color="auto"/>
              <w:right w:val="nil"/>
            </w:tcBorders>
            <w:shd w:val="clear" w:color="auto" w:fill="AEAAAA" w:themeFill="background2" w:themeFillShade="BF"/>
            <w:noWrap/>
            <w:vAlign w:val="bottom"/>
          </w:tcPr>
          <w:p w14:paraId="7BA6AF73" w14:textId="557A06AE" w:rsidR="0011254F" w:rsidRPr="00910732" w:rsidRDefault="0011254F" w:rsidP="00910732">
            <w:pPr>
              <w:spacing w:before="0" w:after="0" w:line="240" w:lineRule="auto"/>
              <w:jc w:val="center"/>
              <w:rPr>
                <w:rFonts w:ascii="Times New Roman" w:eastAsia="Times New Roman" w:hAnsi="Times New Roman" w:cs="Times New Roman"/>
                <w:b/>
                <w:bCs/>
                <w:color w:val="000000"/>
                <w:sz w:val="18"/>
                <w:szCs w:val="18"/>
                <w:lang w:val="en-GB" w:eastAsia="es-ES"/>
              </w:rPr>
            </w:pPr>
            <w:r w:rsidRPr="00910732">
              <w:rPr>
                <w:rFonts w:ascii="Times New Roman" w:eastAsia="Times New Roman" w:hAnsi="Times New Roman" w:cs="Times New Roman"/>
                <w:b/>
                <w:bCs/>
                <w:color w:val="000000"/>
                <w:sz w:val="18"/>
                <w:szCs w:val="18"/>
                <w:lang w:val="en-GB" w:eastAsia="es-ES"/>
              </w:rPr>
              <w:t>HEPR</w:t>
            </w:r>
          </w:p>
        </w:tc>
        <w:tc>
          <w:tcPr>
            <w:tcW w:w="1058" w:type="dxa"/>
            <w:tcBorders>
              <w:top w:val="nil"/>
              <w:left w:val="nil"/>
              <w:bottom w:val="single" w:sz="4" w:space="0" w:color="auto"/>
              <w:right w:val="nil"/>
            </w:tcBorders>
            <w:shd w:val="clear" w:color="auto" w:fill="AEAAAA" w:themeFill="background2" w:themeFillShade="BF"/>
            <w:noWrap/>
            <w:vAlign w:val="bottom"/>
          </w:tcPr>
          <w:p w14:paraId="44A5CB4F" w14:textId="5625E976" w:rsidR="0011254F" w:rsidRPr="00910732" w:rsidRDefault="0011254F" w:rsidP="00910732">
            <w:pPr>
              <w:spacing w:before="0" w:after="0" w:line="240" w:lineRule="auto"/>
              <w:jc w:val="center"/>
              <w:rPr>
                <w:rFonts w:ascii="Times New Roman" w:eastAsia="Times New Roman" w:hAnsi="Times New Roman" w:cs="Times New Roman"/>
                <w:b/>
                <w:bCs/>
                <w:color w:val="000000"/>
                <w:sz w:val="18"/>
                <w:szCs w:val="18"/>
                <w:lang w:val="en-GB" w:eastAsia="es-ES"/>
              </w:rPr>
            </w:pPr>
            <w:r w:rsidRPr="00910732">
              <w:rPr>
                <w:rFonts w:ascii="Times New Roman" w:eastAsia="Times New Roman" w:hAnsi="Times New Roman" w:cs="Times New Roman"/>
                <w:b/>
                <w:bCs/>
                <w:color w:val="000000"/>
                <w:sz w:val="18"/>
                <w:szCs w:val="18"/>
                <w:lang w:val="en-GB" w:eastAsia="es-ES"/>
              </w:rPr>
              <w:t>LEPR</w:t>
            </w:r>
          </w:p>
        </w:tc>
        <w:tc>
          <w:tcPr>
            <w:tcW w:w="1058" w:type="dxa"/>
            <w:tcBorders>
              <w:top w:val="nil"/>
              <w:left w:val="nil"/>
              <w:bottom w:val="single" w:sz="4" w:space="0" w:color="auto"/>
              <w:right w:val="single" w:sz="8" w:space="0" w:color="auto"/>
            </w:tcBorders>
            <w:shd w:val="clear" w:color="auto" w:fill="AEAAAA" w:themeFill="background2" w:themeFillShade="BF"/>
            <w:noWrap/>
            <w:vAlign w:val="bottom"/>
          </w:tcPr>
          <w:p w14:paraId="27756B58" w14:textId="679B3252" w:rsidR="0011254F" w:rsidRPr="00910732" w:rsidRDefault="0011254F" w:rsidP="00910732">
            <w:pPr>
              <w:spacing w:before="0" w:after="0" w:line="240" w:lineRule="auto"/>
              <w:jc w:val="center"/>
              <w:rPr>
                <w:rFonts w:ascii="Times New Roman" w:eastAsia="Times New Roman" w:hAnsi="Times New Roman" w:cs="Times New Roman"/>
                <w:b/>
                <w:bCs/>
                <w:color w:val="000000"/>
                <w:sz w:val="18"/>
                <w:szCs w:val="18"/>
                <w:lang w:val="en-GB" w:eastAsia="es-ES"/>
              </w:rPr>
            </w:pPr>
            <w:r w:rsidRPr="00910732">
              <w:rPr>
                <w:rFonts w:ascii="Times New Roman" w:eastAsia="Times New Roman" w:hAnsi="Times New Roman" w:cs="Times New Roman"/>
                <w:b/>
                <w:bCs/>
                <w:color w:val="000000"/>
                <w:sz w:val="18"/>
                <w:szCs w:val="18"/>
                <w:lang w:val="en-GB" w:eastAsia="es-ES"/>
              </w:rPr>
              <w:t>HEPR</w:t>
            </w:r>
          </w:p>
        </w:tc>
      </w:tr>
      <w:tr w:rsidR="00910732" w:rsidRPr="00A21644" w14:paraId="79EFA88A" w14:textId="77777777" w:rsidTr="00910732">
        <w:trPr>
          <w:trHeight w:val="312"/>
        </w:trPr>
        <w:tc>
          <w:tcPr>
            <w:tcW w:w="410" w:type="dxa"/>
            <w:tcBorders>
              <w:top w:val="single" w:sz="4" w:space="0" w:color="auto"/>
              <w:left w:val="single" w:sz="8" w:space="0" w:color="auto"/>
              <w:bottom w:val="nil"/>
              <w:right w:val="single" w:sz="8" w:space="0" w:color="auto"/>
            </w:tcBorders>
            <w:shd w:val="clear" w:color="000000" w:fill="FFFFFF"/>
            <w:noWrap/>
            <w:vAlign w:val="bottom"/>
            <w:hideMark/>
          </w:tcPr>
          <w:p w14:paraId="56E88583" w14:textId="77777777" w:rsidR="007D0070" w:rsidRPr="007D0070" w:rsidRDefault="007D0070" w:rsidP="007D0070">
            <w:pPr>
              <w:spacing w:before="0" w:after="0" w:line="240" w:lineRule="auto"/>
              <w:jc w:val="center"/>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1</w:t>
            </w:r>
          </w:p>
        </w:tc>
        <w:tc>
          <w:tcPr>
            <w:tcW w:w="2000" w:type="dxa"/>
            <w:tcBorders>
              <w:top w:val="single" w:sz="4" w:space="0" w:color="auto"/>
              <w:left w:val="nil"/>
              <w:bottom w:val="nil"/>
              <w:right w:val="nil"/>
            </w:tcBorders>
            <w:shd w:val="clear" w:color="000000" w:fill="FFFFFF"/>
            <w:noWrap/>
            <w:vAlign w:val="bottom"/>
            <w:hideMark/>
          </w:tcPr>
          <w:p w14:paraId="3156D592" w14:textId="77777777" w:rsidR="007D0070" w:rsidRPr="007D0070" w:rsidRDefault="007D0070" w:rsidP="007D0070">
            <w:pPr>
              <w:spacing w:before="0" w:after="0" w:line="240" w:lineRule="auto"/>
              <w:jc w:val="lef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Prevalence</w:t>
            </w:r>
          </w:p>
        </w:tc>
        <w:tc>
          <w:tcPr>
            <w:tcW w:w="1057" w:type="dxa"/>
            <w:tcBorders>
              <w:top w:val="single" w:sz="4" w:space="0" w:color="auto"/>
              <w:left w:val="single" w:sz="8" w:space="0" w:color="auto"/>
              <w:bottom w:val="nil"/>
              <w:right w:val="nil"/>
            </w:tcBorders>
            <w:shd w:val="clear" w:color="000000" w:fill="FFFFFF"/>
            <w:noWrap/>
            <w:vAlign w:val="bottom"/>
          </w:tcPr>
          <w:p w14:paraId="6B4C19DA" w14:textId="755539E5" w:rsidR="007D0070" w:rsidRPr="007D0070" w:rsidRDefault="00D55910" w:rsidP="007D0070">
            <w:pPr>
              <w:spacing w:before="0" w:after="0" w:line="240" w:lineRule="auto"/>
              <w:jc w:val="right"/>
              <w:rPr>
                <w:rFonts w:ascii="Times New Roman" w:eastAsia="Times New Roman" w:hAnsi="Times New Roman" w:cs="Times New Roman"/>
                <w:color w:val="000000"/>
                <w:sz w:val="18"/>
                <w:szCs w:val="18"/>
                <w:lang w:val="en-GB" w:eastAsia="es-ES"/>
              </w:rPr>
            </w:pPr>
            <w:r>
              <w:rPr>
                <w:rFonts w:ascii="Times New Roman" w:eastAsia="Times New Roman" w:hAnsi="Times New Roman" w:cs="Times New Roman"/>
                <w:color w:val="000000"/>
                <w:sz w:val="18"/>
                <w:szCs w:val="18"/>
                <w:lang w:val="en-GB" w:eastAsia="es-ES"/>
              </w:rPr>
              <w:t>n.a.</w:t>
            </w:r>
          </w:p>
        </w:tc>
        <w:tc>
          <w:tcPr>
            <w:tcW w:w="1058" w:type="dxa"/>
            <w:tcBorders>
              <w:top w:val="single" w:sz="4" w:space="0" w:color="auto"/>
              <w:left w:val="nil"/>
              <w:bottom w:val="nil"/>
              <w:right w:val="nil"/>
            </w:tcBorders>
            <w:shd w:val="clear" w:color="000000" w:fill="FFFFFF"/>
            <w:noWrap/>
            <w:vAlign w:val="bottom"/>
          </w:tcPr>
          <w:p w14:paraId="6188BBE6" w14:textId="14651607" w:rsidR="007D0070" w:rsidRPr="007D0070" w:rsidRDefault="00D55910" w:rsidP="007D0070">
            <w:pPr>
              <w:spacing w:before="0" w:after="0" w:line="240" w:lineRule="auto"/>
              <w:jc w:val="right"/>
              <w:rPr>
                <w:rFonts w:ascii="Times New Roman" w:eastAsia="Times New Roman" w:hAnsi="Times New Roman" w:cs="Times New Roman"/>
                <w:color w:val="000000"/>
                <w:sz w:val="18"/>
                <w:szCs w:val="18"/>
                <w:lang w:val="en-GB" w:eastAsia="es-ES"/>
              </w:rPr>
            </w:pPr>
            <w:r>
              <w:rPr>
                <w:rFonts w:ascii="Times New Roman" w:eastAsia="Times New Roman" w:hAnsi="Times New Roman" w:cs="Times New Roman"/>
                <w:color w:val="000000"/>
                <w:sz w:val="18"/>
                <w:szCs w:val="18"/>
                <w:lang w:val="en-GB" w:eastAsia="es-ES"/>
              </w:rPr>
              <w:t>n.a.</w:t>
            </w:r>
          </w:p>
        </w:tc>
        <w:tc>
          <w:tcPr>
            <w:tcW w:w="1058" w:type="dxa"/>
            <w:tcBorders>
              <w:top w:val="single" w:sz="4" w:space="0" w:color="auto"/>
              <w:left w:val="nil"/>
              <w:bottom w:val="nil"/>
              <w:right w:val="nil"/>
            </w:tcBorders>
            <w:shd w:val="clear" w:color="000000" w:fill="FFFFFF"/>
            <w:noWrap/>
            <w:vAlign w:val="bottom"/>
          </w:tcPr>
          <w:p w14:paraId="559D628F" w14:textId="050AB88E" w:rsidR="007D0070" w:rsidRPr="007D0070" w:rsidRDefault="00D55910" w:rsidP="007D0070">
            <w:pPr>
              <w:spacing w:before="0" w:after="0" w:line="240" w:lineRule="auto"/>
              <w:jc w:val="right"/>
              <w:rPr>
                <w:rFonts w:ascii="Times New Roman" w:eastAsia="Times New Roman" w:hAnsi="Times New Roman" w:cs="Times New Roman"/>
                <w:color w:val="000000"/>
                <w:sz w:val="18"/>
                <w:szCs w:val="18"/>
                <w:lang w:val="en-GB" w:eastAsia="es-ES"/>
              </w:rPr>
            </w:pPr>
            <w:r>
              <w:rPr>
                <w:rFonts w:ascii="Times New Roman" w:eastAsia="Times New Roman" w:hAnsi="Times New Roman" w:cs="Times New Roman"/>
                <w:color w:val="000000"/>
                <w:sz w:val="18"/>
                <w:szCs w:val="18"/>
                <w:lang w:val="en-GB" w:eastAsia="es-ES"/>
              </w:rPr>
              <w:t>n.a.</w:t>
            </w:r>
          </w:p>
        </w:tc>
        <w:tc>
          <w:tcPr>
            <w:tcW w:w="1058" w:type="dxa"/>
            <w:tcBorders>
              <w:top w:val="single" w:sz="4" w:space="0" w:color="auto"/>
              <w:left w:val="nil"/>
              <w:bottom w:val="nil"/>
              <w:right w:val="single" w:sz="8" w:space="0" w:color="auto"/>
            </w:tcBorders>
            <w:shd w:val="clear" w:color="000000" w:fill="FFFFFF"/>
            <w:noWrap/>
            <w:vAlign w:val="bottom"/>
          </w:tcPr>
          <w:p w14:paraId="11DAF965" w14:textId="0756C0EF" w:rsidR="007D0070" w:rsidRPr="007D0070" w:rsidRDefault="00D55910" w:rsidP="007D0070">
            <w:pPr>
              <w:spacing w:before="0" w:after="0" w:line="240" w:lineRule="auto"/>
              <w:jc w:val="right"/>
              <w:rPr>
                <w:rFonts w:ascii="Times New Roman" w:eastAsia="Times New Roman" w:hAnsi="Times New Roman" w:cs="Times New Roman"/>
                <w:color w:val="000000"/>
                <w:sz w:val="18"/>
                <w:szCs w:val="18"/>
                <w:lang w:val="en-GB" w:eastAsia="es-ES"/>
              </w:rPr>
            </w:pPr>
            <w:r>
              <w:rPr>
                <w:rFonts w:ascii="Times New Roman" w:eastAsia="Times New Roman" w:hAnsi="Times New Roman" w:cs="Times New Roman"/>
                <w:color w:val="000000"/>
                <w:sz w:val="18"/>
                <w:szCs w:val="18"/>
                <w:lang w:val="en-GB" w:eastAsia="es-ES"/>
              </w:rPr>
              <w:t>n.a.</w:t>
            </w:r>
          </w:p>
        </w:tc>
        <w:tc>
          <w:tcPr>
            <w:tcW w:w="1058" w:type="dxa"/>
            <w:tcBorders>
              <w:top w:val="single" w:sz="4" w:space="0" w:color="auto"/>
              <w:left w:val="nil"/>
              <w:bottom w:val="nil"/>
              <w:right w:val="nil"/>
            </w:tcBorders>
            <w:shd w:val="clear" w:color="000000" w:fill="FFFFFF"/>
            <w:noWrap/>
            <w:vAlign w:val="bottom"/>
            <w:hideMark/>
          </w:tcPr>
          <w:p w14:paraId="189E4B52" w14:textId="3D32FAE5" w:rsidR="007D0070" w:rsidRPr="007D0070" w:rsidRDefault="00D55910" w:rsidP="007D0070">
            <w:pPr>
              <w:spacing w:before="0" w:after="0" w:line="240" w:lineRule="auto"/>
              <w:jc w:val="right"/>
              <w:rPr>
                <w:rFonts w:ascii="Times New Roman" w:eastAsia="Times New Roman" w:hAnsi="Times New Roman" w:cs="Times New Roman"/>
                <w:color w:val="000000"/>
                <w:sz w:val="18"/>
                <w:szCs w:val="18"/>
                <w:lang w:val="en-GB" w:eastAsia="es-ES"/>
              </w:rPr>
            </w:pPr>
            <w:r>
              <w:rPr>
                <w:rFonts w:ascii="Times New Roman" w:eastAsia="Times New Roman" w:hAnsi="Times New Roman" w:cs="Times New Roman"/>
                <w:color w:val="000000"/>
                <w:sz w:val="18"/>
                <w:szCs w:val="18"/>
                <w:lang w:val="en-GB" w:eastAsia="es-ES"/>
              </w:rPr>
              <w:t>n.a.</w:t>
            </w:r>
          </w:p>
        </w:tc>
        <w:tc>
          <w:tcPr>
            <w:tcW w:w="1058" w:type="dxa"/>
            <w:tcBorders>
              <w:top w:val="single" w:sz="4" w:space="0" w:color="auto"/>
              <w:left w:val="nil"/>
              <w:bottom w:val="nil"/>
              <w:right w:val="nil"/>
            </w:tcBorders>
            <w:shd w:val="clear" w:color="000000" w:fill="FFFFFF"/>
            <w:noWrap/>
            <w:vAlign w:val="bottom"/>
            <w:hideMark/>
          </w:tcPr>
          <w:p w14:paraId="0BBC420A"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110,928,874</w:t>
            </w:r>
          </w:p>
        </w:tc>
        <w:tc>
          <w:tcPr>
            <w:tcW w:w="1058" w:type="dxa"/>
            <w:tcBorders>
              <w:top w:val="single" w:sz="4" w:space="0" w:color="auto"/>
              <w:left w:val="nil"/>
              <w:bottom w:val="nil"/>
              <w:right w:val="nil"/>
            </w:tcBorders>
            <w:shd w:val="clear" w:color="000000" w:fill="FFFFFF"/>
            <w:noWrap/>
            <w:vAlign w:val="bottom"/>
            <w:hideMark/>
          </w:tcPr>
          <w:p w14:paraId="503E246B" w14:textId="33167777" w:rsidR="007D0070" w:rsidRPr="007D0070" w:rsidRDefault="00D55910" w:rsidP="007D0070">
            <w:pPr>
              <w:spacing w:before="0" w:after="0" w:line="240" w:lineRule="auto"/>
              <w:jc w:val="right"/>
              <w:rPr>
                <w:rFonts w:ascii="Times New Roman" w:eastAsia="Times New Roman" w:hAnsi="Times New Roman" w:cs="Times New Roman"/>
                <w:color w:val="000000"/>
                <w:sz w:val="18"/>
                <w:szCs w:val="18"/>
                <w:lang w:val="en-GB" w:eastAsia="es-ES"/>
              </w:rPr>
            </w:pPr>
            <w:r>
              <w:rPr>
                <w:rFonts w:ascii="Times New Roman" w:eastAsia="Times New Roman" w:hAnsi="Times New Roman" w:cs="Times New Roman"/>
                <w:color w:val="000000"/>
                <w:sz w:val="18"/>
                <w:szCs w:val="18"/>
                <w:lang w:val="en-GB" w:eastAsia="es-ES"/>
              </w:rPr>
              <w:t>n.a.</w:t>
            </w:r>
          </w:p>
        </w:tc>
        <w:tc>
          <w:tcPr>
            <w:tcW w:w="1058" w:type="dxa"/>
            <w:tcBorders>
              <w:top w:val="single" w:sz="4" w:space="0" w:color="auto"/>
              <w:left w:val="nil"/>
              <w:bottom w:val="nil"/>
              <w:right w:val="single" w:sz="8" w:space="0" w:color="auto"/>
            </w:tcBorders>
            <w:shd w:val="clear" w:color="000000" w:fill="FFFFFF"/>
            <w:noWrap/>
            <w:vAlign w:val="bottom"/>
            <w:hideMark/>
          </w:tcPr>
          <w:p w14:paraId="7B07EBD8"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104.52</w:t>
            </w:r>
          </w:p>
        </w:tc>
      </w:tr>
      <w:tr w:rsidR="007D0070" w:rsidRPr="00A21644" w14:paraId="3A5BE605" w14:textId="77777777" w:rsidTr="007D0070">
        <w:trPr>
          <w:trHeight w:val="312"/>
        </w:trPr>
        <w:tc>
          <w:tcPr>
            <w:tcW w:w="410" w:type="dxa"/>
            <w:tcBorders>
              <w:top w:val="nil"/>
              <w:left w:val="single" w:sz="8" w:space="0" w:color="auto"/>
              <w:bottom w:val="nil"/>
              <w:right w:val="single" w:sz="8" w:space="0" w:color="auto"/>
            </w:tcBorders>
            <w:shd w:val="clear" w:color="000000" w:fill="FFFFFF"/>
            <w:noWrap/>
            <w:vAlign w:val="bottom"/>
            <w:hideMark/>
          </w:tcPr>
          <w:p w14:paraId="7A21A5B3" w14:textId="77777777" w:rsidR="007D0070" w:rsidRPr="007D0070" w:rsidRDefault="007D0070" w:rsidP="007D0070">
            <w:pPr>
              <w:spacing w:before="0" w:after="0" w:line="240" w:lineRule="auto"/>
              <w:jc w:val="center"/>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2</w:t>
            </w:r>
          </w:p>
        </w:tc>
        <w:tc>
          <w:tcPr>
            <w:tcW w:w="2000" w:type="dxa"/>
            <w:tcBorders>
              <w:top w:val="nil"/>
              <w:left w:val="nil"/>
              <w:bottom w:val="nil"/>
              <w:right w:val="nil"/>
            </w:tcBorders>
            <w:shd w:val="clear" w:color="000000" w:fill="FFFFFF"/>
            <w:noWrap/>
            <w:vAlign w:val="bottom"/>
            <w:hideMark/>
          </w:tcPr>
          <w:p w14:paraId="77DEAFB2" w14:textId="77777777" w:rsidR="007D0070" w:rsidRPr="007D0070" w:rsidRDefault="007D0070" w:rsidP="007D0070">
            <w:pPr>
              <w:spacing w:before="0" w:after="0" w:line="240" w:lineRule="auto"/>
              <w:jc w:val="lef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Visits, diagnostics</w:t>
            </w:r>
          </w:p>
        </w:tc>
        <w:tc>
          <w:tcPr>
            <w:tcW w:w="1057" w:type="dxa"/>
            <w:tcBorders>
              <w:top w:val="nil"/>
              <w:left w:val="single" w:sz="8" w:space="0" w:color="auto"/>
              <w:bottom w:val="nil"/>
              <w:right w:val="nil"/>
            </w:tcBorders>
            <w:shd w:val="clear" w:color="000000" w:fill="FFFFFF"/>
            <w:noWrap/>
            <w:vAlign w:val="bottom"/>
            <w:hideMark/>
          </w:tcPr>
          <w:p w14:paraId="3507409E"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-40,783</w:t>
            </w:r>
          </w:p>
        </w:tc>
        <w:tc>
          <w:tcPr>
            <w:tcW w:w="1058" w:type="dxa"/>
            <w:tcBorders>
              <w:top w:val="nil"/>
              <w:left w:val="nil"/>
              <w:bottom w:val="nil"/>
              <w:right w:val="nil"/>
            </w:tcBorders>
            <w:shd w:val="clear" w:color="000000" w:fill="FFFFFF"/>
            <w:noWrap/>
            <w:vAlign w:val="bottom"/>
            <w:hideMark/>
          </w:tcPr>
          <w:p w14:paraId="7246B819"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-40,783</w:t>
            </w:r>
          </w:p>
        </w:tc>
        <w:tc>
          <w:tcPr>
            <w:tcW w:w="1058" w:type="dxa"/>
            <w:tcBorders>
              <w:top w:val="nil"/>
              <w:left w:val="nil"/>
              <w:bottom w:val="nil"/>
              <w:right w:val="nil"/>
            </w:tcBorders>
            <w:shd w:val="clear" w:color="000000" w:fill="FFFFFF"/>
            <w:noWrap/>
            <w:vAlign w:val="bottom"/>
            <w:hideMark/>
          </w:tcPr>
          <w:p w14:paraId="1E119AF5"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-0.06</w:t>
            </w:r>
          </w:p>
        </w:tc>
        <w:tc>
          <w:tcPr>
            <w:tcW w:w="1058" w:type="dxa"/>
            <w:tcBorders>
              <w:top w:val="nil"/>
              <w:left w:val="nil"/>
              <w:bottom w:val="nil"/>
              <w:right w:val="single" w:sz="8" w:space="0" w:color="auto"/>
            </w:tcBorders>
            <w:shd w:val="clear" w:color="000000" w:fill="FFFFFF"/>
            <w:noWrap/>
            <w:vAlign w:val="bottom"/>
            <w:hideMark/>
          </w:tcPr>
          <w:p w14:paraId="247276DB"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-0.04</w:t>
            </w:r>
          </w:p>
        </w:tc>
        <w:tc>
          <w:tcPr>
            <w:tcW w:w="1058" w:type="dxa"/>
            <w:tcBorders>
              <w:top w:val="nil"/>
              <w:left w:val="nil"/>
              <w:bottom w:val="nil"/>
              <w:right w:val="nil"/>
            </w:tcBorders>
            <w:shd w:val="clear" w:color="000000" w:fill="FFFFFF"/>
            <w:noWrap/>
            <w:vAlign w:val="bottom"/>
            <w:hideMark/>
          </w:tcPr>
          <w:p w14:paraId="56467ED5"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40,783</w:t>
            </w:r>
          </w:p>
        </w:tc>
        <w:tc>
          <w:tcPr>
            <w:tcW w:w="1058" w:type="dxa"/>
            <w:tcBorders>
              <w:top w:val="nil"/>
              <w:left w:val="nil"/>
              <w:bottom w:val="nil"/>
              <w:right w:val="nil"/>
            </w:tcBorders>
            <w:shd w:val="clear" w:color="000000" w:fill="FFFFFF"/>
            <w:noWrap/>
            <w:vAlign w:val="bottom"/>
            <w:hideMark/>
          </w:tcPr>
          <w:p w14:paraId="697C91F6"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40,783</w:t>
            </w:r>
          </w:p>
        </w:tc>
        <w:tc>
          <w:tcPr>
            <w:tcW w:w="1058" w:type="dxa"/>
            <w:tcBorders>
              <w:top w:val="nil"/>
              <w:left w:val="nil"/>
              <w:bottom w:val="nil"/>
              <w:right w:val="nil"/>
            </w:tcBorders>
            <w:shd w:val="clear" w:color="000000" w:fill="FFFFFF"/>
            <w:noWrap/>
            <w:vAlign w:val="bottom"/>
            <w:hideMark/>
          </w:tcPr>
          <w:p w14:paraId="6AF86960"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0.06</w:t>
            </w:r>
          </w:p>
        </w:tc>
        <w:tc>
          <w:tcPr>
            <w:tcW w:w="1058" w:type="dxa"/>
            <w:tcBorders>
              <w:top w:val="nil"/>
              <w:left w:val="nil"/>
              <w:bottom w:val="nil"/>
              <w:right w:val="single" w:sz="8" w:space="0" w:color="auto"/>
            </w:tcBorders>
            <w:shd w:val="clear" w:color="000000" w:fill="FFFFFF"/>
            <w:noWrap/>
            <w:vAlign w:val="bottom"/>
            <w:hideMark/>
          </w:tcPr>
          <w:p w14:paraId="56EF6E00"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0.04</w:t>
            </w:r>
          </w:p>
        </w:tc>
      </w:tr>
      <w:tr w:rsidR="007D0070" w:rsidRPr="00A21644" w14:paraId="70A0910A" w14:textId="77777777" w:rsidTr="007D0070">
        <w:trPr>
          <w:trHeight w:val="312"/>
        </w:trPr>
        <w:tc>
          <w:tcPr>
            <w:tcW w:w="410" w:type="dxa"/>
            <w:tcBorders>
              <w:top w:val="nil"/>
              <w:left w:val="single" w:sz="8" w:space="0" w:color="auto"/>
              <w:bottom w:val="nil"/>
              <w:right w:val="single" w:sz="8" w:space="0" w:color="auto"/>
            </w:tcBorders>
            <w:shd w:val="clear" w:color="000000" w:fill="FFFFFF"/>
            <w:noWrap/>
            <w:vAlign w:val="bottom"/>
            <w:hideMark/>
          </w:tcPr>
          <w:p w14:paraId="7294167E" w14:textId="77777777" w:rsidR="007D0070" w:rsidRPr="007D0070" w:rsidRDefault="007D0070" w:rsidP="007D0070">
            <w:pPr>
              <w:spacing w:before="0" w:after="0" w:line="240" w:lineRule="auto"/>
              <w:jc w:val="center"/>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3</w:t>
            </w:r>
          </w:p>
        </w:tc>
        <w:tc>
          <w:tcPr>
            <w:tcW w:w="2000" w:type="dxa"/>
            <w:tcBorders>
              <w:top w:val="nil"/>
              <w:left w:val="nil"/>
              <w:bottom w:val="nil"/>
              <w:right w:val="nil"/>
            </w:tcBorders>
            <w:shd w:val="clear" w:color="000000" w:fill="FFFFFF"/>
            <w:noWrap/>
            <w:vAlign w:val="bottom"/>
            <w:hideMark/>
          </w:tcPr>
          <w:p w14:paraId="362FE752" w14:textId="77777777" w:rsidR="007D0070" w:rsidRPr="007D0070" w:rsidRDefault="007D0070" w:rsidP="007D0070">
            <w:pPr>
              <w:spacing w:before="0" w:after="0" w:line="240" w:lineRule="auto"/>
              <w:jc w:val="lef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Tests, diagnostics</w:t>
            </w:r>
          </w:p>
        </w:tc>
        <w:tc>
          <w:tcPr>
            <w:tcW w:w="1057" w:type="dxa"/>
            <w:tcBorders>
              <w:top w:val="nil"/>
              <w:left w:val="single" w:sz="8" w:space="0" w:color="auto"/>
              <w:bottom w:val="nil"/>
              <w:right w:val="nil"/>
            </w:tcBorders>
            <w:shd w:val="clear" w:color="000000" w:fill="FFFFFF"/>
            <w:noWrap/>
            <w:vAlign w:val="bottom"/>
            <w:hideMark/>
          </w:tcPr>
          <w:p w14:paraId="66C9FEE4"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-26,993</w:t>
            </w:r>
          </w:p>
        </w:tc>
        <w:tc>
          <w:tcPr>
            <w:tcW w:w="1058" w:type="dxa"/>
            <w:tcBorders>
              <w:top w:val="nil"/>
              <w:left w:val="nil"/>
              <w:bottom w:val="nil"/>
              <w:right w:val="nil"/>
            </w:tcBorders>
            <w:shd w:val="clear" w:color="000000" w:fill="FFFFFF"/>
            <w:noWrap/>
            <w:vAlign w:val="bottom"/>
            <w:hideMark/>
          </w:tcPr>
          <w:p w14:paraId="6E446351"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-26,993</w:t>
            </w:r>
          </w:p>
        </w:tc>
        <w:tc>
          <w:tcPr>
            <w:tcW w:w="1058" w:type="dxa"/>
            <w:tcBorders>
              <w:top w:val="nil"/>
              <w:left w:val="nil"/>
              <w:bottom w:val="nil"/>
              <w:right w:val="nil"/>
            </w:tcBorders>
            <w:shd w:val="clear" w:color="000000" w:fill="FFFFFF"/>
            <w:noWrap/>
            <w:vAlign w:val="bottom"/>
            <w:hideMark/>
          </w:tcPr>
          <w:p w14:paraId="50A3093E"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-0.04</w:t>
            </w:r>
          </w:p>
        </w:tc>
        <w:tc>
          <w:tcPr>
            <w:tcW w:w="1058" w:type="dxa"/>
            <w:tcBorders>
              <w:top w:val="nil"/>
              <w:left w:val="nil"/>
              <w:bottom w:val="nil"/>
              <w:right w:val="single" w:sz="8" w:space="0" w:color="auto"/>
            </w:tcBorders>
            <w:shd w:val="clear" w:color="000000" w:fill="FFFFFF"/>
            <w:noWrap/>
            <w:vAlign w:val="bottom"/>
            <w:hideMark/>
          </w:tcPr>
          <w:p w14:paraId="19A6823E"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-0.03</w:t>
            </w:r>
          </w:p>
        </w:tc>
        <w:tc>
          <w:tcPr>
            <w:tcW w:w="1058" w:type="dxa"/>
            <w:tcBorders>
              <w:top w:val="nil"/>
              <w:left w:val="nil"/>
              <w:bottom w:val="nil"/>
              <w:right w:val="nil"/>
            </w:tcBorders>
            <w:shd w:val="clear" w:color="000000" w:fill="FFFFFF"/>
            <w:noWrap/>
            <w:vAlign w:val="bottom"/>
            <w:hideMark/>
          </w:tcPr>
          <w:p w14:paraId="23DF3B86"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26,993</w:t>
            </w:r>
          </w:p>
        </w:tc>
        <w:tc>
          <w:tcPr>
            <w:tcW w:w="1058" w:type="dxa"/>
            <w:tcBorders>
              <w:top w:val="nil"/>
              <w:left w:val="nil"/>
              <w:bottom w:val="nil"/>
              <w:right w:val="nil"/>
            </w:tcBorders>
            <w:shd w:val="clear" w:color="000000" w:fill="FFFFFF"/>
            <w:noWrap/>
            <w:vAlign w:val="bottom"/>
            <w:hideMark/>
          </w:tcPr>
          <w:p w14:paraId="45FB4398"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26,993</w:t>
            </w:r>
          </w:p>
        </w:tc>
        <w:tc>
          <w:tcPr>
            <w:tcW w:w="1058" w:type="dxa"/>
            <w:tcBorders>
              <w:top w:val="nil"/>
              <w:left w:val="nil"/>
              <w:bottom w:val="nil"/>
              <w:right w:val="nil"/>
            </w:tcBorders>
            <w:shd w:val="clear" w:color="000000" w:fill="FFFFFF"/>
            <w:noWrap/>
            <w:vAlign w:val="bottom"/>
            <w:hideMark/>
          </w:tcPr>
          <w:p w14:paraId="535CF5BC"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0.04</w:t>
            </w:r>
          </w:p>
        </w:tc>
        <w:tc>
          <w:tcPr>
            <w:tcW w:w="1058" w:type="dxa"/>
            <w:tcBorders>
              <w:top w:val="nil"/>
              <w:left w:val="nil"/>
              <w:bottom w:val="nil"/>
              <w:right w:val="single" w:sz="8" w:space="0" w:color="auto"/>
            </w:tcBorders>
            <w:shd w:val="clear" w:color="000000" w:fill="FFFFFF"/>
            <w:noWrap/>
            <w:vAlign w:val="bottom"/>
            <w:hideMark/>
          </w:tcPr>
          <w:p w14:paraId="304C0D22"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0.03</w:t>
            </w:r>
          </w:p>
        </w:tc>
      </w:tr>
      <w:tr w:rsidR="007D0070" w:rsidRPr="00A21644" w14:paraId="2D3B4F6E" w14:textId="77777777" w:rsidTr="007D0070">
        <w:trPr>
          <w:trHeight w:val="312"/>
        </w:trPr>
        <w:tc>
          <w:tcPr>
            <w:tcW w:w="410" w:type="dxa"/>
            <w:tcBorders>
              <w:top w:val="nil"/>
              <w:left w:val="single" w:sz="8" w:space="0" w:color="auto"/>
              <w:bottom w:val="nil"/>
              <w:right w:val="single" w:sz="8" w:space="0" w:color="auto"/>
            </w:tcBorders>
            <w:shd w:val="clear" w:color="000000" w:fill="FFFFFF"/>
            <w:noWrap/>
            <w:vAlign w:val="bottom"/>
            <w:hideMark/>
          </w:tcPr>
          <w:p w14:paraId="5AE9159B" w14:textId="77777777" w:rsidR="007D0070" w:rsidRPr="007D0070" w:rsidRDefault="007D0070" w:rsidP="007D0070">
            <w:pPr>
              <w:spacing w:before="0" w:after="0" w:line="240" w:lineRule="auto"/>
              <w:jc w:val="center"/>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4</w:t>
            </w:r>
          </w:p>
        </w:tc>
        <w:tc>
          <w:tcPr>
            <w:tcW w:w="2000" w:type="dxa"/>
            <w:tcBorders>
              <w:top w:val="nil"/>
              <w:left w:val="nil"/>
              <w:bottom w:val="nil"/>
              <w:right w:val="nil"/>
            </w:tcBorders>
            <w:shd w:val="clear" w:color="000000" w:fill="FFFFFF"/>
            <w:noWrap/>
            <w:vAlign w:val="bottom"/>
            <w:hideMark/>
          </w:tcPr>
          <w:p w14:paraId="3AEEC795" w14:textId="77777777" w:rsidR="007D0070" w:rsidRPr="007D0070" w:rsidRDefault="007D0070" w:rsidP="007D0070">
            <w:pPr>
              <w:spacing w:before="0" w:after="0" w:line="240" w:lineRule="auto"/>
              <w:jc w:val="lef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Emergency visits</w:t>
            </w:r>
          </w:p>
        </w:tc>
        <w:tc>
          <w:tcPr>
            <w:tcW w:w="1057" w:type="dxa"/>
            <w:tcBorders>
              <w:top w:val="nil"/>
              <w:left w:val="single" w:sz="8" w:space="0" w:color="auto"/>
              <w:bottom w:val="nil"/>
              <w:right w:val="nil"/>
            </w:tcBorders>
            <w:shd w:val="clear" w:color="000000" w:fill="FFFFFF"/>
            <w:noWrap/>
            <w:vAlign w:val="bottom"/>
            <w:hideMark/>
          </w:tcPr>
          <w:p w14:paraId="756B64A9"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-163,250</w:t>
            </w:r>
          </w:p>
        </w:tc>
        <w:tc>
          <w:tcPr>
            <w:tcW w:w="1058" w:type="dxa"/>
            <w:tcBorders>
              <w:top w:val="nil"/>
              <w:left w:val="nil"/>
              <w:bottom w:val="nil"/>
              <w:right w:val="nil"/>
            </w:tcBorders>
            <w:shd w:val="clear" w:color="000000" w:fill="FFFFFF"/>
            <w:noWrap/>
            <w:vAlign w:val="bottom"/>
            <w:hideMark/>
          </w:tcPr>
          <w:p w14:paraId="340196D0"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-253,792</w:t>
            </w:r>
          </w:p>
        </w:tc>
        <w:tc>
          <w:tcPr>
            <w:tcW w:w="1058" w:type="dxa"/>
            <w:tcBorders>
              <w:top w:val="nil"/>
              <w:left w:val="nil"/>
              <w:bottom w:val="nil"/>
              <w:right w:val="nil"/>
            </w:tcBorders>
            <w:shd w:val="clear" w:color="000000" w:fill="FFFFFF"/>
            <w:noWrap/>
            <w:vAlign w:val="bottom"/>
            <w:hideMark/>
          </w:tcPr>
          <w:p w14:paraId="3C03874C"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-0.24</w:t>
            </w:r>
          </w:p>
        </w:tc>
        <w:tc>
          <w:tcPr>
            <w:tcW w:w="1058" w:type="dxa"/>
            <w:tcBorders>
              <w:top w:val="nil"/>
              <w:left w:val="nil"/>
              <w:bottom w:val="nil"/>
              <w:right w:val="single" w:sz="8" w:space="0" w:color="auto"/>
            </w:tcBorders>
            <w:shd w:val="clear" w:color="000000" w:fill="FFFFFF"/>
            <w:noWrap/>
            <w:vAlign w:val="bottom"/>
            <w:hideMark/>
          </w:tcPr>
          <w:p w14:paraId="6E6A515D"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-0.24</w:t>
            </w:r>
          </w:p>
        </w:tc>
        <w:tc>
          <w:tcPr>
            <w:tcW w:w="1058" w:type="dxa"/>
            <w:tcBorders>
              <w:top w:val="nil"/>
              <w:left w:val="nil"/>
              <w:bottom w:val="nil"/>
              <w:right w:val="nil"/>
            </w:tcBorders>
            <w:shd w:val="clear" w:color="000000" w:fill="FFFFFF"/>
            <w:noWrap/>
            <w:vAlign w:val="bottom"/>
            <w:hideMark/>
          </w:tcPr>
          <w:p w14:paraId="7FC0460E"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244,875</w:t>
            </w:r>
          </w:p>
        </w:tc>
        <w:tc>
          <w:tcPr>
            <w:tcW w:w="1058" w:type="dxa"/>
            <w:tcBorders>
              <w:top w:val="nil"/>
              <w:left w:val="nil"/>
              <w:bottom w:val="nil"/>
              <w:right w:val="nil"/>
            </w:tcBorders>
            <w:shd w:val="clear" w:color="000000" w:fill="FFFFFF"/>
            <w:noWrap/>
            <w:vAlign w:val="bottom"/>
            <w:hideMark/>
          </w:tcPr>
          <w:p w14:paraId="0E4C8F3C"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380,687</w:t>
            </w:r>
          </w:p>
        </w:tc>
        <w:tc>
          <w:tcPr>
            <w:tcW w:w="1058" w:type="dxa"/>
            <w:tcBorders>
              <w:top w:val="nil"/>
              <w:left w:val="nil"/>
              <w:bottom w:val="nil"/>
              <w:right w:val="nil"/>
            </w:tcBorders>
            <w:shd w:val="clear" w:color="000000" w:fill="FFFFFF"/>
            <w:noWrap/>
            <w:vAlign w:val="bottom"/>
            <w:hideMark/>
          </w:tcPr>
          <w:p w14:paraId="2A1FA5EC"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0.36</w:t>
            </w:r>
          </w:p>
        </w:tc>
        <w:tc>
          <w:tcPr>
            <w:tcW w:w="1058" w:type="dxa"/>
            <w:tcBorders>
              <w:top w:val="nil"/>
              <w:left w:val="nil"/>
              <w:bottom w:val="nil"/>
              <w:right w:val="single" w:sz="8" w:space="0" w:color="auto"/>
            </w:tcBorders>
            <w:shd w:val="clear" w:color="000000" w:fill="FFFFFF"/>
            <w:noWrap/>
            <w:vAlign w:val="bottom"/>
            <w:hideMark/>
          </w:tcPr>
          <w:p w14:paraId="1B2D2042"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0.36</w:t>
            </w:r>
          </w:p>
        </w:tc>
      </w:tr>
      <w:tr w:rsidR="007D0070" w:rsidRPr="00A21644" w14:paraId="04944289" w14:textId="77777777" w:rsidTr="007D0070">
        <w:trPr>
          <w:trHeight w:val="312"/>
        </w:trPr>
        <w:tc>
          <w:tcPr>
            <w:tcW w:w="410" w:type="dxa"/>
            <w:tcBorders>
              <w:top w:val="nil"/>
              <w:left w:val="single" w:sz="8" w:space="0" w:color="auto"/>
              <w:bottom w:val="nil"/>
              <w:right w:val="single" w:sz="8" w:space="0" w:color="auto"/>
            </w:tcBorders>
            <w:shd w:val="clear" w:color="000000" w:fill="FFFFFF"/>
            <w:noWrap/>
            <w:vAlign w:val="bottom"/>
            <w:hideMark/>
          </w:tcPr>
          <w:p w14:paraId="5763056D" w14:textId="77777777" w:rsidR="007D0070" w:rsidRPr="007D0070" w:rsidRDefault="007D0070" w:rsidP="007D0070">
            <w:pPr>
              <w:spacing w:before="0" w:after="0" w:line="240" w:lineRule="auto"/>
              <w:jc w:val="center"/>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5</w:t>
            </w:r>
          </w:p>
        </w:tc>
        <w:tc>
          <w:tcPr>
            <w:tcW w:w="2000" w:type="dxa"/>
            <w:tcBorders>
              <w:top w:val="nil"/>
              <w:left w:val="nil"/>
              <w:bottom w:val="nil"/>
              <w:right w:val="nil"/>
            </w:tcBorders>
            <w:shd w:val="clear" w:color="000000" w:fill="FFFFFF"/>
            <w:noWrap/>
            <w:vAlign w:val="bottom"/>
            <w:hideMark/>
          </w:tcPr>
          <w:p w14:paraId="0CD417F8" w14:textId="77777777" w:rsidR="007D0070" w:rsidRPr="007D0070" w:rsidRDefault="007D0070" w:rsidP="007D0070">
            <w:pPr>
              <w:spacing w:before="0" w:after="0" w:line="240" w:lineRule="auto"/>
              <w:jc w:val="lef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Hospitalisations, FC I-II</w:t>
            </w:r>
          </w:p>
        </w:tc>
        <w:tc>
          <w:tcPr>
            <w:tcW w:w="1057" w:type="dxa"/>
            <w:tcBorders>
              <w:top w:val="nil"/>
              <w:left w:val="single" w:sz="8" w:space="0" w:color="auto"/>
              <w:bottom w:val="nil"/>
              <w:right w:val="nil"/>
            </w:tcBorders>
            <w:shd w:val="clear" w:color="000000" w:fill="FFFFFF"/>
            <w:noWrap/>
            <w:vAlign w:val="bottom"/>
            <w:hideMark/>
          </w:tcPr>
          <w:p w14:paraId="3FA831C0"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-561,854</w:t>
            </w:r>
          </w:p>
        </w:tc>
        <w:tc>
          <w:tcPr>
            <w:tcW w:w="1058" w:type="dxa"/>
            <w:tcBorders>
              <w:top w:val="nil"/>
              <w:left w:val="nil"/>
              <w:bottom w:val="nil"/>
              <w:right w:val="nil"/>
            </w:tcBorders>
            <w:shd w:val="clear" w:color="000000" w:fill="FFFFFF"/>
            <w:noWrap/>
            <w:vAlign w:val="bottom"/>
            <w:hideMark/>
          </w:tcPr>
          <w:p w14:paraId="3289767B"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-873,471</w:t>
            </w:r>
          </w:p>
        </w:tc>
        <w:tc>
          <w:tcPr>
            <w:tcW w:w="1058" w:type="dxa"/>
            <w:tcBorders>
              <w:top w:val="nil"/>
              <w:left w:val="nil"/>
              <w:bottom w:val="nil"/>
              <w:right w:val="nil"/>
            </w:tcBorders>
            <w:shd w:val="clear" w:color="000000" w:fill="FFFFFF"/>
            <w:noWrap/>
            <w:vAlign w:val="bottom"/>
            <w:hideMark/>
          </w:tcPr>
          <w:p w14:paraId="5E931D74"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-0.83</w:t>
            </w:r>
          </w:p>
        </w:tc>
        <w:tc>
          <w:tcPr>
            <w:tcW w:w="1058" w:type="dxa"/>
            <w:tcBorders>
              <w:top w:val="nil"/>
              <w:left w:val="nil"/>
              <w:bottom w:val="nil"/>
              <w:right w:val="single" w:sz="8" w:space="0" w:color="auto"/>
            </w:tcBorders>
            <w:shd w:val="clear" w:color="000000" w:fill="FFFFFF"/>
            <w:noWrap/>
            <w:vAlign w:val="bottom"/>
            <w:hideMark/>
          </w:tcPr>
          <w:p w14:paraId="4CDDE400"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-0.83</w:t>
            </w:r>
          </w:p>
        </w:tc>
        <w:tc>
          <w:tcPr>
            <w:tcW w:w="1058" w:type="dxa"/>
            <w:tcBorders>
              <w:top w:val="nil"/>
              <w:left w:val="nil"/>
              <w:bottom w:val="nil"/>
              <w:right w:val="nil"/>
            </w:tcBorders>
            <w:shd w:val="clear" w:color="000000" w:fill="FFFFFF"/>
            <w:noWrap/>
            <w:vAlign w:val="bottom"/>
            <w:hideMark/>
          </w:tcPr>
          <w:p w14:paraId="7780AD50"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62,428</w:t>
            </w:r>
          </w:p>
        </w:tc>
        <w:tc>
          <w:tcPr>
            <w:tcW w:w="1058" w:type="dxa"/>
            <w:tcBorders>
              <w:top w:val="nil"/>
              <w:left w:val="nil"/>
              <w:bottom w:val="nil"/>
              <w:right w:val="nil"/>
            </w:tcBorders>
            <w:shd w:val="clear" w:color="000000" w:fill="FFFFFF"/>
            <w:noWrap/>
            <w:vAlign w:val="bottom"/>
            <w:hideMark/>
          </w:tcPr>
          <w:p w14:paraId="1E85C3AF"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97,052</w:t>
            </w:r>
          </w:p>
        </w:tc>
        <w:tc>
          <w:tcPr>
            <w:tcW w:w="1058" w:type="dxa"/>
            <w:tcBorders>
              <w:top w:val="nil"/>
              <w:left w:val="nil"/>
              <w:bottom w:val="nil"/>
              <w:right w:val="nil"/>
            </w:tcBorders>
            <w:shd w:val="clear" w:color="000000" w:fill="FFFFFF"/>
            <w:noWrap/>
            <w:vAlign w:val="bottom"/>
            <w:hideMark/>
          </w:tcPr>
          <w:p w14:paraId="0CB0E087"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0.09</w:t>
            </w:r>
          </w:p>
        </w:tc>
        <w:tc>
          <w:tcPr>
            <w:tcW w:w="1058" w:type="dxa"/>
            <w:tcBorders>
              <w:top w:val="nil"/>
              <w:left w:val="nil"/>
              <w:bottom w:val="nil"/>
              <w:right w:val="single" w:sz="8" w:space="0" w:color="auto"/>
            </w:tcBorders>
            <w:shd w:val="clear" w:color="000000" w:fill="FFFFFF"/>
            <w:noWrap/>
            <w:vAlign w:val="bottom"/>
            <w:hideMark/>
          </w:tcPr>
          <w:p w14:paraId="78A2473F"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0.09</w:t>
            </w:r>
          </w:p>
        </w:tc>
      </w:tr>
      <w:tr w:rsidR="007D0070" w:rsidRPr="00A21644" w14:paraId="0045EC1E" w14:textId="77777777" w:rsidTr="007D0070">
        <w:trPr>
          <w:trHeight w:val="312"/>
        </w:trPr>
        <w:tc>
          <w:tcPr>
            <w:tcW w:w="410" w:type="dxa"/>
            <w:tcBorders>
              <w:top w:val="nil"/>
              <w:left w:val="single" w:sz="8" w:space="0" w:color="auto"/>
              <w:bottom w:val="nil"/>
              <w:right w:val="single" w:sz="8" w:space="0" w:color="auto"/>
            </w:tcBorders>
            <w:shd w:val="clear" w:color="000000" w:fill="FFFFFF"/>
            <w:noWrap/>
            <w:vAlign w:val="bottom"/>
            <w:hideMark/>
          </w:tcPr>
          <w:p w14:paraId="46C944FB" w14:textId="77777777" w:rsidR="007D0070" w:rsidRPr="007D0070" w:rsidRDefault="007D0070" w:rsidP="007D0070">
            <w:pPr>
              <w:spacing w:before="0" w:after="0" w:line="240" w:lineRule="auto"/>
              <w:jc w:val="center"/>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6</w:t>
            </w:r>
          </w:p>
        </w:tc>
        <w:tc>
          <w:tcPr>
            <w:tcW w:w="2000" w:type="dxa"/>
            <w:tcBorders>
              <w:top w:val="nil"/>
              <w:left w:val="nil"/>
              <w:bottom w:val="nil"/>
              <w:right w:val="nil"/>
            </w:tcBorders>
            <w:shd w:val="clear" w:color="000000" w:fill="FFFFFF"/>
            <w:noWrap/>
            <w:vAlign w:val="bottom"/>
            <w:hideMark/>
          </w:tcPr>
          <w:p w14:paraId="32682867" w14:textId="77777777" w:rsidR="007D0070" w:rsidRPr="007D0070" w:rsidRDefault="007D0070" w:rsidP="007D0070">
            <w:pPr>
              <w:spacing w:before="0" w:after="0" w:line="240" w:lineRule="auto"/>
              <w:jc w:val="lef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Drug discount</w:t>
            </w:r>
          </w:p>
        </w:tc>
        <w:tc>
          <w:tcPr>
            <w:tcW w:w="1057" w:type="dxa"/>
            <w:tcBorders>
              <w:top w:val="nil"/>
              <w:left w:val="single" w:sz="8" w:space="0" w:color="auto"/>
              <w:bottom w:val="nil"/>
              <w:right w:val="nil"/>
            </w:tcBorders>
            <w:shd w:val="clear" w:color="000000" w:fill="FFFFFF"/>
            <w:noWrap/>
            <w:vAlign w:val="bottom"/>
            <w:hideMark/>
          </w:tcPr>
          <w:p w14:paraId="60E2BB60"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-14,882,649</w:t>
            </w:r>
          </w:p>
        </w:tc>
        <w:tc>
          <w:tcPr>
            <w:tcW w:w="1058" w:type="dxa"/>
            <w:tcBorders>
              <w:top w:val="nil"/>
              <w:left w:val="nil"/>
              <w:bottom w:val="nil"/>
              <w:right w:val="nil"/>
            </w:tcBorders>
            <w:shd w:val="clear" w:color="000000" w:fill="FFFFFF"/>
            <w:noWrap/>
            <w:vAlign w:val="bottom"/>
            <w:hideMark/>
          </w:tcPr>
          <w:p w14:paraId="753B4869"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-23,106,662</w:t>
            </w:r>
          </w:p>
        </w:tc>
        <w:tc>
          <w:tcPr>
            <w:tcW w:w="1058" w:type="dxa"/>
            <w:tcBorders>
              <w:top w:val="nil"/>
              <w:left w:val="nil"/>
              <w:bottom w:val="nil"/>
              <w:right w:val="nil"/>
            </w:tcBorders>
            <w:shd w:val="clear" w:color="000000" w:fill="FFFFFF"/>
            <w:noWrap/>
            <w:vAlign w:val="bottom"/>
            <w:hideMark/>
          </w:tcPr>
          <w:p w14:paraId="7E55CB9E"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-21.92</w:t>
            </w:r>
          </w:p>
        </w:tc>
        <w:tc>
          <w:tcPr>
            <w:tcW w:w="1058" w:type="dxa"/>
            <w:tcBorders>
              <w:top w:val="nil"/>
              <w:left w:val="nil"/>
              <w:bottom w:val="nil"/>
              <w:right w:val="single" w:sz="8" w:space="0" w:color="auto"/>
            </w:tcBorders>
            <w:shd w:val="clear" w:color="000000" w:fill="FFFFFF"/>
            <w:noWrap/>
            <w:vAlign w:val="bottom"/>
            <w:hideMark/>
          </w:tcPr>
          <w:p w14:paraId="3C7166C2"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-21.77</w:t>
            </w:r>
          </w:p>
        </w:tc>
        <w:tc>
          <w:tcPr>
            <w:tcW w:w="1058" w:type="dxa"/>
            <w:tcBorders>
              <w:top w:val="nil"/>
              <w:left w:val="nil"/>
              <w:bottom w:val="nil"/>
              <w:right w:val="nil"/>
            </w:tcBorders>
            <w:shd w:val="clear" w:color="000000" w:fill="FFFFFF"/>
            <w:noWrap/>
            <w:vAlign w:val="bottom"/>
            <w:hideMark/>
          </w:tcPr>
          <w:p w14:paraId="657FEBC7" w14:textId="7C7CFF6D" w:rsidR="007D0070" w:rsidRPr="007D0070" w:rsidRDefault="00D55910" w:rsidP="007D0070">
            <w:pPr>
              <w:spacing w:before="0" w:after="0" w:line="240" w:lineRule="auto"/>
              <w:jc w:val="right"/>
              <w:rPr>
                <w:rFonts w:ascii="Times New Roman" w:eastAsia="Times New Roman" w:hAnsi="Times New Roman" w:cs="Times New Roman"/>
                <w:color w:val="000000"/>
                <w:sz w:val="18"/>
                <w:szCs w:val="18"/>
                <w:lang w:val="en-GB" w:eastAsia="es-ES"/>
              </w:rPr>
            </w:pPr>
            <w:r>
              <w:rPr>
                <w:rFonts w:ascii="Times New Roman" w:eastAsia="Times New Roman" w:hAnsi="Times New Roman" w:cs="Times New Roman"/>
                <w:color w:val="000000"/>
                <w:sz w:val="18"/>
                <w:szCs w:val="18"/>
                <w:lang w:val="en-GB" w:eastAsia="es-ES"/>
              </w:rPr>
              <w:t>n.a.</w:t>
            </w:r>
          </w:p>
        </w:tc>
        <w:tc>
          <w:tcPr>
            <w:tcW w:w="1058" w:type="dxa"/>
            <w:tcBorders>
              <w:top w:val="nil"/>
              <w:left w:val="nil"/>
              <w:bottom w:val="nil"/>
              <w:right w:val="nil"/>
            </w:tcBorders>
            <w:shd w:val="clear" w:color="000000" w:fill="FFFFFF"/>
            <w:noWrap/>
            <w:vAlign w:val="bottom"/>
            <w:hideMark/>
          </w:tcPr>
          <w:p w14:paraId="7785202F" w14:textId="167CA65C" w:rsidR="007D0070" w:rsidRPr="007D0070" w:rsidRDefault="00D55910" w:rsidP="007D0070">
            <w:pPr>
              <w:spacing w:before="0" w:after="0" w:line="240" w:lineRule="auto"/>
              <w:jc w:val="right"/>
              <w:rPr>
                <w:rFonts w:ascii="Times New Roman" w:eastAsia="Times New Roman" w:hAnsi="Times New Roman" w:cs="Times New Roman"/>
                <w:color w:val="000000"/>
                <w:sz w:val="18"/>
                <w:szCs w:val="18"/>
                <w:lang w:val="en-GB" w:eastAsia="es-ES"/>
              </w:rPr>
            </w:pPr>
            <w:r>
              <w:rPr>
                <w:rFonts w:ascii="Times New Roman" w:eastAsia="Times New Roman" w:hAnsi="Times New Roman" w:cs="Times New Roman"/>
                <w:color w:val="000000"/>
                <w:sz w:val="18"/>
                <w:szCs w:val="18"/>
                <w:lang w:val="en-GB" w:eastAsia="es-ES"/>
              </w:rPr>
              <w:t>n.a.</w:t>
            </w:r>
          </w:p>
        </w:tc>
        <w:tc>
          <w:tcPr>
            <w:tcW w:w="1058" w:type="dxa"/>
            <w:tcBorders>
              <w:top w:val="nil"/>
              <w:left w:val="nil"/>
              <w:bottom w:val="nil"/>
              <w:right w:val="nil"/>
            </w:tcBorders>
            <w:shd w:val="clear" w:color="000000" w:fill="FFFFFF"/>
            <w:noWrap/>
            <w:vAlign w:val="bottom"/>
            <w:hideMark/>
          </w:tcPr>
          <w:p w14:paraId="4930A4AF" w14:textId="6E20A301" w:rsidR="007D0070" w:rsidRPr="007D0070" w:rsidRDefault="00D55910" w:rsidP="007D0070">
            <w:pPr>
              <w:spacing w:before="0" w:after="0" w:line="240" w:lineRule="auto"/>
              <w:jc w:val="right"/>
              <w:rPr>
                <w:rFonts w:ascii="Times New Roman" w:eastAsia="Times New Roman" w:hAnsi="Times New Roman" w:cs="Times New Roman"/>
                <w:color w:val="000000"/>
                <w:sz w:val="18"/>
                <w:szCs w:val="18"/>
                <w:lang w:val="en-GB" w:eastAsia="es-ES"/>
              </w:rPr>
            </w:pPr>
            <w:r>
              <w:rPr>
                <w:rFonts w:ascii="Times New Roman" w:eastAsia="Times New Roman" w:hAnsi="Times New Roman" w:cs="Times New Roman"/>
                <w:color w:val="000000"/>
                <w:sz w:val="18"/>
                <w:szCs w:val="18"/>
                <w:lang w:val="en-GB" w:eastAsia="es-ES"/>
              </w:rPr>
              <w:t>n.a.</w:t>
            </w:r>
          </w:p>
        </w:tc>
        <w:tc>
          <w:tcPr>
            <w:tcW w:w="1058" w:type="dxa"/>
            <w:tcBorders>
              <w:top w:val="nil"/>
              <w:left w:val="nil"/>
              <w:bottom w:val="nil"/>
              <w:right w:val="single" w:sz="8" w:space="0" w:color="auto"/>
            </w:tcBorders>
            <w:shd w:val="clear" w:color="000000" w:fill="FFFFFF"/>
            <w:noWrap/>
            <w:vAlign w:val="bottom"/>
            <w:hideMark/>
          </w:tcPr>
          <w:p w14:paraId="6A2A9FEB" w14:textId="0D1A5128" w:rsidR="007D0070" w:rsidRPr="007D0070" w:rsidRDefault="00D55910" w:rsidP="007D0070">
            <w:pPr>
              <w:spacing w:before="0" w:after="0" w:line="240" w:lineRule="auto"/>
              <w:jc w:val="right"/>
              <w:rPr>
                <w:rFonts w:ascii="Times New Roman" w:eastAsia="Times New Roman" w:hAnsi="Times New Roman" w:cs="Times New Roman"/>
                <w:color w:val="000000"/>
                <w:sz w:val="18"/>
                <w:szCs w:val="18"/>
                <w:lang w:val="en-GB" w:eastAsia="es-ES"/>
              </w:rPr>
            </w:pPr>
            <w:r>
              <w:rPr>
                <w:rFonts w:ascii="Times New Roman" w:eastAsia="Times New Roman" w:hAnsi="Times New Roman" w:cs="Times New Roman"/>
                <w:color w:val="000000"/>
                <w:sz w:val="18"/>
                <w:szCs w:val="18"/>
                <w:lang w:val="en-GB" w:eastAsia="es-ES"/>
              </w:rPr>
              <w:t>n.a.</w:t>
            </w:r>
          </w:p>
        </w:tc>
      </w:tr>
      <w:tr w:rsidR="007D0070" w:rsidRPr="00A21644" w14:paraId="1223E05B" w14:textId="77777777" w:rsidTr="007D0070">
        <w:trPr>
          <w:trHeight w:val="312"/>
        </w:trPr>
        <w:tc>
          <w:tcPr>
            <w:tcW w:w="410" w:type="dxa"/>
            <w:tcBorders>
              <w:top w:val="nil"/>
              <w:left w:val="single" w:sz="8" w:space="0" w:color="auto"/>
              <w:bottom w:val="nil"/>
              <w:right w:val="single" w:sz="8" w:space="0" w:color="auto"/>
            </w:tcBorders>
            <w:shd w:val="clear" w:color="000000" w:fill="FFFFFF"/>
            <w:noWrap/>
            <w:vAlign w:val="bottom"/>
            <w:hideMark/>
          </w:tcPr>
          <w:p w14:paraId="157FE409" w14:textId="77777777" w:rsidR="007D0070" w:rsidRPr="007D0070" w:rsidRDefault="007D0070" w:rsidP="007D0070">
            <w:pPr>
              <w:spacing w:before="0" w:after="0" w:line="240" w:lineRule="auto"/>
              <w:jc w:val="center"/>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7</w:t>
            </w:r>
          </w:p>
        </w:tc>
        <w:tc>
          <w:tcPr>
            <w:tcW w:w="2000" w:type="dxa"/>
            <w:tcBorders>
              <w:top w:val="nil"/>
              <w:left w:val="nil"/>
              <w:bottom w:val="nil"/>
              <w:right w:val="nil"/>
            </w:tcBorders>
            <w:shd w:val="clear" w:color="000000" w:fill="FFFFFF"/>
            <w:noWrap/>
            <w:vAlign w:val="bottom"/>
            <w:hideMark/>
          </w:tcPr>
          <w:p w14:paraId="665BFC65" w14:textId="77777777" w:rsidR="007D0070" w:rsidRPr="007D0070" w:rsidRDefault="007D0070" w:rsidP="007D0070">
            <w:pPr>
              <w:spacing w:before="0" w:after="0" w:line="240" w:lineRule="auto"/>
              <w:jc w:val="lef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Unit costs</w:t>
            </w:r>
          </w:p>
        </w:tc>
        <w:tc>
          <w:tcPr>
            <w:tcW w:w="1057" w:type="dxa"/>
            <w:tcBorders>
              <w:top w:val="nil"/>
              <w:left w:val="single" w:sz="8" w:space="0" w:color="auto"/>
              <w:bottom w:val="nil"/>
              <w:right w:val="nil"/>
            </w:tcBorders>
            <w:shd w:val="clear" w:color="000000" w:fill="FFFFFF"/>
            <w:noWrap/>
            <w:vAlign w:val="bottom"/>
            <w:hideMark/>
          </w:tcPr>
          <w:p w14:paraId="71EE8FB4"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-5,881,793</w:t>
            </w:r>
          </w:p>
        </w:tc>
        <w:tc>
          <w:tcPr>
            <w:tcW w:w="1058" w:type="dxa"/>
            <w:tcBorders>
              <w:top w:val="nil"/>
              <w:left w:val="nil"/>
              <w:bottom w:val="nil"/>
              <w:right w:val="nil"/>
            </w:tcBorders>
            <w:shd w:val="clear" w:color="000000" w:fill="FFFFFF"/>
            <w:noWrap/>
            <w:vAlign w:val="bottom"/>
            <w:hideMark/>
          </w:tcPr>
          <w:p w14:paraId="680BD6B6"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-8,994,413</w:t>
            </w:r>
          </w:p>
        </w:tc>
        <w:tc>
          <w:tcPr>
            <w:tcW w:w="1058" w:type="dxa"/>
            <w:tcBorders>
              <w:top w:val="nil"/>
              <w:left w:val="nil"/>
              <w:bottom w:val="nil"/>
              <w:right w:val="nil"/>
            </w:tcBorders>
            <w:shd w:val="clear" w:color="000000" w:fill="FFFFFF"/>
            <w:noWrap/>
            <w:vAlign w:val="bottom"/>
            <w:hideMark/>
          </w:tcPr>
          <w:p w14:paraId="2938FABB"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-8.66</w:t>
            </w:r>
          </w:p>
        </w:tc>
        <w:tc>
          <w:tcPr>
            <w:tcW w:w="1058" w:type="dxa"/>
            <w:tcBorders>
              <w:top w:val="nil"/>
              <w:left w:val="nil"/>
              <w:bottom w:val="nil"/>
              <w:right w:val="single" w:sz="8" w:space="0" w:color="auto"/>
            </w:tcBorders>
            <w:shd w:val="clear" w:color="000000" w:fill="FFFFFF"/>
            <w:noWrap/>
            <w:vAlign w:val="bottom"/>
            <w:hideMark/>
          </w:tcPr>
          <w:p w14:paraId="09F7A005"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-8.47</w:t>
            </w:r>
          </w:p>
        </w:tc>
        <w:tc>
          <w:tcPr>
            <w:tcW w:w="1058" w:type="dxa"/>
            <w:tcBorders>
              <w:top w:val="nil"/>
              <w:left w:val="nil"/>
              <w:bottom w:val="nil"/>
              <w:right w:val="nil"/>
            </w:tcBorders>
            <w:shd w:val="clear" w:color="000000" w:fill="FFFFFF"/>
            <w:noWrap/>
            <w:vAlign w:val="bottom"/>
            <w:hideMark/>
          </w:tcPr>
          <w:p w14:paraId="7BC28940"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30,007,395</w:t>
            </w:r>
          </w:p>
        </w:tc>
        <w:tc>
          <w:tcPr>
            <w:tcW w:w="1058" w:type="dxa"/>
            <w:tcBorders>
              <w:top w:val="nil"/>
              <w:left w:val="nil"/>
              <w:bottom w:val="nil"/>
              <w:right w:val="nil"/>
            </w:tcBorders>
            <w:shd w:val="clear" w:color="000000" w:fill="FFFFFF"/>
            <w:noWrap/>
            <w:vAlign w:val="bottom"/>
            <w:hideMark/>
          </w:tcPr>
          <w:p w14:paraId="7118473F"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45,702,464</w:t>
            </w:r>
          </w:p>
        </w:tc>
        <w:tc>
          <w:tcPr>
            <w:tcW w:w="1058" w:type="dxa"/>
            <w:tcBorders>
              <w:top w:val="nil"/>
              <w:left w:val="nil"/>
              <w:bottom w:val="nil"/>
              <w:right w:val="nil"/>
            </w:tcBorders>
            <w:shd w:val="clear" w:color="000000" w:fill="FFFFFF"/>
            <w:noWrap/>
            <w:vAlign w:val="bottom"/>
            <w:hideMark/>
          </w:tcPr>
          <w:p w14:paraId="4B722469"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44.20</w:t>
            </w:r>
          </w:p>
        </w:tc>
        <w:tc>
          <w:tcPr>
            <w:tcW w:w="1058" w:type="dxa"/>
            <w:tcBorders>
              <w:top w:val="nil"/>
              <w:left w:val="nil"/>
              <w:bottom w:val="nil"/>
              <w:right w:val="single" w:sz="8" w:space="0" w:color="auto"/>
            </w:tcBorders>
            <w:shd w:val="clear" w:color="000000" w:fill="FFFFFF"/>
            <w:noWrap/>
            <w:vAlign w:val="bottom"/>
            <w:hideMark/>
          </w:tcPr>
          <w:p w14:paraId="74EBB8F7"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43.06</w:t>
            </w:r>
          </w:p>
        </w:tc>
      </w:tr>
      <w:tr w:rsidR="007D0070" w:rsidRPr="00A21644" w14:paraId="65E2999F" w14:textId="77777777" w:rsidTr="007D0070">
        <w:trPr>
          <w:trHeight w:val="312"/>
        </w:trPr>
        <w:tc>
          <w:tcPr>
            <w:tcW w:w="410" w:type="dxa"/>
            <w:tcBorders>
              <w:top w:val="nil"/>
              <w:left w:val="single" w:sz="8" w:space="0" w:color="auto"/>
              <w:bottom w:val="nil"/>
              <w:right w:val="single" w:sz="8" w:space="0" w:color="auto"/>
            </w:tcBorders>
            <w:shd w:val="clear" w:color="000000" w:fill="FFFFFF"/>
            <w:noWrap/>
            <w:vAlign w:val="bottom"/>
            <w:hideMark/>
          </w:tcPr>
          <w:p w14:paraId="0562CA05" w14:textId="77777777" w:rsidR="007D0070" w:rsidRPr="007D0070" w:rsidRDefault="007D0070" w:rsidP="007D0070">
            <w:pPr>
              <w:spacing w:before="0" w:after="0" w:line="240" w:lineRule="auto"/>
              <w:jc w:val="center"/>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8</w:t>
            </w:r>
          </w:p>
        </w:tc>
        <w:tc>
          <w:tcPr>
            <w:tcW w:w="2000" w:type="dxa"/>
            <w:tcBorders>
              <w:top w:val="nil"/>
              <w:left w:val="nil"/>
              <w:bottom w:val="nil"/>
              <w:right w:val="nil"/>
            </w:tcBorders>
            <w:shd w:val="clear" w:color="000000" w:fill="FFFFFF"/>
            <w:noWrap/>
            <w:vAlign w:val="bottom"/>
            <w:hideMark/>
          </w:tcPr>
          <w:p w14:paraId="39ECD5D1" w14:textId="77777777" w:rsidR="007D0070" w:rsidRPr="007D0070" w:rsidRDefault="007D0070" w:rsidP="007D0070">
            <w:pPr>
              <w:spacing w:before="0" w:after="0" w:line="240" w:lineRule="auto"/>
              <w:jc w:val="lef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Hours caregiver</w:t>
            </w:r>
          </w:p>
        </w:tc>
        <w:tc>
          <w:tcPr>
            <w:tcW w:w="1057" w:type="dxa"/>
            <w:tcBorders>
              <w:top w:val="nil"/>
              <w:left w:val="single" w:sz="8" w:space="0" w:color="auto"/>
              <w:bottom w:val="nil"/>
              <w:right w:val="nil"/>
            </w:tcBorders>
            <w:shd w:val="clear" w:color="000000" w:fill="FFFFFF"/>
            <w:noWrap/>
            <w:vAlign w:val="bottom"/>
            <w:hideMark/>
          </w:tcPr>
          <w:p w14:paraId="4DD38F03"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-2,167,599</w:t>
            </w:r>
          </w:p>
        </w:tc>
        <w:tc>
          <w:tcPr>
            <w:tcW w:w="1058" w:type="dxa"/>
            <w:tcBorders>
              <w:top w:val="nil"/>
              <w:left w:val="nil"/>
              <w:bottom w:val="nil"/>
              <w:right w:val="nil"/>
            </w:tcBorders>
            <w:shd w:val="clear" w:color="000000" w:fill="FFFFFF"/>
            <w:noWrap/>
            <w:vAlign w:val="bottom"/>
            <w:hideMark/>
          </w:tcPr>
          <w:p w14:paraId="482248FF"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-3,369,797</w:t>
            </w:r>
          </w:p>
        </w:tc>
        <w:tc>
          <w:tcPr>
            <w:tcW w:w="1058" w:type="dxa"/>
            <w:tcBorders>
              <w:top w:val="nil"/>
              <w:left w:val="nil"/>
              <w:bottom w:val="nil"/>
              <w:right w:val="nil"/>
            </w:tcBorders>
            <w:shd w:val="clear" w:color="000000" w:fill="FFFFFF"/>
            <w:noWrap/>
            <w:vAlign w:val="bottom"/>
            <w:hideMark/>
          </w:tcPr>
          <w:p w14:paraId="66572F7B"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-3.19</w:t>
            </w:r>
          </w:p>
        </w:tc>
        <w:tc>
          <w:tcPr>
            <w:tcW w:w="1058" w:type="dxa"/>
            <w:tcBorders>
              <w:top w:val="nil"/>
              <w:left w:val="nil"/>
              <w:bottom w:val="nil"/>
              <w:right w:val="single" w:sz="8" w:space="0" w:color="auto"/>
            </w:tcBorders>
            <w:shd w:val="clear" w:color="000000" w:fill="FFFFFF"/>
            <w:noWrap/>
            <w:vAlign w:val="bottom"/>
            <w:hideMark/>
          </w:tcPr>
          <w:p w14:paraId="39C58183"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-3.18</w:t>
            </w:r>
          </w:p>
        </w:tc>
        <w:tc>
          <w:tcPr>
            <w:tcW w:w="1058" w:type="dxa"/>
            <w:tcBorders>
              <w:top w:val="nil"/>
              <w:left w:val="nil"/>
              <w:bottom w:val="nil"/>
              <w:right w:val="nil"/>
            </w:tcBorders>
            <w:shd w:val="clear" w:color="000000" w:fill="FFFFFF"/>
            <w:noWrap/>
            <w:vAlign w:val="bottom"/>
            <w:hideMark/>
          </w:tcPr>
          <w:p w14:paraId="690653C8"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2,146,677</w:t>
            </w:r>
          </w:p>
        </w:tc>
        <w:tc>
          <w:tcPr>
            <w:tcW w:w="1058" w:type="dxa"/>
            <w:tcBorders>
              <w:top w:val="nil"/>
              <w:left w:val="nil"/>
              <w:bottom w:val="nil"/>
              <w:right w:val="nil"/>
            </w:tcBorders>
            <w:shd w:val="clear" w:color="000000" w:fill="FFFFFF"/>
            <w:noWrap/>
            <w:vAlign w:val="bottom"/>
            <w:hideMark/>
          </w:tcPr>
          <w:p w14:paraId="32C90DA7"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3,337,271</w:t>
            </w:r>
          </w:p>
        </w:tc>
        <w:tc>
          <w:tcPr>
            <w:tcW w:w="1058" w:type="dxa"/>
            <w:tcBorders>
              <w:top w:val="nil"/>
              <w:left w:val="nil"/>
              <w:bottom w:val="nil"/>
              <w:right w:val="nil"/>
            </w:tcBorders>
            <w:shd w:val="clear" w:color="000000" w:fill="FFFFFF"/>
            <w:noWrap/>
            <w:vAlign w:val="bottom"/>
            <w:hideMark/>
          </w:tcPr>
          <w:p w14:paraId="661D8C05"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3.16</w:t>
            </w:r>
          </w:p>
        </w:tc>
        <w:tc>
          <w:tcPr>
            <w:tcW w:w="1058" w:type="dxa"/>
            <w:tcBorders>
              <w:top w:val="nil"/>
              <w:left w:val="nil"/>
              <w:bottom w:val="nil"/>
              <w:right w:val="single" w:sz="8" w:space="0" w:color="auto"/>
            </w:tcBorders>
            <w:shd w:val="clear" w:color="000000" w:fill="FFFFFF"/>
            <w:noWrap/>
            <w:vAlign w:val="bottom"/>
            <w:hideMark/>
          </w:tcPr>
          <w:p w14:paraId="1691792E"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3.14</w:t>
            </w:r>
          </w:p>
        </w:tc>
      </w:tr>
      <w:tr w:rsidR="007D0070" w:rsidRPr="00A21644" w14:paraId="63ED05F4" w14:textId="77777777" w:rsidTr="007D0070">
        <w:trPr>
          <w:trHeight w:val="312"/>
        </w:trPr>
        <w:tc>
          <w:tcPr>
            <w:tcW w:w="410" w:type="dxa"/>
            <w:tcBorders>
              <w:top w:val="nil"/>
              <w:left w:val="single" w:sz="8" w:space="0" w:color="auto"/>
              <w:bottom w:val="nil"/>
              <w:right w:val="single" w:sz="8" w:space="0" w:color="auto"/>
            </w:tcBorders>
            <w:shd w:val="clear" w:color="000000" w:fill="FFFFFF"/>
            <w:noWrap/>
            <w:vAlign w:val="bottom"/>
            <w:hideMark/>
          </w:tcPr>
          <w:p w14:paraId="412C66A4" w14:textId="77777777" w:rsidR="007D0070" w:rsidRPr="007D0070" w:rsidRDefault="007D0070" w:rsidP="007D0070">
            <w:pPr>
              <w:spacing w:before="0" w:after="0" w:line="240" w:lineRule="auto"/>
              <w:jc w:val="center"/>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9</w:t>
            </w:r>
          </w:p>
        </w:tc>
        <w:tc>
          <w:tcPr>
            <w:tcW w:w="2000" w:type="dxa"/>
            <w:tcBorders>
              <w:top w:val="nil"/>
              <w:left w:val="nil"/>
              <w:bottom w:val="nil"/>
              <w:right w:val="nil"/>
            </w:tcBorders>
            <w:shd w:val="clear" w:color="000000" w:fill="FFFFFF"/>
            <w:noWrap/>
            <w:vAlign w:val="bottom"/>
            <w:hideMark/>
          </w:tcPr>
          <w:p w14:paraId="5F6A8169" w14:textId="77777777" w:rsidR="007D0070" w:rsidRPr="007D0070" w:rsidRDefault="007D0070" w:rsidP="007D0070">
            <w:pPr>
              <w:spacing w:before="0" w:after="0" w:line="240" w:lineRule="auto"/>
              <w:jc w:val="lef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Formal / informal care</w:t>
            </w:r>
          </w:p>
        </w:tc>
        <w:tc>
          <w:tcPr>
            <w:tcW w:w="1057" w:type="dxa"/>
            <w:tcBorders>
              <w:top w:val="nil"/>
              <w:left w:val="single" w:sz="8" w:space="0" w:color="auto"/>
              <w:bottom w:val="nil"/>
              <w:right w:val="nil"/>
            </w:tcBorders>
            <w:shd w:val="clear" w:color="000000" w:fill="FFFFFF"/>
            <w:noWrap/>
            <w:vAlign w:val="bottom"/>
            <w:hideMark/>
          </w:tcPr>
          <w:p w14:paraId="13F37F33"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-68,578</w:t>
            </w:r>
          </w:p>
        </w:tc>
        <w:tc>
          <w:tcPr>
            <w:tcW w:w="1058" w:type="dxa"/>
            <w:tcBorders>
              <w:top w:val="nil"/>
              <w:left w:val="nil"/>
              <w:bottom w:val="nil"/>
              <w:right w:val="nil"/>
            </w:tcBorders>
            <w:shd w:val="clear" w:color="000000" w:fill="FFFFFF"/>
            <w:noWrap/>
            <w:vAlign w:val="bottom"/>
            <w:hideMark/>
          </w:tcPr>
          <w:p w14:paraId="7F638A23"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-106,613</w:t>
            </w:r>
          </w:p>
        </w:tc>
        <w:tc>
          <w:tcPr>
            <w:tcW w:w="1058" w:type="dxa"/>
            <w:tcBorders>
              <w:top w:val="nil"/>
              <w:left w:val="nil"/>
              <w:bottom w:val="nil"/>
              <w:right w:val="nil"/>
            </w:tcBorders>
            <w:shd w:val="clear" w:color="000000" w:fill="FFFFFF"/>
            <w:noWrap/>
            <w:vAlign w:val="bottom"/>
            <w:hideMark/>
          </w:tcPr>
          <w:p w14:paraId="28B74CEA"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-0.10</w:t>
            </w:r>
          </w:p>
        </w:tc>
        <w:tc>
          <w:tcPr>
            <w:tcW w:w="1058" w:type="dxa"/>
            <w:tcBorders>
              <w:top w:val="nil"/>
              <w:left w:val="nil"/>
              <w:bottom w:val="nil"/>
              <w:right w:val="single" w:sz="8" w:space="0" w:color="auto"/>
            </w:tcBorders>
            <w:shd w:val="clear" w:color="000000" w:fill="FFFFFF"/>
            <w:noWrap/>
            <w:vAlign w:val="bottom"/>
            <w:hideMark/>
          </w:tcPr>
          <w:p w14:paraId="1B0E6B93"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-0.10</w:t>
            </w:r>
          </w:p>
        </w:tc>
        <w:tc>
          <w:tcPr>
            <w:tcW w:w="1058" w:type="dxa"/>
            <w:tcBorders>
              <w:top w:val="nil"/>
              <w:left w:val="nil"/>
              <w:bottom w:val="nil"/>
              <w:right w:val="nil"/>
            </w:tcBorders>
            <w:shd w:val="clear" w:color="000000" w:fill="FFFFFF"/>
            <w:noWrap/>
            <w:vAlign w:val="bottom"/>
            <w:hideMark/>
          </w:tcPr>
          <w:p w14:paraId="1341B395"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69,815</w:t>
            </w:r>
          </w:p>
        </w:tc>
        <w:tc>
          <w:tcPr>
            <w:tcW w:w="1058" w:type="dxa"/>
            <w:tcBorders>
              <w:top w:val="nil"/>
              <w:left w:val="nil"/>
              <w:bottom w:val="nil"/>
              <w:right w:val="nil"/>
            </w:tcBorders>
            <w:shd w:val="clear" w:color="000000" w:fill="FFFFFF"/>
            <w:noWrap/>
            <w:vAlign w:val="bottom"/>
            <w:hideMark/>
          </w:tcPr>
          <w:p w14:paraId="5A93120D"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108,536</w:t>
            </w:r>
          </w:p>
        </w:tc>
        <w:tc>
          <w:tcPr>
            <w:tcW w:w="1058" w:type="dxa"/>
            <w:tcBorders>
              <w:top w:val="nil"/>
              <w:left w:val="nil"/>
              <w:bottom w:val="nil"/>
              <w:right w:val="nil"/>
            </w:tcBorders>
            <w:shd w:val="clear" w:color="000000" w:fill="FFFFFF"/>
            <w:noWrap/>
            <w:vAlign w:val="bottom"/>
            <w:hideMark/>
          </w:tcPr>
          <w:p w14:paraId="57285C08"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0.10</w:t>
            </w:r>
          </w:p>
        </w:tc>
        <w:tc>
          <w:tcPr>
            <w:tcW w:w="1058" w:type="dxa"/>
            <w:tcBorders>
              <w:top w:val="nil"/>
              <w:left w:val="nil"/>
              <w:bottom w:val="nil"/>
              <w:right w:val="single" w:sz="8" w:space="0" w:color="auto"/>
            </w:tcBorders>
            <w:shd w:val="clear" w:color="000000" w:fill="FFFFFF"/>
            <w:noWrap/>
            <w:vAlign w:val="bottom"/>
            <w:hideMark/>
          </w:tcPr>
          <w:p w14:paraId="425F7A8B"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0.10</w:t>
            </w:r>
          </w:p>
        </w:tc>
      </w:tr>
      <w:tr w:rsidR="007D0070" w:rsidRPr="00A21644" w14:paraId="7BD94C34" w14:textId="77777777" w:rsidTr="007D0070">
        <w:trPr>
          <w:trHeight w:val="312"/>
        </w:trPr>
        <w:tc>
          <w:tcPr>
            <w:tcW w:w="410" w:type="dxa"/>
            <w:tcBorders>
              <w:top w:val="nil"/>
              <w:left w:val="single" w:sz="8" w:space="0" w:color="auto"/>
              <w:bottom w:val="nil"/>
              <w:right w:val="single" w:sz="8" w:space="0" w:color="auto"/>
            </w:tcBorders>
            <w:shd w:val="clear" w:color="000000" w:fill="FFFFFF"/>
            <w:noWrap/>
            <w:vAlign w:val="bottom"/>
            <w:hideMark/>
          </w:tcPr>
          <w:p w14:paraId="170A4B38" w14:textId="77777777" w:rsidR="007D0070" w:rsidRPr="007D0070" w:rsidRDefault="007D0070" w:rsidP="007D0070">
            <w:pPr>
              <w:spacing w:before="0" w:after="0" w:line="240" w:lineRule="auto"/>
              <w:jc w:val="center"/>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10</w:t>
            </w:r>
          </w:p>
        </w:tc>
        <w:tc>
          <w:tcPr>
            <w:tcW w:w="2000" w:type="dxa"/>
            <w:tcBorders>
              <w:top w:val="nil"/>
              <w:left w:val="nil"/>
              <w:bottom w:val="nil"/>
              <w:right w:val="nil"/>
            </w:tcBorders>
            <w:shd w:val="clear" w:color="000000" w:fill="FFFFFF"/>
            <w:noWrap/>
            <w:vAlign w:val="bottom"/>
            <w:hideMark/>
          </w:tcPr>
          <w:p w14:paraId="00F45434" w14:textId="77777777" w:rsidR="007D0070" w:rsidRPr="007D0070" w:rsidRDefault="007D0070" w:rsidP="007D0070">
            <w:pPr>
              <w:spacing w:before="0" w:after="0" w:line="240" w:lineRule="auto"/>
              <w:jc w:val="lef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Time spent visits, etc.</w:t>
            </w:r>
          </w:p>
        </w:tc>
        <w:tc>
          <w:tcPr>
            <w:tcW w:w="1057" w:type="dxa"/>
            <w:tcBorders>
              <w:top w:val="nil"/>
              <w:left w:val="single" w:sz="8" w:space="0" w:color="auto"/>
              <w:bottom w:val="nil"/>
              <w:right w:val="nil"/>
            </w:tcBorders>
            <w:shd w:val="clear" w:color="000000" w:fill="FFFFFF"/>
            <w:noWrap/>
            <w:vAlign w:val="bottom"/>
            <w:hideMark/>
          </w:tcPr>
          <w:p w14:paraId="384EEC7D"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-486,540</w:t>
            </w:r>
          </w:p>
        </w:tc>
        <w:tc>
          <w:tcPr>
            <w:tcW w:w="1058" w:type="dxa"/>
            <w:tcBorders>
              <w:top w:val="nil"/>
              <w:left w:val="nil"/>
              <w:bottom w:val="nil"/>
              <w:right w:val="nil"/>
            </w:tcBorders>
            <w:shd w:val="clear" w:color="000000" w:fill="FFFFFF"/>
            <w:noWrap/>
            <w:vAlign w:val="bottom"/>
            <w:hideMark/>
          </w:tcPr>
          <w:p w14:paraId="46D34796"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-756,386</w:t>
            </w:r>
          </w:p>
        </w:tc>
        <w:tc>
          <w:tcPr>
            <w:tcW w:w="1058" w:type="dxa"/>
            <w:tcBorders>
              <w:top w:val="nil"/>
              <w:left w:val="nil"/>
              <w:bottom w:val="nil"/>
              <w:right w:val="nil"/>
            </w:tcBorders>
            <w:shd w:val="clear" w:color="000000" w:fill="FFFFFF"/>
            <w:noWrap/>
            <w:vAlign w:val="bottom"/>
            <w:hideMark/>
          </w:tcPr>
          <w:p w14:paraId="326E1212"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-0.72</w:t>
            </w:r>
          </w:p>
        </w:tc>
        <w:tc>
          <w:tcPr>
            <w:tcW w:w="1058" w:type="dxa"/>
            <w:tcBorders>
              <w:top w:val="nil"/>
              <w:left w:val="nil"/>
              <w:bottom w:val="nil"/>
              <w:right w:val="single" w:sz="8" w:space="0" w:color="auto"/>
            </w:tcBorders>
            <w:shd w:val="clear" w:color="000000" w:fill="FFFFFF"/>
            <w:noWrap/>
            <w:vAlign w:val="bottom"/>
            <w:hideMark/>
          </w:tcPr>
          <w:p w14:paraId="43B80871"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-0.71</w:t>
            </w:r>
          </w:p>
        </w:tc>
        <w:tc>
          <w:tcPr>
            <w:tcW w:w="1058" w:type="dxa"/>
            <w:tcBorders>
              <w:top w:val="nil"/>
              <w:left w:val="nil"/>
              <w:bottom w:val="nil"/>
              <w:right w:val="nil"/>
            </w:tcBorders>
            <w:shd w:val="clear" w:color="000000" w:fill="FFFFFF"/>
            <w:noWrap/>
            <w:vAlign w:val="bottom"/>
            <w:hideMark/>
          </w:tcPr>
          <w:p w14:paraId="0628B0F8"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486,540</w:t>
            </w:r>
          </w:p>
        </w:tc>
        <w:tc>
          <w:tcPr>
            <w:tcW w:w="1058" w:type="dxa"/>
            <w:tcBorders>
              <w:top w:val="nil"/>
              <w:left w:val="nil"/>
              <w:bottom w:val="nil"/>
              <w:right w:val="nil"/>
            </w:tcBorders>
            <w:shd w:val="clear" w:color="000000" w:fill="FFFFFF"/>
            <w:noWrap/>
            <w:vAlign w:val="bottom"/>
            <w:hideMark/>
          </w:tcPr>
          <w:p w14:paraId="6219CC5E"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756,386</w:t>
            </w:r>
          </w:p>
        </w:tc>
        <w:tc>
          <w:tcPr>
            <w:tcW w:w="1058" w:type="dxa"/>
            <w:tcBorders>
              <w:top w:val="nil"/>
              <w:left w:val="nil"/>
              <w:bottom w:val="nil"/>
              <w:right w:val="nil"/>
            </w:tcBorders>
            <w:shd w:val="clear" w:color="000000" w:fill="FFFFFF"/>
            <w:noWrap/>
            <w:vAlign w:val="bottom"/>
            <w:hideMark/>
          </w:tcPr>
          <w:p w14:paraId="12C22DC8"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0.72</w:t>
            </w:r>
          </w:p>
        </w:tc>
        <w:tc>
          <w:tcPr>
            <w:tcW w:w="1058" w:type="dxa"/>
            <w:tcBorders>
              <w:top w:val="nil"/>
              <w:left w:val="nil"/>
              <w:bottom w:val="nil"/>
              <w:right w:val="single" w:sz="8" w:space="0" w:color="auto"/>
            </w:tcBorders>
            <w:shd w:val="clear" w:color="000000" w:fill="FFFFFF"/>
            <w:noWrap/>
            <w:vAlign w:val="bottom"/>
            <w:hideMark/>
          </w:tcPr>
          <w:p w14:paraId="3E632042"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0.71</w:t>
            </w:r>
          </w:p>
        </w:tc>
      </w:tr>
      <w:tr w:rsidR="007D0070" w:rsidRPr="00A21644" w14:paraId="57C83C79" w14:textId="77777777" w:rsidTr="007D0070">
        <w:trPr>
          <w:trHeight w:val="312"/>
        </w:trPr>
        <w:tc>
          <w:tcPr>
            <w:tcW w:w="410" w:type="dxa"/>
            <w:tcBorders>
              <w:top w:val="nil"/>
              <w:left w:val="single" w:sz="8" w:space="0" w:color="auto"/>
              <w:bottom w:val="nil"/>
              <w:right w:val="single" w:sz="8" w:space="0" w:color="auto"/>
            </w:tcBorders>
            <w:shd w:val="clear" w:color="000000" w:fill="FFFFFF"/>
            <w:noWrap/>
            <w:vAlign w:val="bottom"/>
            <w:hideMark/>
          </w:tcPr>
          <w:p w14:paraId="5A4D6AFD" w14:textId="77777777" w:rsidR="007D0070" w:rsidRPr="007D0070" w:rsidRDefault="007D0070" w:rsidP="007D0070">
            <w:pPr>
              <w:spacing w:before="0" w:after="0" w:line="240" w:lineRule="auto"/>
              <w:jc w:val="center"/>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11</w:t>
            </w:r>
          </w:p>
        </w:tc>
        <w:tc>
          <w:tcPr>
            <w:tcW w:w="2000" w:type="dxa"/>
            <w:tcBorders>
              <w:top w:val="nil"/>
              <w:left w:val="nil"/>
              <w:bottom w:val="nil"/>
              <w:right w:val="nil"/>
            </w:tcBorders>
            <w:shd w:val="clear" w:color="000000" w:fill="FFFFFF"/>
            <w:noWrap/>
            <w:vAlign w:val="bottom"/>
            <w:hideMark/>
          </w:tcPr>
          <w:p w14:paraId="670E4EBD" w14:textId="77777777" w:rsidR="007D0070" w:rsidRPr="007D0070" w:rsidRDefault="007D0070" w:rsidP="007D0070">
            <w:pPr>
              <w:spacing w:before="0" w:after="0" w:line="240" w:lineRule="auto"/>
              <w:jc w:val="lef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Wages / working hours</w:t>
            </w:r>
          </w:p>
        </w:tc>
        <w:tc>
          <w:tcPr>
            <w:tcW w:w="1057" w:type="dxa"/>
            <w:tcBorders>
              <w:top w:val="nil"/>
              <w:left w:val="single" w:sz="8" w:space="0" w:color="auto"/>
              <w:bottom w:val="nil"/>
              <w:right w:val="nil"/>
            </w:tcBorders>
            <w:shd w:val="clear" w:color="000000" w:fill="FFFFFF"/>
            <w:noWrap/>
            <w:vAlign w:val="bottom"/>
            <w:hideMark/>
          </w:tcPr>
          <w:p w14:paraId="2AEF98E8"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-1,858,290</w:t>
            </w:r>
          </w:p>
        </w:tc>
        <w:tc>
          <w:tcPr>
            <w:tcW w:w="1058" w:type="dxa"/>
            <w:tcBorders>
              <w:top w:val="nil"/>
              <w:left w:val="nil"/>
              <w:bottom w:val="nil"/>
              <w:right w:val="nil"/>
            </w:tcBorders>
            <w:shd w:val="clear" w:color="000000" w:fill="FFFFFF"/>
            <w:noWrap/>
            <w:vAlign w:val="bottom"/>
            <w:hideMark/>
          </w:tcPr>
          <w:p w14:paraId="44C9B381"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-2,968,866</w:t>
            </w:r>
          </w:p>
        </w:tc>
        <w:tc>
          <w:tcPr>
            <w:tcW w:w="1058" w:type="dxa"/>
            <w:tcBorders>
              <w:top w:val="nil"/>
              <w:left w:val="nil"/>
              <w:bottom w:val="nil"/>
              <w:right w:val="nil"/>
            </w:tcBorders>
            <w:shd w:val="clear" w:color="000000" w:fill="FFFFFF"/>
            <w:noWrap/>
            <w:vAlign w:val="bottom"/>
            <w:hideMark/>
          </w:tcPr>
          <w:p w14:paraId="08F830B0"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-2.74</w:t>
            </w:r>
          </w:p>
        </w:tc>
        <w:tc>
          <w:tcPr>
            <w:tcW w:w="1058" w:type="dxa"/>
            <w:tcBorders>
              <w:top w:val="nil"/>
              <w:left w:val="nil"/>
              <w:bottom w:val="nil"/>
              <w:right w:val="single" w:sz="8" w:space="0" w:color="auto"/>
            </w:tcBorders>
            <w:shd w:val="clear" w:color="000000" w:fill="FFFFFF"/>
            <w:noWrap/>
            <w:vAlign w:val="bottom"/>
            <w:hideMark/>
          </w:tcPr>
          <w:p w14:paraId="347074BA"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-2.80</w:t>
            </w:r>
          </w:p>
        </w:tc>
        <w:tc>
          <w:tcPr>
            <w:tcW w:w="1058" w:type="dxa"/>
            <w:tcBorders>
              <w:top w:val="nil"/>
              <w:left w:val="nil"/>
              <w:bottom w:val="nil"/>
              <w:right w:val="nil"/>
            </w:tcBorders>
            <w:shd w:val="clear" w:color="000000" w:fill="FFFFFF"/>
            <w:noWrap/>
            <w:vAlign w:val="bottom"/>
            <w:hideMark/>
          </w:tcPr>
          <w:p w14:paraId="593AE487"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1,931,547</w:t>
            </w:r>
          </w:p>
        </w:tc>
        <w:tc>
          <w:tcPr>
            <w:tcW w:w="1058" w:type="dxa"/>
            <w:tcBorders>
              <w:top w:val="nil"/>
              <w:left w:val="nil"/>
              <w:bottom w:val="nil"/>
              <w:right w:val="nil"/>
            </w:tcBorders>
            <w:shd w:val="clear" w:color="000000" w:fill="FFFFFF"/>
            <w:noWrap/>
            <w:vAlign w:val="bottom"/>
            <w:hideMark/>
          </w:tcPr>
          <w:p w14:paraId="435DEA88"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3,086,858</w:t>
            </w:r>
          </w:p>
        </w:tc>
        <w:tc>
          <w:tcPr>
            <w:tcW w:w="1058" w:type="dxa"/>
            <w:tcBorders>
              <w:top w:val="nil"/>
              <w:left w:val="nil"/>
              <w:bottom w:val="nil"/>
              <w:right w:val="nil"/>
            </w:tcBorders>
            <w:shd w:val="clear" w:color="000000" w:fill="FFFFFF"/>
            <w:noWrap/>
            <w:vAlign w:val="bottom"/>
            <w:hideMark/>
          </w:tcPr>
          <w:p w14:paraId="04FB34EF"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2.85</w:t>
            </w:r>
          </w:p>
        </w:tc>
        <w:tc>
          <w:tcPr>
            <w:tcW w:w="1058" w:type="dxa"/>
            <w:tcBorders>
              <w:top w:val="nil"/>
              <w:left w:val="nil"/>
              <w:bottom w:val="nil"/>
              <w:right w:val="single" w:sz="8" w:space="0" w:color="auto"/>
            </w:tcBorders>
            <w:shd w:val="clear" w:color="000000" w:fill="FFFFFF"/>
            <w:noWrap/>
            <w:vAlign w:val="bottom"/>
            <w:hideMark/>
          </w:tcPr>
          <w:p w14:paraId="342A59EA"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2.91</w:t>
            </w:r>
          </w:p>
        </w:tc>
      </w:tr>
      <w:tr w:rsidR="007D0070" w:rsidRPr="00A21644" w14:paraId="5F2227B6" w14:textId="77777777" w:rsidTr="007D0070">
        <w:trPr>
          <w:trHeight w:val="324"/>
        </w:trPr>
        <w:tc>
          <w:tcPr>
            <w:tcW w:w="410" w:type="dxa"/>
            <w:tcBorders>
              <w:top w:val="nil"/>
              <w:left w:val="single" w:sz="8" w:space="0" w:color="auto"/>
              <w:bottom w:val="single" w:sz="8" w:space="0" w:color="auto"/>
              <w:right w:val="single" w:sz="8" w:space="0" w:color="auto"/>
            </w:tcBorders>
            <w:shd w:val="clear" w:color="000000" w:fill="FFFFFF"/>
            <w:noWrap/>
            <w:vAlign w:val="bottom"/>
            <w:hideMark/>
          </w:tcPr>
          <w:p w14:paraId="37C4DF53" w14:textId="77777777" w:rsidR="007D0070" w:rsidRPr="007D0070" w:rsidRDefault="007D0070" w:rsidP="007D0070">
            <w:pPr>
              <w:spacing w:before="0" w:after="0" w:line="240" w:lineRule="auto"/>
              <w:jc w:val="center"/>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12</w:t>
            </w:r>
          </w:p>
        </w:tc>
        <w:tc>
          <w:tcPr>
            <w:tcW w:w="2000" w:type="dxa"/>
            <w:tcBorders>
              <w:top w:val="nil"/>
              <w:left w:val="nil"/>
              <w:bottom w:val="single" w:sz="8" w:space="0" w:color="auto"/>
              <w:right w:val="nil"/>
            </w:tcBorders>
            <w:shd w:val="clear" w:color="000000" w:fill="FFFFFF"/>
            <w:noWrap/>
            <w:vAlign w:val="bottom"/>
            <w:hideMark/>
          </w:tcPr>
          <w:p w14:paraId="16B8462D" w14:textId="77777777" w:rsidR="007D0070" w:rsidRPr="007D0070" w:rsidRDefault="007D0070" w:rsidP="007D0070">
            <w:pPr>
              <w:spacing w:before="0" w:after="0" w:line="240" w:lineRule="auto"/>
              <w:jc w:val="lef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Loss labour productivity</w:t>
            </w:r>
          </w:p>
        </w:tc>
        <w:tc>
          <w:tcPr>
            <w:tcW w:w="1057" w:type="dxa"/>
            <w:tcBorders>
              <w:top w:val="nil"/>
              <w:left w:val="single" w:sz="8" w:space="0" w:color="auto"/>
              <w:bottom w:val="single" w:sz="8" w:space="0" w:color="auto"/>
              <w:right w:val="nil"/>
            </w:tcBorders>
            <w:shd w:val="clear" w:color="000000" w:fill="FFFFFF"/>
            <w:noWrap/>
            <w:vAlign w:val="bottom"/>
            <w:hideMark/>
          </w:tcPr>
          <w:p w14:paraId="3668E9B7"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-1,000,533</w:t>
            </w:r>
          </w:p>
        </w:tc>
        <w:tc>
          <w:tcPr>
            <w:tcW w:w="1058" w:type="dxa"/>
            <w:tcBorders>
              <w:top w:val="nil"/>
              <w:left w:val="nil"/>
              <w:bottom w:val="single" w:sz="8" w:space="0" w:color="auto"/>
              <w:right w:val="nil"/>
            </w:tcBorders>
            <w:shd w:val="clear" w:color="000000" w:fill="FFFFFF"/>
            <w:noWrap/>
            <w:vAlign w:val="bottom"/>
            <w:hideMark/>
          </w:tcPr>
          <w:p w14:paraId="71DAE240"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-1,619,613</w:t>
            </w:r>
          </w:p>
        </w:tc>
        <w:tc>
          <w:tcPr>
            <w:tcW w:w="1058" w:type="dxa"/>
            <w:tcBorders>
              <w:top w:val="nil"/>
              <w:left w:val="nil"/>
              <w:bottom w:val="single" w:sz="8" w:space="0" w:color="auto"/>
              <w:right w:val="nil"/>
            </w:tcBorders>
            <w:shd w:val="clear" w:color="000000" w:fill="FFFFFF"/>
            <w:noWrap/>
            <w:vAlign w:val="bottom"/>
            <w:hideMark/>
          </w:tcPr>
          <w:p w14:paraId="7526AA1B"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-1.47</w:t>
            </w:r>
          </w:p>
        </w:tc>
        <w:tc>
          <w:tcPr>
            <w:tcW w:w="1058" w:type="dxa"/>
            <w:tcBorders>
              <w:top w:val="nil"/>
              <w:left w:val="nil"/>
              <w:bottom w:val="single" w:sz="8" w:space="0" w:color="auto"/>
              <w:right w:val="single" w:sz="8" w:space="0" w:color="auto"/>
            </w:tcBorders>
            <w:shd w:val="clear" w:color="000000" w:fill="FFFFFF"/>
            <w:noWrap/>
            <w:vAlign w:val="bottom"/>
            <w:hideMark/>
          </w:tcPr>
          <w:p w14:paraId="6758CD8F"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-1.53</w:t>
            </w:r>
          </w:p>
        </w:tc>
        <w:tc>
          <w:tcPr>
            <w:tcW w:w="1058" w:type="dxa"/>
            <w:tcBorders>
              <w:top w:val="nil"/>
              <w:left w:val="nil"/>
              <w:bottom w:val="single" w:sz="8" w:space="0" w:color="auto"/>
              <w:right w:val="nil"/>
            </w:tcBorders>
            <w:shd w:val="clear" w:color="000000" w:fill="FFFFFF"/>
            <w:noWrap/>
            <w:vAlign w:val="bottom"/>
            <w:hideMark/>
          </w:tcPr>
          <w:p w14:paraId="54D2DB9D"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597,156</w:t>
            </w:r>
          </w:p>
        </w:tc>
        <w:tc>
          <w:tcPr>
            <w:tcW w:w="1058" w:type="dxa"/>
            <w:tcBorders>
              <w:top w:val="nil"/>
              <w:left w:val="nil"/>
              <w:bottom w:val="single" w:sz="8" w:space="0" w:color="auto"/>
              <w:right w:val="nil"/>
            </w:tcBorders>
            <w:shd w:val="clear" w:color="000000" w:fill="FFFFFF"/>
            <w:noWrap/>
            <w:vAlign w:val="bottom"/>
            <w:hideMark/>
          </w:tcPr>
          <w:p w14:paraId="383FE8C2"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966,646</w:t>
            </w:r>
          </w:p>
        </w:tc>
        <w:tc>
          <w:tcPr>
            <w:tcW w:w="1058" w:type="dxa"/>
            <w:tcBorders>
              <w:top w:val="nil"/>
              <w:left w:val="nil"/>
              <w:bottom w:val="single" w:sz="8" w:space="0" w:color="auto"/>
              <w:right w:val="nil"/>
            </w:tcBorders>
            <w:shd w:val="clear" w:color="000000" w:fill="FFFFFF"/>
            <w:noWrap/>
            <w:vAlign w:val="bottom"/>
            <w:hideMark/>
          </w:tcPr>
          <w:p w14:paraId="06D12256"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0.88</w:t>
            </w:r>
          </w:p>
        </w:tc>
        <w:tc>
          <w:tcPr>
            <w:tcW w:w="1058" w:type="dxa"/>
            <w:tcBorders>
              <w:top w:val="nil"/>
              <w:left w:val="nil"/>
              <w:bottom w:val="single" w:sz="8" w:space="0" w:color="auto"/>
              <w:right w:val="single" w:sz="8" w:space="0" w:color="auto"/>
            </w:tcBorders>
            <w:shd w:val="clear" w:color="000000" w:fill="FFFFFF"/>
            <w:noWrap/>
            <w:vAlign w:val="bottom"/>
            <w:hideMark/>
          </w:tcPr>
          <w:p w14:paraId="201EF823" w14:textId="77777777" w:rsidR="007D0070" w:rsidRPr="007D0070" w:rsidRDefault="007D0070" w:rsidP="007D0070">
            <w:pPr>
              <w:spacing w:before="0" w:after="0" w:line="240" w:lineRule="auto"/>
              <w:jc w:val="right"/>
              <w:rPr>
                <w:rFonts w:ascii="Times New Roman" w:eastAsia="Times New Roman" w:hAnsi="Times New Roman" w:cs="Times New Roman"/>
                <w:color w:val="000000"/>
                <w:sz w:val="18"/>
                <w:szCs w:val="18"/>
                <w:lang w:val="en-GB" w:eastAsia="es-ES"/>
              </w:rPr>
            </w:pPr>
            <w:r w:rsidRPr="007D0070">
              <w:rPr>
                <w:rFonts w:ascii="Times New Roman" w:eastAsia="Times New Roman" w:hAnsi="Times New Roman" w:cs="Times New Roman"/>
                <w:color w:val="000000"/>
                <w:sz w:val="18"/>
                <w:szCs w:val="18"/>
                <w:lang w:val="en-GB" w:eastAsia="es-ES"/>
              </w:rPr>
              <w:t>0.91</w:t>
            </w:r>
          </w:p>
        </w:tc>
      </w:tr>
    </w:tbl>
    <w:p w14:paraId="5134F3CE" w14:textId="1BA5EBA8" w:rsidR="0011254F" w:rsidRPr="00910732" w:rsidRDefault="00B01DDF" w:rsidP="00910732">
      <w:pPr>
        <w:pStyle w:val="TITULOTABLASYFIGURAS"/>
        <w:spacing w:before="60"/>
        <w:rPr>
          <w:rFonts w:ascii="Times New Roman" w:hAnsi="Times New Roman" w:cs="Times New Roman"/>
          <w:smallCaps w:val="0"/>
          <w:color w:val="auto"/>
          <w:sz w:val="18"/>
          <w:szCs w:val="48"/>
          <w:lang w:val="en-GB"/>
        </w:rPr>
      </w:pPr>
      <w:r w:rsidRPr="00910732">
        <w:rPr>
          <w:rFonts w:ascii="Times New Roman" w:hAnsi="Times New Roman" w:cs="Times New Roman"/>
          <w:b/>
          <w:bCs/>
          <w:smallCaps w:val="0"/>
          <w:color w:val="auto"/>
          <w:sz w:val="18"/>
          <w:szCs w:val="48"/>
          <w:lang w:val="en-GB"/>
        </w:rPr>
        <w:t>HEPR</w:t>
      </w:r>
      <w:r w:rsidRPr="00910732">
        <w:rPr>
          <w:rFonts w:ascii="Times New Roman" w:hAnsi="Times New Roman" w:cs="Times New Roman"/>
          <w:smallCaps w:val="0"/>
          <w:color w:val="auto"/>
          <w:sz w:val="18"/>
          <w:szCs w:val="48"/>
          <w:lang w:val="en-GB"/>
        </w:rPr>
        <w:t xml:space="preserve">: higher-end prevalence range. </w:t>
      </w:r>
      <w:r w:rsidRPr="00910732">
        <w:rPr>
          <w:rFonts w:ascii="Times New Roman" w:hAnsi="Times New Roman" w:cs="Times New Roman"/>
          <w:b/>
          <w:bCs/>
          <w:smallCaps w:val="0"/>
          <w:color w:val="auto"/>
          <w:sz w:val="18"/>
          <w:szCs w:val="48"/>
          <w:lang w:val="en-GB"/>
        </w:rPr>
        <w:t>LEPR</w:t>
      </w:r>
      <w:r w:rsidRPr="00910732">
        <w:rPr>
          <w:rFonts w:ascii="Times New Roman" w:hAnsi="Times New Roman" w:cs="Times New Roman"/>
          <w:smallCaps w:val="0"/>
          <w:color w:val="auto"/>
          <w:sz w:val="18"/>
          <w:szCs w:val="48"/>
          <w:lang w:val="en-GB"/>
        </w:rPr>
        <w:t>: lower-end prevalence range</w:t>
      </w:r>
    </w:p>
    <w:p w14:paraId="7E2213C7" w14:textId="2D94F1EE" w:rsidR="00CD5C0F" w:rsidRPr="0021483B" w:rsidRDefault="00CD5C0F" w:rsidP="00CD5C0F">
      <w:pPr>
        <w:pStyle w:val="TITULOTABLASYFIGURAS"/>
        <w:spacing w:before="360"/>
        <w:rPr>
          <w:rFonts w:ascii="Times New Roman" w:hAnsi="Times New Roman" w:cs="Times New Roman"/>
          <w:b/>
          <w:bCs/>
          <w:smallCaps w:val="0"/>
          <w:color w:val="auto"/>
          <w:sz w:val="22"/>
          <w:szCs w:val="56"/>
          <w:lang w:val="en-GB"/>
        </w:rPr>
      </w:pPr>
      <w:r>
        <w:rPr>
          <w:rFonts w:ascii="Times New Roman" w:hAnsi="Times New Roman" w:cs="Times New Roman"/>
          <w:b/>
          <w:bCs/>
          <w:smallCaps w:val="0"/>
          <w:color w:val="auto"/>
          <w:sz w:val="22"/>
          <w:szCs w:val="56"/>
          <w:lang w:val="en-GB"/>
        </w:rPr>
        <w:t>Figure</w:t>
      </w:r>
      <w:r w:rsidRPr="0021483B">
        <w:rPr>
          <w:rFonts w:ascii="Times New Roman" w:hAnsi="Times New Roman" w:cs="Times New Roman"/>
          <w:b/>
          <w:bCs/>
          <w:smallCaps w:val="0"/>
          <w:color w:val="auto"/>
          <w:sz w:val="22"/>
          <w:szCs w:val="56"/>
          <w:lang w:val="en-GB"/>
        </w:rPr>
        <w:t xml:space="preserve"> (S2).</w:t>
      </w:r>
      <w:r w:rsidRPr="00CD5C0F">
        <w:rPr>
          <w:rFonts w:ascii="Times New Roman" w:hAnsi="Times New Roman" w:cs="Times New Roman"/>
          <w:b/>
          <w:bCs/>
          <w:smallCaps w:val="0"/>
          <w:color w:val="auto"/>
          <w:sz w:val="22"/>
          <w:szCs w:val="56"/>
          <w:lang w:val="en-GB"/>
        </w:rPr>
        <w:fldChar w:fldCharType="begin"/>
      </w:r>
      <w:r w:rsidRPr="00CD5C0F">
        <w:rPr>
          <w:rFonts w:ascii="Times New Roman" w:hAnsi="Times New Roman" w:cs="Times New Roman"/>
          <w:b/>
          <w:bCs/>
          <w:smallCaps w:val="0"/>
          <w:color w:val="auto"/>
          <w:sz w:val="22"/>
          <w:szCs w:val="56"/>
          <w:lang w:val="en-GB"/>
        </w:rPr>
        <w:instrText xml:space="preserve"> SEQ Figura \* ARABIC </w:instrText>
      </w:r>
      <w:r w:rsidRPr="00CD5C0F">
        <w:rPr>
          <w:rFonts w:ascii="Times New Roman" w:hAnsi="Times New Roman" w:cs="Times New Roman"/>
          <w:b/>
          <w:bCs/>
          <w:smallCaps w:val="0"/>
          <w:color w:val="auto"/>
          <w:sz w:val="22"/>
          <w:szCs w:val="56"/>
          <w:lang w:val="en-GB"/>
        </w:rPr>
        <w:fldChar w:fldCharType="separate"/>
      </w:r>
      <w:r>
        <w:rPr>
          <w:rFonts w:ascii="Times New Roman" w:hAnsi="Times New Roman" w:cs="Times New Roman"/>
          <w:b/>
          <w:bCs/>
          <w:smallCaps w:val="0"/>
          <w:noProof/>
          <w:color w:val="auto"/>
          <w:sz w:val="22"/>
          <w:szCs w:val="56"/>
          <w:lang w:val="en-GB"/>
        </w:rPr>
        <w:t>1</w:t>
      </w:r>
      <w:r w:rsidRPr="00CD5C0F">
        <w:rPr>
          <w:rFonts w:ascii="Times New Roman" w:hAnsi="Times New Roman" w:cs="Times New Roman"/>
          <w:b/>
          <w:bCs/>
          <w:smallCaps w:val="0"/>
          <w:color w:val="auto"/>
          <w:sz w:val="22"/>
          <w:szCs w:val="56"/>
          <w:lang w:val="en-GB"/>
        </w:rPr>
        <w:fldChar w:fldCharType="end"/>
      </w:r>
      <w:r w:rsidRPr="0021483B">
        <w:rPr>
          <w:rFonts w:ascii="Times New Roman" w:hAnsi="Times New Roman" w:cs="Times New Roman"/>
          <w:b/>
          <w:bCs/>
          <w:smallCaps w:val="0"/>
          <w:color w:val="auto"/>
          <w:sz w:val="22"/>
          <w:szCs w:val="56"/>
          <w:lang w:val="en-GB"/>
        </w:rPr>
        <w:t xml:space="preserve">: </w:t>
      </w:r>
      <w:r>
        <w:rPr>
          <w:rFonts w:ascii="Times New Roman" w:hAnsi="Times New Roman" w:cs="Times New Roman"/>
          <w:b/>
          <w:bCs/>
          <w:smallCaps w:val="0"/>
          <w:color w:val="auto"/>
          <w:sz w:val="22"/>
          <w:szCs w:val="56"/>
          <w:lang w:val="en-GB"/>
        </w:rPr>
        <w:t>Tornado diagram</w:t>
      </w:r>
      <w:r w:rsidR="00CA48C8">
        <w:rPr>
          <w:rFonts w:ascii="Times New Roman" w:hAnsi="Times New Roman" w:cs="Times New Roman"/>
          <w:b/>
          <w:bCs/>
          <w:smallCaps w:val="0"/>
          <w:color w:val="auto"/>
          <w:sz w:val="22"/>
          <w:szCs w:val="56"/>
          <w:lang w:val="en-GB"/>
        </w:rPr>
        <w:t xml:space="preserve">, % of variation in total costs </w:t>
      </w:r>
      <w:r w:rsidR="005C0917">
        <w:rPr>
          <w:rFonts w:ascii="Times New Roman" w:hAnsi="Times New Roman" w:cs="Times New Roman"/>
          <w:b/>
          <w:bCs/>
          <w:smallCaps w:val="0"/>
          <w:color w:val="auto"/>
          <w:sz w:val="22"/>
          <w:szCs w:val="56"/>
          <w:lang w:val="en-GB"/>
        </w:rPr>
        <w:t>vs. base case</w:t>
      </w:r>
      <w:r w:rsidRPr="0021483B">
        <w:rPr>
          <w:rFonts w:ascii="Times New Roman" w:hAnsi="Times New Roman" w:cs="Times New Roman"/>
          <w:b/>
          <w:bCs/>
          <w:smallCaps w:val="0"/>
          <w:color w:val="auto"/>
          <w:sz w:val="22"/>
          <w:szCs w:val="56"/>
          <w:lang w:val="en-GB"/>
        </w:rPr>
        <w:t xml:space="preserve"> </w:t>
      </w:r>
    </w:p>
    <w:p w14:paraId="6CA72D2E" w14:textId="46121280" w:rsidR="00CD5C0F" w:rsidRDefault="00C170CA" w:rsidP="00CD5C0F">
      <w:pPr>
        <w:spacing w:before="120" w:line="276" w:lineRule="auto"/>
        <w:rPr>
          <w:rFonts w:ascii="Times New Roman" w:hAnsi="Times New Roman" w:cs="Times New Roman"/>
          <w:sz w:val="24"/>
          <w:szCs w:val="24"/>
          <w:lang w:val="en-GB"/>
        </w:rPr>
      </w:pPr>
      <w:r>
        <w:rPr>
          <w:rFonts w:ascii="Times New Roman" w:hAnsi="Times New Roman" w:cs="Times New Roman"/>
          <w:noProof/>
          <w:sz w:val="24"/>
          <w:szCs w:val="24"/>
          <w:lang w:val="en-GB"/>
        </w:rPr>
        <w:drawing>
          <wp:inline distT="0" distB="0" distL="0" distR="0" wp14:anchorId="5E89899E" wp14:editId="6EC14891">
            <wp:extent cx="6840220" cy="3558540"/>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1">
                      <a:extLst>
                        <a:ext uri="{28A0092B-C50C-407E-A947-70E740481C1C}">
                          <a14:useLocalDpi xmlns:a14="http://schemas.microsoft.com/office/drawing/2010/main" val="0"/>
                        </a:ext>
                      </a:extLst>
                    </a:blip>
                    <a:stretch>
                      <a:fillRect/>
                    </a:stretch>
                  </pic:blipFill>
                  <pic:spPr>
                    <a:xfrm>
                      <a:off x="0" y="0"/>
                      <a:ext cx="6840220" cy="3558540"/>
                    </a:xfrm>
                    <a:prstGeom prst="rect">
                      <a:avLst/>
                    </a:prstGeom>
                  </pic:spPr>
                </pic:pic>
              </a:graphicData>
            </a:graphic>
          </wp:inline>
        </w:drawing>
      </w:r>
    </w:p>
    <w:p w14:paraId="2F48278D" w14:textId="77777777" w:rsidR="00CD5C0F" w:rsidRDefault="00CD5C0F" w:rsidP="000402AE">
      <w:pPr>
        <w:spacing w:before="120" w:line="276" w:lineRule="auto"/>
        <w:rPr>
          <w:rFonts w:ascii="Times New Roman" w:hAnsi="Times New Roman" w:cs="Times New Roman"/>
          <w:sz w:val="24"/>
          <w:szCs w:val="24"/>
          <w:lang w:val="en-GB"/>
        </w:rPr>
      </w:pPr>
    </w:p>
    <w:p w14:paraId="3520F446" w14:textId="77777777" w:rsidR="000E4574" w:rsidRDefault="000E4574" w:rsidP="000402AE">
      <w:pPr>
        <w:spacing w:before="120" w:line="276" w:lineRule="auto"/>
        <w:rPr>
          <w:rFonts w:ascii="Times New Roman" w:hAnsi="Times New Roman" w:cs="Times New Roman"/>
          <w:sz w:val="24"/>
          <w:szCs w:val="24"/>
          <w:lang w:val="en-GB"/>
        </w:rPr>
      </w:pPr>
    </w:p>
    <w:p w14:paraId="11AA7BCD" w14:textId="77777777" w:rsidR="00222241" w:rsidRDefault="00222241" w:rsidP="00C76FAB">
      <w:pPr>
        <w:spacing w:before="120"/>
        <w:ind w:left="708"/>
        <w:rPr>
          <w:rFonts w:ascii="Times New Roman" w:hAnsi="Times New Roman" w:cs="Times New Roman"/>
          <w:sz w:val="24"/>
          <w:szCs w:val="24"/>
          <w:lang w:val="en-GB"/>
        </w:rPr>
      </w:pPr>
    </w:p>
    <w:p w14:paraId="6FE3E705" w14:textId="77777777" w:rsidR="00222241" w:rsidRDefault="00222241" w:rsidP="00C76FAB">
      <w:pPr>
        <w:spacing w:before="120"/>
        <w:ind w:left="708"/>
        <w:rPr>
          <w:rFonts w:ascii="Times New Roman" w:hAnsi="Times New Roman" w:cs="Times New Roman"/>
          <w:sz w:val="24"/>
          <w:szCs w:val="24"/>
          <w:lang w:val="en-GB"/>
        </w:rPr>
      </w:pPr>
    </w:p>
    <w:p w14:paraId="6C0AE787" w14:textId="77777777" w:rsidR="00222241" w:rsidRDefault="00222241" w:rsidP="00C76FAB">
      <w:pPr>
        <w:spacing w:before="120"/>
        <w:ind w:left="708"/>
        <w:rPr>
          <w:rFonts w:ascii="Times New Roman" w:hAnsi="Times New Roman" w:cs="Times New Roman"/>
          <w:sz w:val="24"/>
          <w:szCs w:val="24"/>
          <w:lang w:val="en-GB"/>
        </w:rPr>
      </w:pPr>
    </w:p>
    <w:p w14:paraId="3D3A2BC8" w14:textId="77777777" w:rsidR="00A822BD" w:rsidRDefault="00A822BD">
      <w:pPr>
        <w:spacing w:before="0" w:after="160" w:line="259" w:lineRule="auto"/>
        <w:jc w:val="left"/>
        <w:rPr>
          <w:rFonts w:ascii="Times New Roman" w:hAnsi="Times New Roman" w:cs="Times New Roman"/>
          <w:b/>
          <w:bCs/>
          <w:spacing w:val="-10"/>
          <w:kern w:val="28"/>
          <w:sz w:val="28"/>
          <w:szCs w:val="28"/>
          <w:lang w:val="es-ES_tradnl"/>
        </w:rPr>
      </w:pPr>
      <w:bookmarkStart w:id="9" w:name="_Toc89351181"/>
      <w:bookmarkEnd w:id="0"/>
      <w:bookmarkEnd w:id="1"/>
      <w:bookmarkEnd w:id="2"/>
      <w:bookmarkEnd w:id="3"/>
      <w:bookmarkEnd w:id="4"/>
      <w:bookmarkEnd w:id="5"/>
      <w:bookmarkEnd w:id="6"/>
      <w:r>
        <w:rPr>
          <w:rFonts w:ascii="Times New Roman" w:hAnsi="Times New Roman" w:cs="Times New Roman"/>
          <w:b/>
          <w:bCs/>
          <w:sz w:val="28"/>
          <w:szCs w:val="28"/>
          <w:lang w:val="es-ES_tradnl"/>
        </w:rPr>
        <w:br w:type="page"/>
      </w:r>
    </w:p>
    <w:p w14:paraId="35622D34" w14:textId="570D887E" w:rsidR="00C311CA" w:rsidRPr="007B4152" w:rsidRDefault="004B3EDE" w:rsidP="00732FDE">
      <w:pPr>
        <w:pStyle w:val="Ttulo1"/>
        <w:rPr>
          <w:rFonts w:ascii="Times New Roman" w:hAnsi="Times New Roman" w:cs="Times New Roman"/>
          <w:b/>
          <w:bCs/>
          <w:color w:val="auto"/>
          <w:sz w:val="28"/>
          <w:szCs w:val="28"/>
          <w:lang w:val="es-ES_tradnl"/>
        </w:rPr>
      </w:pPr>
      <w:r w:rsidRPr="007B4152">
        <w:rPr>
          <w:rFonts w:ascii="Times New Roman" w:hAnsi="Times New Roman" w:cs="Times New Roman"/>
          <w:b/>
          <w:bCs/>
          <w:color w:val="auto"/>
          <w:sz w:val="28"/>
          <w:szCs w:val="28"/>
          <w:lang w:val="es-ES_tradnl"/>
        </w:rPr>
        <w:lastRenderedPageBreak/>
        <w:t>References</w:t>
      </w:r>
      <w:bookmarkEnd w:id="9"/>
    </w:p>
    <w:bookmarkStart w:id="10" w:name="_Hlk66878235"/>
    <w:p w14:paraId="1148399A" w14:textId="77777777" w:rsidR="00695D31" w:rsidRPr="00695D31" w:rsidRDefault="00B51739" w:rsidP="00695D31">
      <w:pPr>
        <w:pStyle w:val="Bibliografa"/>
        <w:rPr>
          <w:rFonts w:ascii="Times New Roman" w:hAnsi="Times New Roman" w:cs="Times New Roman"/>
          <w:sz w:val="24"/>
        </w:rPr>
      </w:pPr>
      <w:r w:rsidRPr="00364C89">
        <w:rPr>
          <w:lang w:val="en-GB"/>
        </w:rPr>
        <w:fldChar w:fldCharType="begin"/>
      </w:r>
      <w:r w:rsidR="00695D31">
        <w:rPr>
          <w:lang w:val="es-ES_tradnl"/>
        </w:rPr>
        <w:instrText xml:space="preserve"> ADDIN ZOTERO_BIBL {"uncited":[],"omitted":[],"custom":[]} CSL_BIBLIOGRAPHY </w:instrText>
      </w:r>
      <w:r w:rsidRPr="00364C89">
        <w:rPr>
          <w:lang w:val="en-GB"/>
        </w:rPr>
        <w:fldChar w:fldCharType="separate"/>
      </w:r>
      <w:r w:rsidR="00695D31" w:rsidRPr="00695D31">
        <w:rPr>
          <w:rFonts w:ascii="Times New Roman" w:hAnsi="Times New Roman" w:cs="Times New Roman"/>
          <w:sz w:val="24"/>
        </w:rPr>
        <w:t>1. Boletín Oficial de Aragón - BOA, Núm. 156 (10/08/2012). Resolución de 30 de julio de 2012, de la Dirección Gerencia del Servicio Aragonés de Salud, sobre revisión de las tarifas a aplicar por la prestación de servicios sanitarios a terceros obligados al pago o a usuarios sin derecho a asistencia sanitaria en la Comunidad Autónoma de Aragón.</w:t>
      </w:r>
    </w:p>
    <w:p w14:paraId="1AD69081"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2. Boletín Oficial del Principado de Asturias, Núm. 219 (13/11/2019). Decreto 194/2019, de 31 de octubre, de segunda modificación del Decreto 87/2009, de 29 de julio, por el que se establecen los precios públicos a aplicar por el Servicio de Salud del Principado de Asturias por la prestación de servicios sanitarios.</w:t>
      </w:r>
    </w:p>
    <w:p w14:paraId="34726A3F"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3. Boletín Oficial de las Islas Baleares - BOIB, Núm. 128 (16/10/2018). Núm. 10517. Resolución del director general del Servicio de Salud de las Islas Baleares de corrección de errores de la Resolución del director general del Servicio de Salud de las Islas Baleares de 29 de diciembre de 2017 por la que se modifica la Orden de la consejera de Salud y Consumo de 22 de diciembre de 2006 por la que se establecen los precios públicos a aplicar por los centros sanitarios de la Red Pública de las Illes Balears por la prestación de servicios sanitarios, cuando existan terceros obligados al pago o usuarios sin derecho a asistencia sanitaria de la Seguridad Social.</w:t>
      </w:r>
    </w:p>
    <w:p w14:paraId="2462D45F"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4. Boletín Oficial de Canarias - BOC, Núm. 67 (5/4/2017) - 1616 Servicio Canario de la Salud.- Resolución de 29 de marzo de 2017, del Director, por la que se modifica la cuantía de los precios públicos de servicios sanitarios previstos en el Decreto 81/2009, de 16 de junio, por el que se establecen los precios públicos de los servicios sanitarios prestados por el Servicio Canario de la Salud y se fijan sus cuantías. http://www.gobiernodecanarias.org/boc/2017/067/002.html. Accessed 20 Jun 2021.</w:t>
      </w:r>
    </w:p>
    <w:p w14:paraId="7E7A000C"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5. Boletín Oficial de la Junta de Andalucía - BOJA, Núm. 92 (15/5/2018) Orden de 8 de mayo de 2018, por la que se modifica la Orden de 14 de octubre de 2005, por la que se fijan los precios públicos de los servicios sanitarios prestados por centros dependientes del Sistema Sanitario Público de Andalucía.</w:t>
      </w:r>
    </w:p>
    <w:p w14:paraId="2960CDC3"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6. Boletín Oficial de Cantabria - BOC Núm. 248 (29/12/2017) - Orden SAN/35/2017, de 15 de diciembre, por la que se fi jan las cuantías de los Precios Públicos de los Servicios Sanitarios prestados por el Servicio Cántabro de Salud.</w:t>
      </w:r>
    </w:p>
    <w:p w14:paraId="01C27FFF"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7. Diario Oficial de Extremadura - DOE, Núm. 32 (17/2/2021) - RESOLUCIÓN de 10 de febrero de 2021, de la Vicepresidenta Primera y Consejera, por la que se publican las tarifas actualizadas de las tasas y precios públicos de la Comunidad Autónoma de Extremadura en virtud de lo dispuesto en la Ley de Presupuestos Generales de la Comunidad Autónoma de Extremadura para 2021.</w:t>
      </w:r>
    </w:p>
    <w:p w14:paraId="1DB4F80F"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8. Normativa vigente. Tasas y precios de la Comunidad Autónoma - Diario Oficial de Galicia - DOG Núm. 240 (11/12/2003) - Ley 6/2003, de 9 de diciembre, de tasas, precios y exacciones Reguladoras de la comunidad autónoma de galicia. 2020.</w:t>
      </w:r>
    </w:p>
    <w:p w14:paraId="429D278D"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9. Boletín Oficial de la Comunidad de Madrid – BOCM, Núm. 198 (21/8/2017) - Orden 727/2017, de 7 de agosto, del Consejero de Sanidad, por la que se fijan los precios públicos por la prestación de los servicios y actividades de naturaleza sanitaria de la red de centros de la Comunidad de Madrid.</w:t>
      </w:r>
    </w:p>
    <w:p w14:paraId="22031D5F"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10. Boletín Oficial de Castilla y León - BOCYL, Núm. 249 (30/12/2013) - Decreto 83/2013, de 26 de diciembre, por el que se actualizan los precios públicos de la Comunidad de Castilla y León y la tasa por actuaciones administrativas relativas a actividades agrícolas.</w:t>
      </w:r>
    </w:p>
    <w:p w14:paraId="6C8A947C"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11. Diario Oficial de Castilla-La Mancha - DOCM, Núm. 226 (21/11/2014) - Orden de 17/11/2014, de la Consejería de Sanidad y Asuntos Sociales, por la que se establecen los precios públicos de la asistencia sanitaria y de los servicios prestados en la red de centros sanitarios dependientes del Servicio de Salud de Castilla-La Mancha.</w:t>
      </w:r>
    </w:p>
    <w:p w14:paraId="1B6F441F"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 xml:space="preserve">12. Diari Oficial de la Generalitat de Catalunya - DOGC, Núm. 8153 - (12/6/2020) - Orden SLT/71/2020, de 2 de junio, por la que se regulan los supuestos y conceptos facturables y se aprueban los precios públicos </w:t>
      </w:r>
      <w:r w:rsidRPr="00695D31">
        <w:rPr>
          <w:rFonts w:ascii="Times New Roman" w:hAnsi="Times New Roman" w:cs="Times New Roman"/>
          <w:sz w:val="24"/>
        </w:rPr>
        <w:lastRenderedPageBreak/>
        <w:t>correspondientes a los servicios que presta el Instituto Catalán de la Salud. https://infoboe-production.s3.eu-central-1.amazonaws.com/documents/fc27d9c2c6b9b9a029b20ebf5d6613d4-20200612.pdf. Accessed 20 Jun 2021.</w:t>
      </w:r>
    </w:p>
    <w:p w14:paraId="16952278"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13. Boletín Oficial de la Región de Murcia - BORM, Núm. 133 (11/6/2020) - Orden de 29 de mayo de 2020 de la Consejería de Presidencia y Hacienda, por la que se publican las tarifas de las tasas y precios públicos aplicables en el año 2020.</w:t>
      </w:r>
    </w:p>
    <w:p w14:paraId="72581AD3"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14. Boletín Oficial de Navarra - BON, Núm. 14  (22/1/2019) - Resolución 1564/2018, de 20 de diciembre, del Director Gerente del Servicio Navarro de Salud-Osasunbidea, por la que se establecen las tarifas por los servicios prestados por el Servicio Navarro de Salud-Osasunbidea. http://bon.navarra.es/es/anuncio/-/texto/2019/14/5/. Accessed 20 Jun 2021.</w:t>
      </w:r>
    </w:p>
    <w:p w14:paraId="390A0A90"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15. Tarifas para facturación de servicios sanitarios y docentes de Osakidetza para el año 2020 (12/2019) - Acuerdo de 19 de diciembre de 2019, del consejo de administración del ente público Osakidetza, por el que se aprueban las tarifas por prestación de servicios sanitarios y docentes a terceros obligados al pago durante el ejercicio 2020.</w:t>
      </w:r>
    </w:p>
    <w:p w14:paraId="5143FE2B"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16. Boletín Oficial del Estado - BOE Ceuta y Melilla, Núm. 180 (29/7/2013) Sec. I. Pág. 55225 - Resolución de 19 de julio de 2013, del Instituto Nacional de Gestión Sanitaria, sobre revisión de precios a aplicar por los centros sanitarios del Instituto Nacional de Gestión Sanitaria en Ceuta y Melilla, por las asistencias prestadas en los supuestos cuyo importe ha de reclamarse a los terceros obligados al pago o a los usuarios sin derecho a la asistencia sanitaria de la Seguridad Social, así como por los servicios prestados por el Centro Nacional de Dosimetría y por la reproducción de documentos de la biblioteca de la entidad gestora.</w:t>
      </w:r>
    </w:p>
    <w:p w14:paraId="387A98E1"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17. Boletín Oficial de la Junta de Andalucía - BOJA, Núm. 210 (27/10/2005) - Orden de 14 de octubre de 2005, por la que se fijan los precios públicos de los servicios sanitarios prestados por Centros dependientes del Sistema Sanitario Público de Andalucía. Servicio Andaluz de Salud. https://www.sspa.juntadeandalucia.es/servicioandaluzdesalud/sites/default/files/sincfiles/wsas-media-sas_normativa_mediafile/2019/orden2005_precios_publicos.pdf. Accessed 20 Jun 2021.</w:t>
      </w:r>
    </w:p>
    <w:p w14:paraId="5247C0BC"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18. Diario Oficial de la Generalitat Valenciana - DOGV, Núm. 8202 (30/10/2017) - Ley 20/2017, de 28 de diciembre, de la Generalitat, de tasas. [2017/12159]. 2017. https://dogv.gva.es/portal/ficha_disposicion.jsp?L=1&amp;sig=011728%2F2017. Accessed 20 Jun 2021.</w:t>
      </w:r>
    </w:p>
    <w:p w14:paraId="25B9D3B3"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19. Diario Oficial de Extremadura - DOE, Núm. 28 (11/2/2020) - Resolución de 6 de febrero de 2020, de la Vicepresidenta Primera y Consejera, por la que se publican las tarifas actualizadas de las tasas y precios públicos de la Comunidad Autónoma de Extremadura en virtud de lo dispuesto en la Ley de Presupuestos Generales de la Comunidad Autónoma de Extremadura para 2020. (2020060240).</w:t>
      </w:r>
    </w:p>
    <w:p w14:paraId="64FB46FA"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20. Prestación de los servicios y actividades de naturaleza sanitaria de la Red de Centros de la Comunidad de Madrid. Anexo - Precios públicos por servicios y actividades.</w:t>
      </w:r>
    </w:p>
    <w:p w14:paraId="16DED391"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21. Boletín Oficial de La Rioja - BOR, Núm. 156 (19/12/2014) Pág. 24921 - Orden 12/2014, de 16 de noviembre de 2014, de la Consejería de Administración Pública y Hacienda por la que se establece y regula el precio público por los servicios sanitarios prestados a particulares en los centros del Servicio Riojano de Salud.</w:t>
      </w:r>
    </w:p>
    <w:p w14:paraId="7D6726FB"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22. Boletín Oficial de Aragón - BOA, Núm. 135 (12/07/2011) - Resolución de 1 de enero de 2011, de la Directora-Gerente del Consorcio de Salud, por la que se aprueban las tarifas a aplicar en el seno del Consorcio a los terceros obligados al pago o a los usuarios sin derecho a la asistencia sanitaria de la Seguridad Social, con excepción de aquellos supuestos cuyas tarifas vengan reguladas por convenios, contratos o conciertos específicos.</w:t>
      </w:r>
    </w:p>
    <w:p w14:paraId="794F6C0F"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23. Boletín Oficial de la Junta de Andalucía - BOJA, Núm. 210 (21/10/2015) Pág. 46 - Orden de 14 de octubre de 2005, por la que se fijan los precios públicos de los servicios sanitarios prestados por Centros dependientes del Sistema Sanitario Público de Andalucía.</w:t>
      </w:r>
    </w:p>
    <w:p w14:paraId="76F16578"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 xml:space="preserve">24. Boletín Oficial de Aragón - BOA, Núm. 165 (29/08/2017) - Orden SAN/1221/2017, de 21 de julio, por la que se establecen los precios y tarifas máximas aplicables en la prestación de servicios sanitarios con medios ajenos </w:t>
      </w:r>
      <w:r w:rsidRPr="00695D31">
        <w:rPr>
          <w:rFonts w:ascii="Times New Roman" w:hAnsi="Times New Roman" w:cs="Times New Roman"/>
          <w:sz w:val="24"/>
        </w:rPr>
        <w:lastRenderedPageBreak/>
        <w:t>al Sistema de Salud de Aragón. 2017. http://www.boa.aragon.es/cgi-bin/EBOA/BRSCGI?CMD=VEROBJ&amp;MLKOB=977342223030. Accessed 20 Jun 2021.</w:t>
      </w:r>
    </w:p>
    <w:p w14:paraId="25CEADB2"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25. Boletín Oficial de las Islas Baleares - BOIB, Núm. 002 (4/1/2018) - Resolución del director general del Servicio de Salud de las Islas Baleares por la que se modifica la Orden de la consejera de Salud y Consumo de 22 de diciembre de 2006 por la que se establecen los precios públicos a aplicar por los centros sanitarios de la Red Pública de las Islas Baleares por la prestación de servicios sanitarios, cuando existan terceros obligados al pago o usuarios sin derecho a asistencia sanitaria de la Seguridad Social. http://www.caib.es/eboibfront/es/2018/10758/seccion-iii-otras-disposiciones-y-actos-administra/472. Accessed 21 Jun 2021.</w:t>
      </w:r>
    </w:p>
    <w:p w14:paraId="04EA5E4F"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26. Boletín Oficial del Principado de Asturias, Núm. 77 (4/4/2013) - Resolución de 25 de febrero de 2013, de la Consejería de Hacienda y Sector Público, por la que hace pública la relación de las cuantías exigibles por tasas y precios públicos en el ejercicio 2013. 2013. https://sede.asturias.es/bopa/2013/10/03/2013-18043.pdf. Accessed 20 Jun 2021.</w:t>
      </w:r>
    </w:p>
    <w:p w14:paraId="2E30AB9B" w14:textId="77777777" w:rsidR="00695D31" w:rsidRPr="00910732" w:rsidRDefault="00695D31" w:rsidP="00695D31">
      <w:pPr>
        <w:pStyle w:val="Bibliografa"/>
        <w:rPr>
          <w:rFonts w:ascii="Times New Roman" w:hAnsi="Times New Roman" w:cs="Times New Roman"/>
          <w:sz w:val="24"/>
          <w:lang w:val="en-US"/>
        </w:rPr>
      </w:pPr>
      <w:r w:rsidRPr="00695D31">
        <w:rPr>
          <w:rFonts w:ascii="Times New Roman" w:hAnsi="Times New Roman" w:cs="Times New Roman"/>
          <w:sz w:val="24"/>
        </w:rPr>
        <w:t xml:space="preserve">27. Instituto Nacional de Estadística (INE). INEbase / Nivel y condiciones de vida (IPC) /Índices de precios de consumo y vivienda /Índice de precios de consumo 2020. </w:t>
      </w:r>
      <w:r w:rsidRPr="00910732">
        <w:rPr>
          <w:rFonts w:ascii="Times New Roman" w:hAnsi="Times New Roman" w:cs="Times New Roman"/>
          <w:sz w:val="24"/>
          <w:lang w:val="en-US"/>
        </w:rPr>
        <w:t>INE. https://www.ine.es/dyngs/INEbase/es/operacion.htm?c=Estadistica_C&amp;cid=1254736176802&amp;menu=ultiDatos&amp;idp=1254735976607. Accessed 19 Aug 2021.</w:t>
      </w:r>
    </w:p>
    <w:p w14:paraId="1C3427E9"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28. Ministerio de Sanidad, Consumo y Bienestar Social - Portal Estadístico del SNS - Registro de Altas de los Hospitales Generales del Sistema Nacional de Salud. CMBD. Norma Estatal. https://www.mscbs.gob.es/estadEstudios/estadisticas/cmbd.htm. Accessed 21 Jun 2021.</w:t>
      </w:r>
    </w:p>
    <w:p w14:paraId="17EBDDE1"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29. Consejo General de Colegios Oficiales de Farmacéuticos. Base de datos de información sanitaria (BOT PLUS). 2021. https://botplusweb.portalfarma.com/.</w:t>
      </w:r>
    </w:p>
    <w:p w14:paraId="4EABB81C" w14:textId="77777777" w:rsidR="00695D31" w:rsidRPr="00910732" w:rsidRDefault="00695D31" w:rsidP="00695D31">
      <w:pPr>
        <w:pStyle w:val="Bibliografa"/>
        <w:rPr>
          <w:rFonts w:ascii="Times New Roman" w:hAnsi="Times New Roman" w:cs="Times New Roman"/>
          <w:sz w:val="24"/>
          <w:lang w:val="en-US"/>
        </w:rPr>
      </w:pPr>
      <w:r w:rsidRPr="00695D31">
        <w:rPr>
          <w:rFonts w:ascii="Times New Roman" w:hAnsi="Times New Roman" w:cs="Times New Roman"/>
          <w:sz w:val="24"/>
        </w:rPr>
        <w:t xml:space="preserve">30. Instituto Nacional de Estadística - INE. Número medio de horas efectivas semanales trabajadas por todos los ocupados (hayan o no trabajado en la semana) por situación profesional, sexo y rama de actividad (empleo principal) (4880). </w:t>
      </w:r>
      <w:r w:rsidRPr="00910732">
        <w:rPr>
          <w:rFonts w:ascii="Times New Roman" w:hAnsi="Times New Roman" w:cs="Times New Roman"/>
          <w:sz w:val="24"/>
          <w:lang w:val="en-US"/>
        </w:rPr>
        <w:t>INE. https://www.ine.es/jaxiT3/Tabla.htm?t=4880&amp;L=0. Accessed 21 Jun 2021.</w:t>
      </w:r>
    </w:p>
    <w:p w14:paraId="2CC2ECEE" w14:textId="77777777" w:rsidR="00695D31" w:rsidRPr="00910732" w:rsidRDefault="00695D31" w:rsidP="00695D31">
      <w:pPr>
        <w:pStyle w:val="Bibliografa"/>
        <w:rPr>
          <w:rFonts w:ascii="Times New Roman" w:hAnsi="Times New Roman" w:cs="Times New Roman"/>
          <w:sz w:val="24"/>
          <w:lang w:val="en-US"/>
        </w:rPr>
      </w:pPr>
      <w:r w:rsidRPr="00695D31">
        <w:rPr>
          <w:rFonts w:ascii="Times New Roman" w:hAnsi="Times New Roman" w:cs="Times New Roman"/>
          <w:sz w:val="24"/>
        </w:rPr>
        <w:t xml:space="preserve">31. Instituto Nacional de Estadística - INE. Sexo y grupos principales de ocupación (28186). </w:t>
      </w:r>
      <w:r w:rsidRPr="00910732">
        <w:rPr>
          <w:rFonts w:ascii="Times New Roman" w:hAnsi="Times New Roman" w:cs="Times New Roman"/>
          <w:sz w:val="24"/>
          <w:lang w:val="en-US"/>
        </w:rPr>
        <w:t>INE. https://www.ine.es/jaxiT3/Tabla.htm?t=28186&amp;L=0. Accessed 21 Jun 2021.</w:t>
      </w:r>
    </w:p>
    <w:p w14:paraId="4D08295F" w14:textId="77777777" w:rsidR="00695D31" w:rsidRPr="00910732" w:rsidRDefault="00695D31" w:rsidP="00695D31">
      <w:pPr>
        <w:pStyle w:val="Bibliografa"/>
        <w:rPr>
          <w:rFonts w:ascii="Times New Roman" w:hAnsi="Times New Roman" w:cs="Times New Roman"/>
          <w:sz w:val="24"/>
          <w:lang w:val="en-US"/>
        </w:rPr>
      </w:pPr>
      <w:r w:rsidRPr="00910732">
        <w:rPr>
          <w:rFonts w:ascii="Times New Roman" w:hAnsi="Times New Roman" w:cs="Times New Roman"/>
          <w:sz w:val="24"/>
          <w:lang w:val="en-US"/>
        </w:rPr>
        <w:t>32. Galiè N, Humbert M, Vachiery J-L, Gibbs S, Lang I, Torbicki A, et al. ESC/ERS Guidelines for the diagnosis and treatment of pulmonary hypertension: The Joint Task Force for the Diagnosis and Treatment of Pulmonary Hypertension of the European Society of Cardiology (ESC) and the European Respiratory Society (ERS): Endorsed by: Association for European Paediatric and Congenital Cardiology (AEPC), International Society for Heart and Lung Transplantation (ISHLT). Eur Respir J. 2015;46:903–75.</w:t>
      </w:r>
    </w:p>
    <w:p w14:paraId="4D280338" w14:textId="77777777" w:rsidR="00695D31" w:rsidRPr="00695D31" w:rsidRDefault="00695D31" w:rsidP="00695D31">
      <w:pPr>
        <w:pStyle w:val="Bibliografa"/>
        <w:rPr>
          <w:rFonts w:ascii="Times New Roman" w:hAnsi="Times New Roman" w:cs="Times New Roman"/>
          <w:sz w:val="24"/>
        </w:rPr>
      </w:pPr>
      <w:r w:rsidRPr="00910732">
        <w:rPr>
          <w:rFonts w:ascii="Times New Roman" w:hAnsi="Times New Roman" w:cs="Times New Roman"/>
          <w:sz w:val="24"/>
          <w:lang w:val="en-US"/>
        </w:rPr>
        <w:t xml:space="preserve">33. Dufour R, Pruett J, Hu N, Lickert C, Stemkowski S, Tsang Y, et al. Healthcare resource utilization and costs for patients with pulmonary arterial hypertension: real-world documentation of functional class. </w:t>
      </w:r>
      <w:r w:rsidRPr="00695D31">
        <w:rPr>
          <w:rFonts w:ascii="Times New Roman" w:hAnsi="Times New Roman" w:cs="Times New Roman"/>
          <w:sz w:val="24"/>
        </w:rPr>
        <w:t>J Med Econ. 2017;20:1178–86.</w:t>
      </w:r>
    </w:p>
    <w:p w14:paraId="13104FCA"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34. Organización Nacional de Trasplantes - ONT, Memoria actividad donación y trasplante pulmonar. España 2020.</w:t>
      </w:r>
    </w:p>
    <w:p w14:paraId="73D1C70E"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35. López-Meseguer M, Román A, Monforte V, Bravo C, Solé J, Morell F. Trasplante bipulmonar en hipertensión pulmonar. Una serie de 15 pacientes. Arch Bronconeumol. 2009;45:366–70.</w:t>
      </w:r>
    </w:p>
    <w:p w14:paraId="51CE59A6" w14:textId="77777777" w:rsidR="00695D31" w:rsidRPr="00910732" w:rsidRDefault="00695D31" w:rsidP="00695D31">
      <w:pPr>
        <w:pStyle w:val="Bibliografa"/>
        <w:rPr>
          <w:rFonts w:ascii="Times New Roman" w:hAnsi="Times New Roman" w:cs="Times New Roman"/>
          <w:sz w:val="24"/>
          <w:lang w:val="en-US"/>
        </w:rPr>
      </w:pPr>
      <w:r w:rsidRPr="00695D31">
        <w:rPr>
          <w:rFonts w:ascii="Times New Roman" w:hAnsi="Times New Roman" w:cs="Times New Roman"/>
          <w:sz w:val="24"/>
        </w:rPr>
        <w:t xml:space="preserve">36. AEMPS. Centro de información de medicamentos (CIMA). </w:t>
      </w:r>
      <w:r w:rsidRPr="00910732">
        <w:rPr>
          <w:rFonts w:ascii="Times New Roman" w:hAnsi="Times New Roman" w:cs="Times New Roman"/>
          <w:sz w:val="24"/>
          <w:lang w:val="en-US"/>
        </w:rPr>
        <w:t>2018. https://www.aemps.gob.es/cima/publico/home.html. Accessed 18 Oct 2018.</w:t>
      </w:r>
    </w:p>
    <w:p w14:paraId="74520EFE"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 xml:space="preserve">37. Roman A, Barberà JA, Escribano P, Sala ML, Febrer L, Oyagüez I, et al. </w:t>
      </w:r>
      <w:r w:rsidRPr="00910732">
        <w:rPr>
          <w:rFonts w:ascii="Times New Roman" w:hAnsi="Times New Roman" w:cs="Times New Roman"/>
          <w:sz w:val="24"/>
          <w:lang w:val="en-US"/>
        </w:rPr>
        <w:t xml:space="preserve">Cost effectiveness of prostacyclins in pulmonary arterial hypertension. Appl Health Econ Health Policy. </w:t>
      </w:r>
      <w:r w:rsidRPr="00695D31">
        <w:rPr>
          <w:rFonts w:ascii="Times New Roman" w:hAnsi="Times New Roman" w:cs="Times New Roman"/>
          <w:sz w:val="24"/>
        </w:rPr>
        <w:t>2012;10:175–88.</w:t>
      </w:r>
    </w:p>
    <w:p w14:paraId="0B161060" w14:textId="77777777" w:rsidR="00695D31" w:rsidRPr="00910732" w:rsidRDefault="00695D31" w:rsidP="00695D31">
      <w:pPr>
        <w:pStyle w:val="Bibliografa"/>
        <w:rPr>
          <w:rFonts w:ascii="Times New Roman" w:hAnsi="Times New Roman" w:cs="Times New Roman"/>
          <w:sz w:val="24"/>
          <w:lang w:val="en-US"/>
        </w:rPr>
      </w:pPr>
      <w:r w:rsidRPr="00695D31">
        <w:rPr>
          <w:rFonts w:ascii="Times New Roman" w:hAnsi="Times New Roman" w:cs="Times New Roman"/>
          <w:sz w:val="24"/>
        </w:rPr>
        <w:lastRenderedPageBreak/>
        <w:t xml:space="preserve">38. La carga socioeconómica de la hipertensión pulmonar en España. Hipertensión Pulmonar. https://hipertension-pulmonar.com/la-asociacion/estudios/255-la-carga-socioeconomica-de-la-hipertension-pulmonar-en-espana. </w:t>
      </w:r>
      <w:r w:rsidRPr="00910732">
        <w:rPr>
          <w:rFonts w:ascii="Times New Roman" w:hAnsi="Times New Roman" w:cs="Times New Roman"/>
          <w:sz w:val="24"/>
          <w:lang w:val="en-US"/>
        </w:rPr>
        <w:t>Accessed 28 Jun 2021.</w:t>
      </w:r>
    </w:p>
    <w:p w14:paraId="687EEE24" w14:textId="77777777" w:rsidR="00695D31" w:rsidRPr="00910732" w:rsidRDefault="00695D31" w:rsidP="00695D31">
      <w:pPr>
        <w:pStyle w:val="Bibliografa"/>
        <w:rPr>
          <w:rFonts w:ascii="Times New Roman" w:hAnsi="Times New Roman" w:cs="Times New Roman"/>
          <w:sz w:val="24"/>
          <w:lang w:val="en-US"/>
        </w:rPr>
      </w:pPr>
      <w:r w:rsidRPr="00910732">
        <w:rPr>
          <w:rFonts w:ascii="Times New Roman" w:hAnsi="Times New Roman" w:cs="Times New Roman"/>
          <w:sz w:val="24"/>
          <w:lang w:val="en-US"/>
        </w:rPr>
        <w:t>39. Hawn JM, Bauer SR, Wanek MR, Li M, Wang X, Duggal A, et al. Effectiveness, Safety, and Economic Comparison of Inhaled Epoprostenol Brands, Flolan and Veletri, in Acute Respiratory Distress Syndrome. Ann Pharmacother. 2020;54:434–41.</w:t>
      </w:r>
    </w:p>
    <w:p w14:paraId="6882CEEA" w14:textId="77777777" w:rsidR="00695D31" w:rsidRPr="00910732" w:rsidRDefault="00695D31" w:rsidP="00695D31">
      <w:pPr>
        <w:pStyle w:val="Bibliografa"/>
        <w:rPr>
          <w:rFonts w:ascii="Times New Roman" w:hAnsi="Times New Roman" w:cs="Times New Roman"/>
          <w:sz w:val="24"/>
          <w:lang w:val="en-US"/>
        </w:rPr>
      </w:pPr>
      <w:r w:rsidRPr="00910732">
        <w:rPr>
          <w:rFonts w:ascii="Times New Roman" w:hAnsi="Times New Roman" w:cs="Times New Roman"/>
          <w:sz w:val="24"/>
          <w:lang w:val="en-US"/>
        </w:rPr>
        <w:t>40. PHA Europe. The impact of pulmonary arterial hypertension (PAH) on the lives of patients and carers: results from an international survey. European Pulmonary Hypertension Association. PHA Europe. 2012. https://www.phaeurope.org/wp-content/uploads/PAH_Survey_FINAL.pdf. Accessed 3 Feb 2021.</w:t>
      </w:r>
    </w:p>
    <w:p w14:paraId="7D48E02A" w14:textId="77777777" w:rsidR="00695D31" w:rsidRPr="00695D31" w:rsidRDefault="00695D31" w:rsidP="00695D31">
      <w:pPr>
        <w:pStyle w:val="Bibliografa"/>
        <w:rPr>
          <w:rFonts w:ascii="Times New Roman" w:hAnsi="Times New Roman" w:cs="Times New Roman"/>
          <w:sz w:val="24"/>
        </w:rPr>
      </w:pPr>
      <w:r w:rsidRPr="00910732">
        <w:rPr>
          <w:rFonts w:ascii="Times New Roman" w:hAnsi="Times New Roman" w:cs="Times New Roman"/>
          <w:sz w:val="24"/>
          <w:lang w:val="en-US"/>
        </w:rPr>
        <w:t xml:space="preserve">41. Joish VN, Kreilick C, Germino R, Muccino D. Estimation Of Pulmonary Arterial Hypertension On Productivity Losses In The United States. </w:t>
      </w:r>
      <w:r w:rsidRPr="00695D31">
        <w:rPr>
          <w:rFonts w:ascii="Times New Roman" w:hAnsi="Times New Roman" w:cs="Times New Roman"/>
          <w:sz w:val="24"/>
        </w:rPr>
        <w:t>Value Health. 2014;17:A118.</w:t>
      </w:r>
    </w:p>
    <w:p w14:paraId="6FCCA071"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42. Ministerio de Inclusión, Seguridad Social y Migraciones. Seguridad Social: Trámites y Gestiones. https://www.seg-social.es/wps/portal/wss/internet/InformacionUtil/44539. Accessed 26 Jan 2022.</w:t>
      </w:r>
    </w:p>
    <w:p w14:paraId="1834128D" w14:textId="77777777" w:rsidR="00695D31" w:rsidRPr="00910732" w:rsidRDefault="00695D31" w:rsidP="00695D31">
      <w:pPr>
        <w:pStyle w:val="Bibliografa"/>
        <w:rPr>
          <w:rFonts w:ascii="Times New Roman" w:hAnsi="Times New Roman" w:cs="Times New Roman"/>
          <w:sz w:val="24"/>
          <w:lang w:val="en-US"/>
        </w:rPr>
      </w:pPr>
      <w:r w:rsidRPr="00695D31">
        <w:rPr>
          <w:rFonts w:ascii="Times New Roman" w:hAnsi="Times New Roman" w:cs="Times New Roman"/>
          <w:sz w:val="24"/>
        </w:rPr>
        <w:t xml:space="preserve">43. Escribano-Subias P, Blanco I, Lopez-Meseguer M, Jiménez C, Román A, Castillo-Palma M, et al. </w:t>
      </w:r>
      <w:r w:rsidRPr="00910732">
        <w:rPr>
          <w:rFonts w:ascii="Times New Roman" w:hAnsi="Times New Roman" w:cs="Times New Roman"/>
          <w:sz w:val="24"/>
          <w:lang w:val="en-US"/>
        </w:rPr>
        <w:t>REHAP investigators. Survival in pulmonary hypertension in Spain: Insights from the Spanish registry. Eur Respir J Off J Eur Soc Clin Respir Physiol. 2012;40:596–603.</w:t>
      </w:r>
    </w:p>
    <w:p w14:paraId="20B87CAC" w14:textId="77777777" w:rsidR="00695D31" w:rsidRPr="00695D31" w:rsidRDefault="00695D31" w:rsidP="00695D31">
      <w:pPr>
        <w:pStyle w:val="Bibliografa"/>
        <w:rPr>
          <w:rFonts w:ascii="Times New Roman" w:hAnsi="Times New Roman" w:cs="Times New Roman"/>
          <w:sz w:val="24"/>
        </w:rPr>
      </w:pPr>
      <w:r w:rsidRPr="00910732">
        <w:rPr>
          <w:rFonts w:ascii="Times New Roman" w:hAnsi="Times New Roman" w:cs="Times New Roman"/>
          <w:sz w:val="24"/>
          <w:lang w:val="en-US"/>
        </w:rPr>
        <w:t xml:space="preserve">44. Hoeper MM, Huscher D, Pittrow D. Incidence and prevalence of pulmonary arterial hypertension in Germany. </w:t>
      </w:r>
      <w:r w:rsidRPr="00695D31">
        <w:rPr>
          <w:rFonts w:ascii="Times New Roman" w:hAnsi="Times New Roman" w:cs="Times New Roman"/>
          <w:sz w:val="24"/>
        </w:rPr>
        <w:t>Int J Cardiol. 2016;203:612–3.</w:t>
      </w:r>
    </w:p>
    <w:p w14:paraId="609396F8"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 xml:space="preserve">45. Escribano-Subias P, Blanco I, López-Meseguer M, Lopez-Guarch CJ, Roman A, Morales P, et al. </w:t>
      </w:r>
      <w:r w:rsidRPr="00910732">
        <w:rPr>
          <w:rFonts w:ascii="Times New Roman" w:hAnsi="Times New Roman" w:cs="Times New Roman"/>
          <w:sz w:val="24"/>
          <w:lang w:val="en-US"/>
        </w:rPr>
        <w:t xml:space="preserve">Survival in pulmonary hypertension in Spain: insights from the Spanish registry. </w:t>
      </w:r>
      <w:r w:rsidRPr="00695D31">
        <w:rPr>
          <w:rFonts w:ascii="Times New Roman" w:hAnsi="Times New Roman" w:cs="Times New Roman"/>
          <w:sz w:val="24"/>
        </w:rPr>
        <w:t>Eur Respir J. 2012;40:596–603.</w:t>
      </w:r>
    </w:p>
    <w:p w14:paraId="191382AF"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46. Última Nota de prensa. Cifras de Población. Provisionales a 1 de julio de 2020. Instituto Nacional de Estadística (INE). https://www.ine.es/dyngs/INEbase/es/operacion.htm?c=Estadistica_C&amp;cid=1254736176951&amp;menu=ultiDatos&amp;idp=1254735572981.</w:t>
      </w:r>
    </w:p>
    <w:p w14:paraId="1C893E35" w14:textId="77777777" w:rsidR="00695D31" w:rsidRPr="00695D31" w:rsidRDefault="00695D31" w:rsidP="00695D31">
      <w:pPr>
        <w:pStyle w:val="Bibliografa"/>
        <w:rPr>
          <w:rFonts w:ascii="Times New Roman" w:hAnsi="Times New Roman" w:cs="Times New Roman"/>
          <w:sz w:val="24"/>
        </w:rPr>
      </w:pPr>
      <w:r w:rsidRPr="00910732">
        <w:rPr>
          <w:rFonts w:ascii="Times New Roman" w:hAnsi="Times New Roman" w:cs="Times New Roman"/>
          <w:sz w:val="24"/>
          <w:lang w:val="en-US"/>
        </w:rPr>
        <w:t xml:space="preserve">47. Leber L, Beaudet A, Muller A. Epidemiology of pulmonary arterial hypertension and chronic thromboembolic pulmonary hypertension: identification of the most accurate estimates from a systematic literature review. </w:t>
      </w:r>
      <w:r w:rsidRPr="00695D31">
        <w:rPr>
          <w:rFonts w:ascii="Times New Roman" w:hAnsi="Times New Roman" w:cs="Times New Roman"/>
          <w:sz w:val="24"/>
        </w:rPr>
        <w:t>Pulm Circ. 2021;11:2045894020977300.</w:t>
      </w:r>
    </w:p>
    <w:p w14:paraId="5824276F" w14:textId="77777777" w:rsidR="00695D31" w:rsidRPr="00695D31" w:rsidRDefault="00695D31" w:rsidP="00695D31">
      <w:pPr>
        <w:pStyle w:val="Bibliografa"/>
        <w:rPr>
          <w:rFonts w:ascii="Times New Roman" w:hAnsi="Times New Roman" w:cs="Times New Roman"/>
          <w:sz w:val="24"/>
        </w:rPr>
      </w:pPr>
      <w:r w:rsidRPr="00695D31">
        <w:rPr>
          <w:rFonts w:ascii="Times New Roman" w:hAnsi="Times New Roman" w:cs="Times New Roman"/>
          <w:sz w:val="24"/>
        </w:rPr>
        <w:t>48. DiarioFarma. Precios notificados: cada año hay más y con mayor diferencia sobre el real. diariofarma. 2019. https://www.diariofarma.com/2019/02/12/precios-notificados-cada-ano-hay-mas-y-con-mayor-diferencia-sobre-el-real.</w:t>
      </w:r>
    </w:p>
    <w:p w14:paraId="77B6F86F" w14:textId="5230F582" w:rsidR="00100208" w:rsidRPr="004722FF" w:rsidRDefault="00B51739" w:rsidP="00A822BD">
      <w:pPr>
        <w:pStyle w:val="Bibliografa"/>
        <w:tabs>
          <w:tab w:val="left" w:pos="426"/>
          <w:tab w:val="left" w:pos="1276"/>
          <w:tab w:val="left" w:pos="1418"/>
        </w:tabs>
        <w:spacing w:before="0" w:after="120"/>
        <w:ind w:left="851" w:right="45"/>
        <w:rPr>
          <w:rFonts w:ascii="Times New Roman" w:hAnsi="Times New Roman" w:cs="Times New Roman"/>
          <w:sz w:val="20"/>
          <w:szCs w:val="20"/>
          <w:lang w:val="en-GB"/>
        </w:rPr>
      </w:pPr>
      <w:r w:rsidRPr="00364C89">
        <w:rPr>
          <w:rFonts w:ascii="Times New Roman" w:hAnsi="Times New Roman" w:cs="Times New Roman"/>
          <w:sz w:val="24"/>
          <w:szCs w:val="24"/>
          <w:lang w:val="en-GB"/>
        </w:rPr>
        <w:fldChar w:fldCharType="end"/>
      </w:r>
      <w:bookmarkEnd w:id="10"/>
    </w:p>
    <w:sectPr w:rsidR="00100208" w:rsidRPr="004722FF" w:rsidSect="00700626">
      <w:headerReference w:type="even" r:id="rId12"/>
      <w:footerReference w:type="even" r:id="rId13"/>
      <w:footerReference w:type="default" r:id="rId14"/>
      <w:footerReference w:type="first" r:id="rId15"/>
      <w:pgSz w:w="11906" w:h="16838"/>
      <w:pgMar w:top="284" w:right="567" w:bottom="284" w:left="567" w:header="284" w:footer="22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CB31B" w16cex:dateUtc="2022-02-08T08:15:00Z"/>
  <w16cex:commentExtensible w16cex:durableId="25ACB4DD" w16cex:dateUtc="2022-02-08T08:22:00Z"/>
  <w16cex:commentExtensible w16cex:durableId="25ACB3AA" w16cex:dateUtc="2022-02-08T08:17:00Z"/>
  <w16cex:commentExtensible w16cex:durableId="25ACB499" w16cex:dateUtc="2022-02-08T08:2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46A87E" w14:textId="77777777" w:rsidR="00DF7E51" w:rsidRDefault="00DF7E51" w:rsidP="0003508A">
      <w:r>
        <w:separator/>
      </w:r>
    </w:p>
  </w:endnote>
  <w:endnote w:type="continuationSeparator" w:id="0">
    <w:p w14:paraId="1FA7276F" w14:textId="77777777" w:rsidR="00DF7E51" w:rsidRDefault="00DF7E51" w:rsidP="0003508A">
      <w:r>
        <w:continuationSeparator/>
      </w:r>
    </w:p>
  </w:endnote>
  <w:endnote w:type="continuationNotice" w:id="1">
    <w:p w14:paraId="16C1D510" w14:textId="77777777" w:rsidR="00C11186" w:rsidRDefault="00C1118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Títulos en alf">
    <w:altName w:val="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altName w:val="Arial"/>
    <w:panose1 w:val="020B0604020202020204"/>
    <w:charset w:val="00"/>
    <w:family w:val="swiss"/>
    <w:pitch w:val="variable"/>
    <w:sig w:usb0="E4002EFF" w:usb1="C000E47F" w:usb2="00000009" w:usb3="00000000" w:csb0="000001FF" w:csb1="00000000"/>
  </w:font>
  <w:font w:name="Times New Roman (Cuerpo en alfa">
    <w:altName w:val="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0108640"/>
      <w:docPartObj>
        <w:docPartGallery w:val="Page Numbers (Bottom of Page)"/>
        <w:docPartUnique/>
      </w:docPartObj>
    </w:sdtPr>
    <w:sdtEndPr/>
    <w:sdtContent>
      <w:p w14:paraId="7360EEF3" w14:textId="77777777" w:rsidR="00552F8D" w:rsidRDefault="00552F8D" w:rsidP="0003508A">
        <w:pPr>
          <w:pStyle w:val="Piedepgina"/>
        </w:pPr>
        <w:r>
          <w:fldChar w:fldCharType="begin"/>
        </w:r>
        <w:r>
          <w:instrText>PAGE   \* MERGEFORMAT</w:instrText>
        </w:r>
        <w:r>
          <w:fldChar w:fldCharType="separate"/>
        </w:r>
        <w:r>
          <w:t>2</w:t>
        </w:r>
        <w:r>
          <w:fldChar w:fldCharType="end"/>
        </w:r>
      </w:p>
    </w:sdtContent>
  </w:sdt>
  <w:p w14:paraId="68BBE6C5" w14:textId="77777777" w:rsidR="00552F8D" w:rsidRDefault="00552F8D" w:rsidP="0003508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0977157"/>
      <w:docPartObj>
        <w:docPartGallery w:val="Page Numbers (Bottom of Page)"/>
        <w:docPartUnique/>
      </w:docPartObj>
    </w:sdtPr>
    <w:sdtEndPr/>
    <w:sdtContent>
      <w:p w14:paraId="57F53B22" w14:textId="77777777" w:rsidR="00552F8D" w:rsidRPr="0067048C" w:rsidRDefault="00552F8D" w:rsidP="00D64E7D">
        <w:pPr>
          <w:pStyle w:val="Piedepgina"/>
          <w:jc w:val="center"/>
          <w:rPr>
            <w:sz w:val="18"/>
            <w:szCs w:val="18"/>
          </w:rPr>
        </w:pPr>
        <w:r w:rsidRPr="0067048C">
          <w:rPr>
            <w:noProof/>
            <w:sz w:val="18"/>
            <w:szCs w:val="18"/>
          </w:rPr>
          <w:drawing>
            <wp:anchor distT="0" distB="0" distL="114300" distR="114300" simplePos="0" relativeHeight="251658241" behindDoc="0" locked="0" layoutInCell="1" allowOverlap="1" wp14:anchorId="183DAE3A" wp14:editId="1151A710">
              <wp:simplePos x="0" y="0"/>
              <wp:positionH relativeFrom="rightMargin">
                <wp:posOffset>-79375</wp:posOffset>
              </wp:positionH>
              <wp:positionV relativeFrom="bottomMargin">
                <wp:posOffset>162559</wp:posOffset>
              </wp:positionV>
              <wp:extent cx="386559" cy="429895"/>
              <wp:effectExtent l="0" t="0" r="0" b="825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89268" cy="432908"/>
                      </a:xfrm>
                      <a:prstGeom prst="rect">
                        <a:avLst/>
                      </a:prstGeom>
                    </pic:spPr>
                  </pic:pic>
                </a:graphicData>
              </a:graphic>
              <wp14:sizeRelH relativeFrom="page">
                <wp14:pctWidth>0</wp14:pctWidth>
              </wp14:sizeRelH>
              <wp14:sizeRelV relativeFrom="page">
                <wp14:pctHeight>0</wp14:pctHeight>
              </wp14:sizeRelV>
            </wp:anchor>
          </w:drawing>
        </w:r>
        <w:r w:rsidRPr="0067048C">
          <w:rPr>
            <w:sz w:val="18"/>
            <w:szCs w:val="18"/>
          </w:rPr>
          <w:fldChar w:fldCharType="begin"/>
        </w:r>
        <w:r w:rsidRPr="0067048C">
          <w:rPr>
            <w:sz w:val="18"/>
            <w:szCs w:val="18"/>
          </w:rPr>
          <w:instrText>PAGE   \* MERGEFORMAT</w:instrText>
        </w:r>
        <w:r w:rsidRPr="0067048C">
          <w:rPr>
            <w:sz w:val="18"/>
            <w:szCs w:val="18"/>
          </w:rPr>
          <w:fldChar w:fldCharType="separate"/>
        </w:r>
        <w:r w:rsidRPr="0067048C">
          <w:rPr>
            <w:sz w:val="18"/>
            <w:szCs w:val="18"/>
          </w:rPr>
          <w:t>2</w:t>
        </w:r>
        <w:r w:rsidRPr="0067048C">
          <w:rPr>
            <w:sz w:val="18"/>
            <w:szCs w:val="18"/>
          </w:rPr>
          <w:fldChar w:fldCharType="end"/>
        </w:r>
      </w:p>
      <w:p w14:paraId="75EA70EC" w14:textId="77777777" w:rsidR="00552F8D" w:rsidRDefault="005F12D7" w:rsidP="00896494">
        <w:pPr>
          <w:pStyle w:val="Piedepgina"/>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0528429"/>
      <w:docPartObj>
        <w:docPartGallery w:val="Page Numbers (Bottom of Page)"/>
        <w:docPartUnique/>
      </w:docPartObj>
    </w:sdtPr>
    <w:sdtEndPr>
      <w:rPr>
        <w:rFonts w:ascii="Times New Roman" w:hAnsi="Times New Roman" w:cs="Times New Roman"/>
      </w:rPr>
    </w:sdtEndPr>
    <w:sdtContent>
      <w:p w14:paraId="62EDE662" w14:textId="77777777" w:rsidR="00552F8D" w:rsidRPr="006B0ABB" w:rsidRDefault="00552F8D" w:rsidP="006B0ABB">
        <w:pPr>
          <w:pStyle w:val="Piedepgina"/>
          <w:jc w:val="center"/>
          <w:rPr>
            <w:rFonts w:ascii="Times New Roman" w:hAnsi="Times New Roman" w:cs="Times New Roman"/>
          </w:rPr>
        </w:pPr>
        <w:r w:rsidRPr="006B0ABB">
          <w:rPr>
            <w:rFonts w:ascii="Times New Roman" w:hAnsi="Times New Roman" w:cs="Times New Roman"/>
          </w:rPr>
          <w:fldChar w:fldCharType="begin"/>
        </w:r>
        <w:r w:rsidRPr="006B0ABB">
          <w:rPr>
            <w:rFonts w:ascii="Times New Roman" w:hAnsi="Times New Roman" w:cs="Times New Roman"/>
          </w:rPr>
          <w:instrText>PAGE   \* MERGEFORMAT</w:instrText>
        </w:r>
        <w:r w:rsidRPr="006B0ABB">
          <w:rPr>
            <w:rFonts w:ascii="Times New Roman" w:hAnsi="Times New Roman" w:cs="Times New Roman"/>
          </w:rPr>
          <w:fldChar w:fldCharType="separate"/>
        </w:r>
        <w:r w:rsidRPr="006B0ABB">
          <w:rPr>
            <w:rFonts w:ascii="Times New Roman" w:hAnsi="Times New Roman" w:cs="Times New Roman"/>
            <w:noProof/>
          </w:rPr>
          <w:t>79</w:t>
        </w:r>
        <w:r w:rsidRPr="006B0ABB">
          <w:rPr>
            <w:rFonts w:ascii="Times New Roman" w:hAnsi="Times New Roman" w:cs="Times New Roman"/>
          </w:rPr>
          <w:fldChar w:fldCharType="end"/>
        </w:r>
      </w:p>
    </w:sdtContent>
  </w:sdt>
  <w:p w14:paraId="5BAC3423" w14:textId="77777777" w:rsidR="00552F8D" w:rsidRDefault="00552F8D" w:rsidP="0003508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7FA61" w14:textId="77777777" w:rsidR="00DF7E51" w:rsidRDefault="00DF7E51" w:rsidP="0003508A">
      <w:r>
        <w:separator/>
      </w:r>
    </w:p>
  </w:footnote>
  <w:footnote w:type="continuationSeparator" w:id="0">
    <w:p w14:paraId="589AB9D3" w14:textId="77777777" w:rsidR="00DF7E51" w:rsidRDefault="00DF7E51" w:rsidP="0003508A">
      <w:r>
        <w:continuationSeparator/>
      </w:r>
    </w:p>
  </w:footnote>
  <w:footnote w:type="continuationNotice" w:id="1">
    <w:p w14:paraId="7014385A" w14:textId="77777777" w:rsidR="00C11186" w:rsidRDefault="00C1118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5900C" w14:textId="77777777" w:rsidR="00552F8D" w:rsidRDefault="00552F8D" w:rsidP="0003508A">
    <w:pPr>
      <w:pStyle w:val="Encabezado"/>
    </w:pPr>
  </w:p>
  <w:p w14:paraId="33C4204F" w14:textId="77777777" w:rsidR="00552F8D" w:rsidRPr="007B4152" w:rsidRDefault="00552F8D" w:rsidP="0003508A">
    <w:pPr>
      <w:pStyle w:val="Encabezado"/>
      <w:rPr>
        <w:lang w:val="en-US"/>
      </w:rPr>
    </w:pPr>
    <w:r>
      <w:rPr>
        <w:noProof/>
        <w:sz w:val="24"/>
        <w:lang w:eastAsia="es-ES"/>
      </w:rPr>
      <mc:AlternateContent>
        <mc:Choice Requires="wps">
          <w:drawing>
            <wp:anchor distT="0" distB="0" distL="114300" distR="114300" simplePos="0" relativeHeight="251658240" behindDoc="0" locked="0" layoutInCell="1" allowOverlap="1" wp14:anchorId="2028F678" wp14:editId="5E841F47">
              <wp:simplePos x="0" y="0"/>
              <wp:positionH relativeFrom="margin">
                <wp:align>center</wp:align>
              </wp:positionH>
              <wp:positionV relativeFrom="paragraph">
                <wp:posOffset>201322</wp:posOffset>
              </wp:positionV>
              <wp:extent cx="4968000" cy="0"/>
              <wp:effectExtent l="19050" t="19050" r="4445" b="19050"/>
              <wp:wrapNone/>
              <wp:docPr id="6" name="Conector recto 6"/>
              <wp:cNvGraphicFramePr/>
              <a:graphic xmlns:a="http://schemas.openxmlformats.org/drawingml/2006/main">
                <a:graphicData uri="http://schemas.microsoft.com/office/word/2010/wordprocessingShape">
                  <wps:wsp>
                    <wps:cNvCnPr/>
                    <wps:spPr>
                      <a:xfrm flipH="1">
                        <a:off x="0" y="0"/>
                        <a:ext cx="4968000" cy="0"/>
                      </a:xfrm>
                      <a:prstGeom prst="line">
                        <a:avLst/>
                      </a:prstGeom>
                      <a:ln w="28575">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BF22BD2" id="Conector recto 6" o:spid="_x0000_s1026" style="position:absolute;flip:x;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5.85pt" to="391.2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" strokecolor="#92d050" strokeweight="2.25pt">
              <v:stroke joinstyle="miter"/>
              <w10:wrap anchorx="margin"/>
            </v:line>
          </w:pict>
        </mc:Fallback>
      </mc:AlternateContent>
    </w:r>
    <w:r w:rsidRPr="007B4152">
      <w:rPr>
        <w:lang w:val="en-US"/>
      </w:rPr>
      <w:t xml:space="preserve">Analysis of criteria for the acquisition of vaccines in Spain: in search of an ideal sustainable model </w:t>
    </w:r>
  </w:p>
  <w:p w14:paraId="06184B99" w14:textId="77777777" w:rsidR="00552F8D" w:rsidRPr="007B4152" w:rsidRDefault="00552F8D" w:rsidP="0003508A">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55537"/>
    <w:multiLevelType w:val="hybridMultilevel"/>
    <w:tmpl w:val="B5F040DA"/>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 w15:restartNumberingAfterBreak="0">
    <w:nsid w:val="0EC009E2"/>
    <w:multiLevelType w:val="hybridMultilevel"/>
    <w:tmpl w:val="E2FCA3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C91192E"/>
    <w:multiLevelType w:val="hybridMultilevel"/>
    <w:tmpl w:val="6C044E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E55657D"/>
    <w:multiLevelType w:val="hybridMultilevel"/>
    <w:tmpl w:val="83F003A6"/>
    <w:lvl w:ilvl="0" w:tplc="0C0A0001">
      <w:start w:val="1"/>
      <w:numFmt w:val="bullet"/>
      <w:lvlText w:val=""/>
      <w:lvlJc w:val="left"/>
      <w:pPr>
        <w:ind w:left="814" w:hanging="360"/>
      </w:pPr>
      <w:rPr>
        <w:rFonts w:ascii="Symbol" w:hAnsi="Symbol" w:hint="default"/>
      </w:rPr>
    </w:lvl>
    <w:lvl w:ilvl="1" w:tplc="0C0A0003" w:tentative="1">
      <w:start w:val="1"/>
      <w:numFmt w:val="bullet"/>
      <w:lvlText w:val="o"/>
      <w:lvlJc w:val="left"/>
      <w:pPr>
        <w:ind w:left="1534" w:hanging="360"/>
      </w:pPr>
      <w:rPr>
        <w:rFonts w:ascii="Courier New" w:hAnsi="Courier New" w:cs="Courier New" w:hint="default"/>
      </w:rPr>
    </w:lvl>
    <w:lvl w:ilvl="2" w:tplc="0C0A0005" w:tentative="1">
      <w:start w:val="1"/>
      <w:numFmt w:val="bullet"/>
      <w:lvlText w:val=""/>
      <w:lvlJc w:val="left"/>
      <w:pPr>
        <w:ind w:left="2254" w:hanging="360"/>
      </w:pPr>
      <w:rPr>
        <w:rFonts w:ascii="Wingdings" w:hAnsi="Wingdings" w:hint="default"/>
      </w:rPr>
    </w:lvl>
    <w:lvl w:ilvl="3" w:tplc="0C0A0001" w:tentative="1">
      <w:start w:val="1"/>
      <w:numFmt w:val="bullet"/>
      <w:lvlText w:val=""/>
      <w:lvlJc w:val="left"/>
      <w:pPr>
        <w:ind w:left="2974" w:hanging="360"/>
      </w:pPr>
      <w:rPr>
        <w:rFonts w:ascii="Symbol" w:hAnsi="Symbol" w:hint="default"/>
      </w:rPr>
    </w:lvl>
    <w:lvl w:ilvl="4" w:tplc="0C0A0003" w:tentative="1">
      <w:start w:val="1"/>
      <w:numFmt w:val="bullet"/>
      <w:lvlText w:val="o"/>
      <w:lvlJc w:val="left"/>
      <w:pPr>
        <w:ind w:left="3694" w:hanging="360"/>
      </w:pPr>
      <w:rPr>
        <w:rFonts w:ascii="Courier New" w:hAnsi="Courier New" w:cs="Courier New" w:hint="default"/>
      </w:rPr>
    </w:lvl>
    <w:lvl w:ilvl="5" w:tplc="0C0A0005" w:tentative="1">
      <w:start w:val="1"/>
      <w:numFmt w:val="bullet"/>
      <w:lvlText w:val=""/>
      <w:lvlJc w:val="left"/>
      <w:pPr>
        <w:ind w:left="4414" w:hanging="360"/>
      </w:pPr>
      <w:rPr>
        <w:rFonts w:ascii="Wingdings" w:hAnsi="Wingdings" w:hint="default"/>
      </w:rPr>
    </w:lvl>
    <w:lvl w:ilvl="6" w:tplc="0C0A0001" w:tentative="1">
      <w:start w:val="1"/>
      <w:numFmt w:val="bullet"/>
      <w:lvlText w:val=""/>
      <w:lvlJc w:val="left"/>
      <w:pPr>
        <w:ind w:left="5134" w:hanging="360"/>
      </w:pPr>
      <w:rPr>
        <w:rFonts w:ascii="Symbol" w:hAnsi="Symbol" w:hint="default"/>
      </w:rPr>
    </w:lvl>
    <w:lvl w:ilvl="7" w:tplc="0C0A0003" w:tentative="1">
      <w:start w:val="1"/>
      <w:numFmt w:val="bullet"/>
      <w:lvlText w:val="o"/>
      <w:lvlJc w:val="left"/>
      <w:pPr>
        <w:ind w:left="5854" w:hanging="360"/>
      </w:pPr>
      <w:rPr>
        <w:rFonts w:ascii="Courier New" w:hAnsi="Courier New" w:cs="Courier New" w:hint="default"/>
      </w:rPr>
    </w:lvl>
    <w:lvl w:ilvl="8" w:tplc="0C0A0005" w:tentative="1">
      <w:start w:val="1"/>
      <w:numFmt w:val="bullet"/>
      <w:lvlText w:val=""/>
      <w:lvlJc w:val="left"/>
      <w:pPr>
        <w:ind w:left="6574" w:hanging="360"/>
      </w:pPr>
      <w:rPr>
        <w:rFonts w:ascii="Wingdings" w:hAnsi="Wingdings" w:hint="default"/>
      </w:rPr>
    </w:lvl>
  </w:abstractNum>
  <w:abstractNum w:abstractNumId="4" w15:restartNumberingAfterBreak="0">
    <w:nsid w:val="23610406"/>
    <w:multiLevelType w:val="hybridMultilevel"/>
    <w:tmpl w:val="F58CB32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6F0029C"/>
    <w:multiLevelType w:val="hybridMultilevel"/>
    <w:tmpl w:val="B49652B6"/>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6" w15:restartNumberingAfterBreak="0">
    <w:nsid w:val="27441B68"/>
    <w:multiLevelType w:val="hybridMultilevel"/>
    <w:tmpl w:val="59D6DB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18E5BE8"/>
    <w:multiLevelType w:val="hybridMultilevel"/>
    <w:tmpl w:val="5A3C2F66"/>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8" w15:restartNumberingAfterBreak="0">
    <w:nsid w:val="34F97CDE"/>
    <w:multiLevelType w:val="hybridMultilevel"/>
    <w:tmpl w:val="D3002550"/>
    <w:lvl w:ilvl="0" w:tplc="0C0A001B">
      <w:start w:val="1"/>
      <w:numFmt w:val="lowerRoman"/>
      <w:lvlText w:val="%1."/>
      <w:lvlJc w:val="right"/>
      <w:pPr>
        <w:ind w:left="1420" w:hanging="360"/>
      </w:pPr>
    </w:lvl>
    <w:lvl w:ilvl="1" w:tplc="F8CEB9A2">
      <w:start w:val="1"/>
      <w:numFmt w:val="lowerLetter"/>
      <w:lvlText w:val="%2."/>
      <w:lvlJc w:val="left"/>
      <w:pPr>
        <w:ind w:left="2485" w:hanging="705"/>
      </w:pPr>
      <w:rPr>
        <w:rFonts w:hint="default"/>
      </w:rPr>
    </w:lvl>
    <w:lvl w:ilvl="2" w:tplc="0C0A001B" w:tentative="1">
      <w:start w:val="1"/>
      <w:numFmt w:val="lowerRoman"/>
      <w:lvlText w:val="%3."/>
      <w:lvlJc w:val="right"/>
      <w:pPr>
        <w:ind w:left="2860" w:hanging="180"/>
      </w:pPr>
    </w:lvl>
    <w:lvl w:ilvl="3" w:tplc="0C0A000F" w:tentative="1">
      <w:start w:val="1"/>
      <w:numFmt w:val="decimal"/>
      <w:lvlText w:val="%4."/>
      <w:lvlJc w:val="left"/>
      <w:pPr>
        <w:ind w:left="3580" w:hanging="360"/>
      </w:pPr>
    </w:lvl>
    <w:lvl w:ilvl="4" w:tplc="0C0A0019" w:tentative="1">
      <w:start w:val="1"/>
      <w:numFmt w:val="lowerLetter"/>
      <w:lvlText w:val="%5."/>
      <w:lvlJc w:val="left"/>
      <w:pPr>
        <w:ind w:left="4300" w:hanging="360"/>
      </w:pPr>
    </w:lvl>
    <w:lvl w:ilvl="5" w:tplc="0C0A001B" w:tentative="1">
      <w:start w:val="1"/>
      <w:numFmt w:val="lowerRoman"/>
      <w:lvlText w:val="%6."/>
      <w:lvlJc w:val="right"/>
      <w:pPr>
        <w:ind w:left="5020" w:hanging="180"/>
      </w:pPr>
    </w:lvl>
    <w:lvl w:ilvl="6" w:tplc="0C0A000F" w:tentative="1">
      <w:start w:val="1"/>
      <w:numFmt w:val="decimal"/>
      <w:lvlText w:val="%7."/>
      <w:lvlJc w:val="left"/>
      <w:pPr>
        <w:ind w:left="5740" w:hanging="360"/>
      </w:pPr>
    </w:lvl>
    <w:lvl w:ilvl="7" w:tplc="0C0A0019" w:tentative="1">
      <w:start w:val="1"/>
      <w:numFmt w:val="lowerLetter"/>
      <w:lvlText w:val="%8."/>
      <w:lvlJc w:val="left"/>
      <w:pPr>
        <w:ind w:left="6460" w:hanging="360"/>
      </w:pPr>
    </w:lvl>
    <w:lvl w:ilvl="8" w:tplc="0C0A001B" w:tentative="1">
      <w:start w:val="1"/>
      <w:numFmt w:val="lowerRoman"/>
      <w:lvlText w:val="%9."/>
      <w:lvlJc w:val="right"/>
      <w:pPr>
        <w:ind w:left="7180" w:hanging="180"/>
      </w:pPr>
    </w:lvl>
  </w:abstractNum>
  <w:abstractNum w:abstractNumId="9" w15:restartNumberingAfterBreak="0">
    <w:nsid w:val="3CEB3F12"/>
    <w:multiLevelType w:val="hybridMultilevel"/>
    <w:tmpl w:val="A09C1B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2F621A4"/>
    <w:multiLevelType w:val="hybridMultilevel"/>
    <w:tmpl w:val="982C6D46"/>
    <w:lvl w:ilvl="0" w:tplc="0C0A0017">
      <w:start w:val="1"/>
      <w:numFmt w:val="lowerLetter"/>
      <w:lvlText w:val="%1)"/>
      <w:lvlJc w:val="left"/>
      <w:pPr>
        <w:ind w:left="720" w:hanging="360"/>
      </w:pPr>
      <w:rPr>
        <w:rFonts w:hint="default"/>
        <w:color w:val="4A4F9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95F7C50"/>
    <w:multiLevelType w:val="hybridMultilevel"/>
    <w:tmpl w:val="9F946A98"/>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2" w15:restartNumberingAfterBreak="0">
    <w:nsid w:val="4E5147F1"/>
    <w:multiLevelType w:val="hybridMultilevel"/>
    <w:tmpl w:val="36FCF1C2"/>
    <w:lvl w:ilvl="0" w:tplc="0C0A0001">
      <w:start w:val="1"/>
      <w:numFmt w:val="bullet"/>
      <w:lvlText w:val=""/>
      <w:lvlJc w:val="left"/>
      <w:pPr>
        <w:ind w:left="768" w:hanging="360"/>
      </w:pPr>
      <w:rPr>
        <w:rFonts w:ascii="Symbol" w:hAnsi="Symbol" w:hint="default"/>
      </w:rPr>
    </w:lvl>
    <w:lvl w:ilvl="1" w:tplc="0C0A0003" w:tentative="1">
      <w:start w:val="1"/>
      <w:numFmt w:val="bullet"/>
      <w:lvlText w:val="o"/>
      <w:lvlJc w:val="left"/>
      <w:pPr>
        <w:ind w:left="1488" w:hanging="360"/>
      </w:pPr>
      <w:rPr>
        <w:rFonts w:ascii="Courier New" w:hAnsi="Courier New" w:cs="Courier New" w:hint="default"/>
      </w:rPr>
    </w:lvl>
    <w:lvl w:ilvl="2" w:tplc="0C0A0005" w:tentative="1">
      <w:start w:val="1"/>
      <w:numFmt w:val="bullet"/>
      <w:lvlText w:val=""/>
      <w:lvlJc w:val="left"/>
      <w:pPr>
        <w:ind w:left="2208" w:hanging="360"/>
      </w:pPr>
      <w:rPr>
        <w:rFonts w:ascii="Wingdings" w:hAnsi="Wingdings" w:hint="default"/>
      </w:rPr>
    </w:lvl>
    <w:lvl w:ilvl="3" w:tplc="0C0A0001" w:tentative="1">
      <w:start w:val="1"/>
      <w:numFmt w:val="bullet"/>
      <w:lvlText w:val=""/>
      <w:lvlJc w:val="left"/>
      <w:pPr>
        <w:ind w:left="2928" w:hanging="360"/>
      </w:pPr>
      <w:rPr>
        <w:rFonts w:ascii="Symbol" w:hAnsi="Symbol" w:hint="default"/>
      </w:rPr>
    </w:lvl>
    <w:lvl w:ilvl="4" w:tplc="0C0A0003" w:tentative="1">
      <w:start w:val="1"/>
      <w:numFmt w:val="bullet"/>
      <w:lvlText w:val="o"/>
      <w:lvlJc w:val="left"/>
      <w:pPr>
        <w:ind w:left="3648" w:hanging="360"/>
      </w:pPr>
      <w:rPr>
        <w:rFonts w:ascii="Courier New" w:hAnsi="Courier New" w:cs="Courier New" w:hint="default"/>
      </w:rPr>
    </w:lvl>
    <w:lvl w:ilvl="5" w:tplc="0C0A0005" w:tentative="1">
      <w:start w:val="1"/>
      <w:numFmt w:val="bullet"/>
      <w:lvlText w:val=""/>
      <w:lvlJc w:val="left"/>
      <w:pPr>
        <w:ind w:left="4368" w:hanging="360"/>
      </w:pPr>
      <w:rPr>
        <w:rFonts w:ascii="Wingdings" w:hAnsi="Wingdings" w:hint="default"/>
      </w:rPr>
    </w:lvl>
    <w:lvl w:ilvl="6" w:tplc="0C0A0001" w:tentative="1">
      <w:start w:val="1"/>
      <w:numFmt w:val="bullet"/>
      <w:lvlText w:val=""/>
      <w:lvlJc w:val="left"/>
      <w:pPr>
        <w:ind w:left="5088" w:hanging="360"/>
      </w:pPr>
      <w:rPr>
        <w:rFonts w:ascii="Symbol" w:hAnsi="Symbol" w:hint="default"/>
      </w:rPr>
    </w:lvl>
    <w:lvl w:ilvl="7" w:tplc="0C0A0003" w:tentative="1">
      <w:start w:val="1"/>
      <w:numFmt w:val="bullet"/>
      <w:lvlText w:val="o"/>
      <w:lvlJc w:val="left"/>
      <w:pPr>
        <w:ind w:left="5808" w:hanging="360"/>
      </w:pPr>
      <w:rPr>
        <w:rFonts w:ascii="Courier New" w:hAnsi="Courier New" w:cs="Courier New" w:hint="default"/>
      </w:rPr>
    </w:lvl>
    <w:lvl w:ilvl="8" w:tplc="0C0A0005" w:tentative="1">
      <w:start w:val="1"/>
      <w:numFmt w:val="bullet"/>
      <w:lvlText w:val=""/>
      <w:lvlJc w:val="left"/>
      <w:pPr>
        <w:ind w:left="6528" w:hanging="360"/>
      </w:pPr>
      <w:rPr>
        <w:rFonts w:ascii="Wingdings" w:hAnsi="Wingdings" w:hint="default"/>
      </w:rPr>
    </w:lvl>
  </w:abstractNum>
  <w:abstractNum w:abstractNumId="13" w15:restartNumberingAfterBreak="0">
    <w:nsid w:val="568278FA"/>
    <w:multiLevelType w:val="hybridMultilevel"/>
    <w:tmpl w:val="E1503934"/>
    <w:lvl w:ilvl="0" w:tplc="0C0A0001">
      <w:start w:val="1"/>
      <w:numFmt w:val="bullet"/>
      <w:lvlText w:val=""/>
      <w:lvlJc w:val="left"/>
      <w:pPr>
        <w:ind w:left="2280" w:hanging="360"/>
      </w:pPr>
      <w:rPr>
        <w:rFonts w:ascii="Symbol" w:hAnsi="Symbol" w:hint="default"/>
      </w:rPr>
    </w:lvl>
    <w:lvl w:ilvl="1" w:tplc="0C0A0003" w:tentative="1">
      <w:start w:val="1"/>
      <w:numFmt w:val="bullet"/>
      <w:lvlText w:val="o"/>
      <w:lvlJc w:val="left"/>
      <w:pPr>
        <w:ind w:left="3000" w:hanging="360"/>
      </w:pPr>
      <w:rPr>
        <w:rFonts w:ascii="Courier New" w:hAnsi="Courier New" w:cs="Courier New" w:hint="default"/>
      </w:rPr>
    </w:lvl>
    <w:lvl w:ilvl="2" w:tplc="0C0A0005" w:tentative="1">
      <w:start w:val="1"/>
      <w:numFmt w:val="bullet"/>
      <w:lvlText w:val=""/>
      <w:lvlJc w:val="left"/>
      <w:pPr>
        <w:ind w:left="3720" w:hanging="360"/>
      </w:pPr>
      <w:rPr>
        <w:rFonts w:ascii="Wingdings" w:hAnsi="Wingdings" w:hint="default"/>
      </w:rPr>
    </w:lvl>
    <w:lvl w:ilvl="3" w:tplc="0C0A0001" w:tentative="1">
      <w:start w:val="1"/>
      <w:numFmt w:val="bullet"/>
      <w:lvlText w:val=""/>
      <w:lvlJc w:val="left"/>
      <w:pPr>
        <w:ind w:left="4440" w:hanging="360"/>
      </w:pPr>
      <w:rPr>
        <w:rFonts w:ascii="Symbol" w:hAnsi="Symbol" w:hint="default"/>
      </w:rPr>
    </w:lvl>
    <w:lvl w:ilvl="4" w:tplc="0C0A0003" w:tentative="1">
      <w:start w:val="1"/>
      <w:numFmt w:val="bullet"/>
      <w:lvlText w:val="o"/>
      <w:lvlJc w:val="left"/>
      <w:pPr>
        <w:ind w:left="5160" w:hanging="360"/>
      </w:pPr>
      <w:rPr>
        <w:rFonts w:ascii="Courier New" w:hAnsi="Courier New" w:cs="Courier New" w:hint="default"/>
      </w:rPr>
    </w:lvl>
    <w:lvl w:ilvl="5" w:tplc="0C0A0005" w:tentative="1">
      <w:start w:val="1"/>
      <w:numFmt w:val="bullet"/>
      <w:lvlText w:val=""/>
      <w:lvlJc w:val="left"/>
      <w:pPr>
        <w:ind w:left="5880" w:hanging="360"/>
      </w:pPr>
      <w:rPr>
        <w:rFonts w:ascii="Wingdings" w:hAnsi="Wingdings" w:hint="default"/>
      </w:rPr>
    </w:lvl>
    <w:lvl w:ilvl="6" w:tplc="0C0A0001" w:tentative="1">
      <w:start w:val="1"/>
      <w:numFmt w:val="bullet"/>
      <w:lvlText w:val=""/>
      <w:lvlJc w:val="left"/>
      <w:pPr>
        <w:ind w:left="6600" w:hanging="360"/>
      </w:pPr>
      <w:rPr>
        <w:rFonts w:ascii="Symbol" w:hAnsi="Symbol" w:hint="default"/>
      </w:rPr>
    </w:lvl>
    <w:lvl w:ilvl="7" w:tplc="0C0A0003" w:tentative="1">
      <w:start w:val="1"/>
      <w:numFmt w:val="bullet"/>
      <w:lvlText w:val="o"/>
      <w:lvlJc w:val="left"/>
      <w:pPr>
        <w:ind w:left="7320" w:hanging="360"/>
      </w:pPr>
      <w:rPr>
        <w:rFonts w:ascii="Courier New" w:hAnsi="Courier New" w:cs="Courier New" w:hint="default"/>
      </w:rPr>
    </w:lvl>
    <w:lvl w:ilvl="8" w:tplc="0C0A0005" w:tentative="1">
      <w:start w:val="1"/>
      <w:numFmt w:val="bullet"/>
      <w:lvlText w:val=""/>
      <w:lvlJc w:val="left"/>
      <w:pPr>
        <w:ind w:left="8040" w:hanging="360"/>
      </w:pPr>
      <w:rPr>
        <w:rFonts w:ascii="Wingdings" w:hAnsi="Wingdings" w:hint="default"/>
      </w:rPr>
    </w:lvl>
  </w:abstractNum>
  <w:abstractNum w:abstractNumId="14" w15:restartNumberingAfterBreak="0">
    <w:nsid w:val="5D0C5219"/>
    <w:multiLevelType w:val="hybridMultilevel"/>
    <w:tmpl w:val="903CF7C0"/>
    <w:lvl w:ilvl="0" w:tplc="E63886FE">
      <w:start w:val="1"/>
      <w:numFmt w:val="bullet"/>
      <w:lvlText w:val=""/>
      <w:lvlJc w:val="left"/>
      <w:pPr>
        <w:ind w:left="720" w:hanging="360"/>
      </w:pPr>
      <w:rPr>
        <w:rFonts w:ascii="Wingdings" w:hAnsi="Wingdings" w:hint="default"/>
        <w:color w:val="4A4F9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D100A72"/>
    <w:multiLevelType w:val="hybridMultilevel"/>
    <w:tmpl w:val="B86A5D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E220CA8"/>
    <w:multiLevelType w:val="hybridMultilevel"/>
    <w:tmpl w:val="8346A0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023634E"/>
    <w:multiLevelType w:val="multilevel"/>
    <w:tmpl w:val="40CE68D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val="es-E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57D34C1"/>
    <w:multiLevelType w:val="hybridMultilevel"/>
    <w:tmpl w:val="3210172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C537888"/>
    <w:multiLevelType w:val="hybridMultilevel"/>
    <w:tmpl w:val="ADFE9C0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737D4EC3"/>
    <w:multiLevelType w:val="hybridMultilevel"/>
    <w:tmpl w:val="B216755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C2E47C3"/>
    <w:multiLevelType w:val="multilevel"/>
    <w:tmpl w:val="40CE68D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val="es-E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E5E221E"/>
    <w:multiLevelType w:val="hybridMultilevel"/>
    <w:tmpl w:val="2EB68948"/>
    <w:lvl w:ilvl="0" w:tplc="0B5AFE96">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9"/>
  </w:num>
  <w:num w:numId="4">
    <w:abstractNumId w:val="12"/>
  </w:num>
  <w:num w:numId="5">
    <w:abstractNumId w:val="6"/>
  </w:num>
  <w:num w:numId="6">
    <w:abstractNumId w:val="21"/>
  </w:num>
  <w:num w:numId="7">
    <w:abstractNumId w:val="3"/>
  </w:num>
  <w:num w:numId="8">
    <w:abstractNumId w:val="14"/>
  </w:num>
  <w:num w:numId="9">
    <w:abstractNumId w:val="22"/>
  </w:num>
  <w:num w:numId="10">
    <w:abstractNumId w:val="5"/>
  </w:num>
  <w:num w:numId="11">
    <w:abstractNumId w:val="11"/>
  </w:num>
  <w:num w:numId="12">
    <w:abstractNumId w:val="7"/>
  </w:num>
  <w:num w:numId="13">
    <w:abstractNumId w:val="0"/>
  </w:num>
  <w:num w:numId="14">
    <w:abstractNumId w:val="15"/>
  </w:num>
  <w:num w:numId="15">
    <w:abstractNumId w:val="1"/>
  </w:num>
  <w:num w:numId="16">
    <w:abstractNumId w:val="4"/>
  </w:num>
  <w:num w:numId="17">
    <w:abstractNumId w:val="20"/>
  </w:num>
  <w:num w:numId="18">
    <w:abstractNumId w:val="13"/>
  </w:num>
  <w:num w:numId="19">
    <w:abstractNumId w:val="8"/>
  </w:num>
  <w:num w:numId="20">
    <w:abstractNumId w:val="16"/>
  </w:num>
  <w:num w:numId="21">
    <w:abstractNumId w:val="2"/>
  </w:num>
  <w:num w:numId="22">
    <w:abstractNumId w:val="18"/>
  </w:num>
  <w:num w:numId="23">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E03"/>
    <w:rsid w:val="000007E0"/>
    <w:rsid w:val="00000AC9"/>
    <w:rsid w:val="00001F3A"/>
    <w:rsid w:val="000035AA"/>
    <w:rsid w:val="00003FB4"/>
    <w:rsid w:val="000049A1"/>
    <w:rsid w:val="00004DB9"/>
    <w:rsid w:val="00005140"/>
    <w:rsid w:val="000053BD"/>
    <w:rsid w:val="0000565D"/>
    <w:rsid w:val="00005CD2"/>
    <w:rsid w:val="000066D4"/>
    <w:rsid w:val="00007061"/>
    <w:rsid w:val="00007DCD"/>
    <w:rsid w:val="00007DF0"/>
    <w:rsid w:val="00007F79"/>
    <w:rsid w:val="0001035A"/>
    <w:rsid w:val="000109A0"/>
    <w:rsid w:val="0001195C"/>
    <w:rsid w:val="00011EDE"/>
    <w:rsid w:val="00012D22"/>
    <w:rsid w:val="00012E04"/>
    <w:rsid w:val="0001347D"/>
    <w:rsid w:val="00013B7A"/>
    <w:rsid w:val="000148CE"/>
    <w:rsid w:val="00015152"/>
    <w:rsid w:val="00015CA1"/>
    <w:rsid w:val="00015D52"/>
    <w:rsid w:val="0001692F"/>
    <w:rsid w:val="0001696B"/>
    <w:rsid w:val="00016DD3"/>
    <w:rsid w:val="000172E9"/>
    <w:rsid w:val="00017B94"/>
    <w:rsid w:val="000200C1"/>
    <w:rsid w:val="00020155"/>
    <w:rsid w:val="00020AE0"/>
    <w:rsid w:val="00020FCD"/>
    <w:rsid w:val="000214CF"/>
    <w:rsid w:val="0002292A"/>
    <w:rsid w:val="00022A14"/>
    <w:rsid w:val="00022CC4"/>
    <w:rsid w:val="000234F5"/>
    <w:rsid w:val="0002384A"/>
    <w:rsid w:val="0002404C"/>
    <w:rsid w:val="0002436F"/>
    <w:rsid w:val="00024492"/>
    <w:rsid w:val="00024996"/>
    <w:rsid w:val="00025E29"/>
    <w:rsid w:val="00027069"/>
    <w:rsid w:val="00027B4B"/>
    <w:rsid w:val="00027EB8"/>
    <w:rsid w:val="00030B09"/>
    <w:rsid w:val="00031141"/>
    <w:rsid w:val="00031BE0"/>
    <w:rsid w:val="00031D10"/>
    <w:rsid w:val="00031E71"/>
    <w:rsid w:val="000320B2"/>
    <w:rsid w:val="00032194"/>
    <w:rsid w:val="000325E9"/>
    <w:rsid w:val="00033381"/>
    <w:rsid w:val="00033820"/>
    <w:rsid w:val="00033B2B"/>
    <w:rsid w:val="0003422E"/>
    <w:rsid w:val="000343F1"/>
    <w:rsid w:val="00034BE0"/>
    <w:rsid w:val="0003508A"/>
    <w:rsid w:val="000357E4"/>
    <w:rsid w:val="00035DF4"/>
    <w:rsid w:val="00036270"/>
    <w:rsid w:val="000373C8"/>
    <w:rsid w:val="00037639"/>
    <w:rsid w:val="000400B7"/>
    <w:rsid w:val="000402AE"/>
    <w:rsid w:val="00040316"/>
    <w:rsid w:val="00041260"/>
    <w:rsid w:val="000412D3"/>
    <w:rsid w:val="000414B0"/>
    <w:rsid w:val="00043ED4"/>
    <w:rsid w:val="00044170"/>
    <w:rsid w:val="00044CAC"/>
    <w:rsid w:val="00045507"/>
    <w:rsid w:val="00045EAC"/>
    <w:rsid w:val="000467C4"/>
    <w:rsid w:val="00046E6A"/>
    <w:rsid w:val="00046F89"/>
    <w:rsid w:val="00047569"/>
    <w:rsid w:val="00047659"/>
    <w:rsid w:val="000476AD"/>
    <w:rsid w:val="0005053C"/>
    <w:rsid w:val="00050CE3"/>
    <w:rsid w:val="00050F70"/>
    <w:rsid w:val="00052DC4"/>
    <w:rsid w:val="0005322A"/>
    <w:rsid w:val="00053A3B"/>
    <w:rsid w:val="00053ACE"/>
    <w:rsid w:val="00055754"/>
    <w:rsid w:val="00056288"/>
    <w:rsid w:val="00056516"/>
    <w:rsid w:val="00056842"/>
    <w:rsid w:val="000568E4"/>
    <w:rsid w:val="0005695C"/>
    <w:rsid w:val="00056BE3"/>
    <w:rsid w:val="00057896"/>
    <w:rsid w:val="00057AD3"/>
    <w:rsid w:val="00057C61"/>
    <w:rsid w:val="000618AE"/>
    <w:rsid w:val="00061D16"/>
    <w:rsid w:val="0006246E"/>
    <w:rsid w:val="00062C0E"/>
    <w:rsid w:val="000638B3"/>
    <w:rsid w:val="00063939"/>
    <w:rsid w:val="0006441A"/>
    <w:rsid w:val="000647F8"/>
    <w:rsid w:val="00065846"/>
    <w:rsid w:val="00065E64"/>
    <w:rsid w:val="0006615F"/>
    <w:rsid w:val="00067A5C"/>
    <w:rsid w:val="00067E2F"/>
    <w:rsid w:val="00070237"/>
    <w:rsid w:val="000702CB"/>
    <w:rsid w:val="000706AD"/>
    <w:rsid w:val="00070A3D"/>
    <w:rsid w:val="0007111A"/>
    <w:rsid w:val="00071237"/>
    <w:rsid w:val="0007126A"/>
    <w:rsid w:val="0007182A"/>
    <w:rsid w:val="00071BC6"/>
    <w:rsid w:val="00071D73"/>
    <w:rsid w:val="0007291E"/>
    <w:rsid w:val="00072D19"/>
    <w:rsid w:val="00072FA2"/>
    <w:rsid w:val="000736EB"/>
    <w:rsid w:val="00073945"/>
    <w:rsid w:val="00073B9A"/>
    <w:rsid w:val="00073D9B"/>
    <w:rsid w:val="00074A06"/>
    <w:rsid w:val="00075567"/>
    <w:rsid w:val="00075FD1"/>
    <w:rsid w:val="000766C9"/>
    <w:rsid w:val="00077498"/>
    <w:rsid w:val="00080304"/>
    <w:rsid w:val="00080E4B"/>
    <w:rsid w:val="00080E63"/>
    <w:rsid w:val="0008166F"/>
    <w:rsid w:val="0008259D"/>
    <w:rsid w:val="00083A28"/>
    <w:rsid w:val="00083BC8"/>
    <w:rsid w:val="00083D26"/>
    <w:rsid w:val="00084066"/>
    <w:rsid w:val="000845B5"/>
    <w:rsid w:val="00085148"/>
    <w:rsid w:val="00085F48"/>
    <w:rsid w:val="000866DD"/>
    <w:rsid w:val="00086808"/>
    <w:rsid w:val="00086A4C"/>
    <w:rsid w:val="0008752F"/>
    <w:rsid w:val="00087945"/>
    <w:rsid w:val="00087981"/>
    <w:rsid w:val="00087CBD"/>
    <w:rsid w:val="00091B6B"/>
    <w:rsid w:val="000923A4"/>
    <w:rsid w:val="00092975"/>
    <w:rsid w:val="000943A5"/>
    <w:rsid w:val="00094608"/>
    <w:rsid w:val="00094871"/>
    <w:rsid w:val="00094F18"/>
    <w:rsid w:val="00095303"/>
    <w:rsid w:val="000955AE"/>
    <w:rsid w:val="00095B5E"/>
    <w:rsid w:val="00095CD4"/>
    <w:rsid w:val="00096528"/>
    <w:rsid w:val="00096932"/>
    <w:rsid w:val="00096D90"/>
    <w:rsid w:val="000971AE"/>
    <w:rsid w:val="00097AF8"/>
    <w:rsid w:val="000A131B"/>
    <w:rsid w:val="000A15C5"/>
    <w:rsid w:val="000A162F"/>
    <w:rsid w:val="000A1A57"/>
    <w:rsid w:val="000A1CE0"/>
    <w:rsid w:val="000A1EE3"/>
    <w:rsid w:val="000A284D"/>
    <w:rsid w:val="000A28A0"/>
    <w:rsid w:val="000A2D44"/>
    <w:rsid w:val="000A2E6B"/>
    <w:rsid w:val="000A44CD"/>
    <w:rsid w:val="000A520A"/>
    <w:rsid w:val="000A5345"/>
    <w:rsid w:val="000A53D3"/>
    <w:rsid w:val="000A5A12"/>
    <w:rsid w:val="000A5AE2"/>
    <w:rsid w:val="000A5F4F"/>
    <w:rsid w:val="000A6925"/>
    <w:rsid w:val="000A6BBF"/>
    <w:rsid w:val="000A73B0"/>
    <w:rsid w:val="000A7705"/>
    <w:rsid w:val="000B040A"/>
    <w:rsid w:val="000B1E45"/>
    <w:rsid w:val="000B21EF"/>
    <w:rsid w:val="000B25BE"/>
    <w:rsid w:val="000B3515"/>
    <w:rsid w:val="000B464A"/>
    <w:rsid w:val="000B4859"/>
    <w:rsid w:val="000B48D1"/>
    <w:rsid w:val="000B5040"/>
    <w:rsid w:val="000B6C88"/>
    <w:rsid w:val="000B7375"/>
    <w:rsid w:val="000B74A7"/>
    <w:rsid w:val="000B7C12"/>
    <w:rsid w:val="000C0CD7"/>
    <w:rsid w:val="000C102B"/>
    <w:rsid w:val="000C2160"/>
    <w:rsid w:val="000C2358"/>
    <w:rsid w:val="000C2562"/>
    <w:rsid w:val="000C2D79"/>
    <w:rsid w:val="000C3412"/>
    <w:rsid w:val="000C3B6F"/>
    <w:rsid w:val="000C42A9"/>
    <w:rsid w:val="000C45E2"/>
    <w:rsid w:val="000C47EE"/>
    <w:rsid w:val="000C4864"/>
    <w:rsid w:val="000C4D83"/>
    <w:rsid w:val="000C5DCB"/>
    <w:rsid w:val="000C7232"/>
    <w:rsid w:val="000C7F48"/>
    <w:rsid w:val="000D0851"/>
    <w:rsid w:val="000D0BF6"/>
    <w:rsid w:val="000D0DB7"/>
    <w:rsid w:val="000D1A34"/>
    <w:rsid w:val="000D24EA"/>
    <w:rsid w:val="000D25CC"/>
    <w:rsid w:val="000D32A9"/>
    <w:rsid w:val="000D3C7B"/>
    <w:rsid w:val="000D3E7E"/>
    <w:rsid w:val="000D4A03"/>
    <w:rsid w:val="000D5AE4"/>
    <w:rsid w:val="000D5F8E"/>
    <w:rsid w:val="000D63BA"/>
    <w:rsid w:val="000D667D"/>
    <w:rsid w:val="000D6858"/>
    <w:rsid w:val="000E0324"/>
    <w:rsid w:val="000E0858"/>
    <w:rsid w:val="000E08E8"/>
    <w:rsid w:val="000E0C89"/>
    <w:rsid w:val="000E0CD5"/>
    <w:rsid w:val="000E1491"/>
    <w:rsid w:val="000E14B2"/>
    <w:rsid w:val="000E176C"/>
    <w:rsid w:val="000E1940"/>
    <w:rsid w:val="000E23C1"/>
    <w:rsid w:val="000E2ACE"/>
    <w:rsid w:val="000E39E1"/>
    <w:rsid w:val="000E3A41"/>
    <w:rsid w:val="000E4087"/>
    <w:rsid w:val="000E422B"/>
    <w:rsid w:val="000E43B5"/>
    <w:rsid w:val="000E4574"/>
    <w:rsid w:val="000E48A7"/>
    <w:rsid w:val="000E4AB6"/>
    <w:rsid w:val="000E59E3"/>
    <w:rsid w:val="000E6081"/>
    <w:rsid w:val="000E6314"/>
    <w:rsid w:val="000E76BE"/>
    <w:rsid w:val="000E7C52"/>
    <w:rsid w:val="000E7CAF"/>
    <w:rsid w:val="000E7D70"/>
    <w:rsid w:val="000E7EDD"/>
    <w:rsid w:val="000F0D36"/>
    <w:rsid w:val="000F0D7C"/>
    <w:rsid w:val="000F0EC7"/>
    <w:rsid w:val="000F2132"/>
    <w:rsid w:val="000F264F"/>
    <w:rsid w:val="000F2C85"/>
    <w:rsid w:val="000F3337"/>
    <w:rsid w:val="000F3BF4"/>
    <w:rsid w:val="000F43D7"/>
    <w:rsid w:val="000F4596"/>
    <w:rsid w:val="000F4811"/>
    <w:rsid w:val="000F51DC"/>
    <w:rsid w:val="000F52BA"/>
    <w:rsid w:val="000F6256"/>
    <w:rsid w:val="000F6578"/>
    <w:rsid w:val="000F6ABD"/>
    <w:rsid w:val="000F6EE8"/>
    <w:rsid w:val="000F7C1F"/>
    <w:rsid w:val="000F7E0E"/>
    <w:rsid w:val="00100208"/>
    <w:rsid w:val="00101275"/>
    <w:rsid w:val="00101473"/>
    <w:rsid w:val="00101AF8"/>
    <w:rsid w:val="00101D78"/>
    <w:rsid w:val="00101D92"/>
    <w:rsid w:val="00101E16"/>
    <w:rsid w:val="001025DA"/>
    <w:rsid w:val="00103255"/>
    <w:rsid w:val="001034BF"/>
    <w:rsid w:val="00103D7D"/>
    <w:rsid w:val="00104B22"/>
    <w:rsid w:val="00104DEC"/>
    <w:rsid w:val="0010577E"/>
    <w:rsid w:val="00105E54"/>
    <w:rsid w:val="00107F54"/>
    <w:rsid w:val="00111B3F"/>
    <w:rsid w:val="0011214C"/>
    <w:rsid w:val="0011254F"/>
    <w:rsid w:val="001126B1"/>
    <w:rsid w:val="00114641"/>
    <w:rsid w:val="00115C50"/>
    <w:rsid w:val="00115E9F"/>
    <w:rsid w:val="001160F6"/>
    <w:rsid w:val="00116223"/>
    <w:rsid w:val="001162DA"/>
    <w:rsid w:val="001169D6"/>
    <w:rsid w:val="00116AA9"/>
    <w:rsid w:val="001177DE"/>
    <w:rsid w:val="00117FB5"/>
    <w:rsid w:val="0012045C"/>
    <w:rsid w:val="00122244"/>
    <w:rsid w:val="00123567"/>
    <w:rsid w:val="00123E66"/>
    <w:rsid w:val="00124147"/>
    <w:rsid w:val="001247D1"/>
    <w:rsid w:val="00125C4D"/>
    <w:rsid w:val="0012632C"/>
    <w:rsid w:val="00126646"/>
    <w:rsid w:val="00126CC5"/>
    <w:rsid w:val="001270E4"/>
    <w:rsid w:val="001278DB"/>
    <w:rsid w:val="00127B8B"/>
    <w:rsid w:val="0013020F"/>
    <w:rsid w:val="0013022C"/>
    <w:rsid w:val="0013048F"/>
    <w:rsid w:val="00131650"/>
    <w:rsid w:val="00131706"/>
    <w:rsid w:val="00131975"/>
    <w:rsid w:val="001325DD"/>
    <w:rsid w:val="001328F0"/>
    <w:rsid w:val="00132A57"/>
    <w:rsid w:val="00132B42"/>
    <w:rsid w:val="00132C01"/>
    <w:rsid w:val="0013370A"/>
    <w:rsid w:val="00133C02"/>
    <w:rsid w:val="001344E8"/>
    <w:rsid w:val="00134A3C"/>
    <w:rsid w:val="00135A8A"/>
    <w:rsid w:val="001367FE"/>
    <w:rsid w:val="001369C1"/>
    <w:rsid w:val="0013755F"/>
    <w:rsid w:val="001378C9"/>
    <w:rsid w:val="00137A97"/>
    <w:rsid w:val="0014008A"/>
    <w:rsid w:val="001406B0"/>
    <w:rsid w:val="00140A83"/>
    <w:rsid w:val="00140CB2"/>
    <w:rsid w:val="00140F75"/>
    <w:rsid w:val="001413D4"/>
    <w:rsid w:val="00141473"/>
    <w:rsid w:val="0014171F"/>
    <w:rsid w:val="001417DC"/>
    <w:rsid w:val="00141A65"/>
    <w:rsid w:val="001427AE"/>
    <w:rsid w:val="001430C7"/>
    <w:rsid w:val="001431E4"/>
    <w:rsid w:val="001433EC"/>
    <w:rsid w:val="0014410E"/>
    <w:rsid w:val="00144160"/>
    <w:rsid w:val="00144542"/>
    <w:rsid w:val="001445E9"/>
    <w:rsid w:val="00144818"/>
    <w:rsid w:val="0014593C"/>
    <w:rsid w:val="00146139"/>
    <w:rsid w:val="00146280"/>
    <w:rsid w:val="00147BE2"/>
    <w:rsid w:val="00147F3C"/>
    <w:rsid w:val="00150077"/>
    <w:rsid w:val="001507B8"/>
    <w:rsid w:val="00150AF3"/>
    <w:rsid w:val="001516ED"/>
    <w:rsid w:val="00151751"/>
    <w:rsid w:val="00151993"/>
    <w:rsid w:val="00151E67"/>
    <w:rsid w:val="001525DB"/>
    <w:rsid w:val="00152621"/>
    <w:rsid w:val="001534E1"/>
    <w:rsid w:val="001536F9"/>
    <w:rsid w:val="0015414F"/>
    <w:rsid w:val="001544D1"/>
    <w:rsid w:val="00154B0D"/>
    <w:rsid w:val="00154C61"/>
    <w:rsid w:val="00155BC9"/>
    <w:rsid w:val="0015665B"/>
    <w:rsid w:val="00156A7D"/>
    <w:rsid w:val="00156D8B"/>
    <w:rsid w:val="00156F3C"/>
    <w:rsid w:val="0015726E"/>
    <w:rsid w:val="00160CD6"/>
    <w:rsid w:val="00160CE1"/>
    <w:rsid w:val="00161499"/>
    <w:rsid w:val="00162BC7"/>
    <w:rsid w:val="00162F32"/>
    <w:rsid w:val="00163A6A"/>
    <w:rsid w:val="00164476"/>
    <w:rsid w:val="0016583F"/>
    <w:rsid w:val="001659D1"/>
    <w:rsid w:val="001667FD"/>
    <w:rsid w:val="001671F1"/>
    <w:rsid w:val="001673F1"/>
    <w:rsid w:val="00167A1B"/>
    <w:rsid w:val="00170423"/>
    <w:rsid w:val="0017059F"/>
    <w:rsid w:val="001710CD"/>
    <w:rsid w:val="00171EAD"/>
    <w:rsid w:val="00171FD2"/>
    <w:rsid w:val="001723B2"/>
    <w:rsid w:val="00172749"/>
    <w:rsid w:val="00172A7D"/>
    <w:rsid w:val="00173786"/>
    <w:rsid w:val="00173B38"/>
    <w:rsid w:val="00173BC9"/>
    <w:rsid w:val="00174852"/>
    <w:rsid w:val="00174880"/>
    <w:rsid w:val="001751FD"/>
    <w:rsid w:val="001754C7"/>
    <w:rsid w:val="001758E9"/>
    <w:rsid w:val="0017692B"/>
    <w:rsid w:val="00177560"/>
    <w:rsid w:val="00177EC3"/>
    <w:rsid w:val="001800F0"/>
    <w:rsid w:val="001801BB"/>
    <w:rsid w:val="00180905"/>
    <w:rsid w:val="00180C43"/>
    <w:rsid w:val="00180E68"/>
    <w:rsid w:val="001815C1"/>
    <w:rsid w:val="001825D6"/>
    <w:rsid w:val="001832E5"/>
    <w:rsid w:val="00183B1A"/>
    <w:rsid w:val="001843DF"/>
    <w:rsid w:val="00184FE1"/>
    <w:rsid w:val="001850DA"/>
    <w:rsid w:val="00185655"/>
    <w:rsid w:val="0018606E"/>
    <w:rsid w:val="00186C32"/>
    <w:rsid w:val="001877F6"/>
    <w:rsid w:val="00187DF8"/>
    <w:rsid w:val="00190C87"/>
    <w:rsid w:val="00191086"/>
    <w:rsid w:val="00191685"/>
    <w:rsid w:val="0019170C"/>
    <w:rsid w:val="00192043"/>
    <w:rsid w:val="001929E6"/>
    <w:rsid w:val="00192B10"/>
    <w:rsid w:val="00193028"/>
    <w:rsid w:val="00193077"/>
    <w:rsid w:val="00193A9F"/>
    <w:rsid w:val="0019404A"/>
    <w:rsid w:val="001945D3"/>
    <w:rsid w:val="0019560B"/>
    <w:rsid w:val="00195B6B"/>
    <w:rsid w:val="00195DF6"/>
    <w:rsid w:val="001A0703"/>
    <w:rsid w:val="001A07E3"/>
    <w:rsid w:val="001A14EA"/>
    <w:rsid w:val="001A348F"/>
    <w:rsid w:val="001A3516"/>
    <w:rsid w:val="001A3EE9"/>
    <w:rsid w:val="001A4122"/>
    <w:rsid w:val="001A419C"/>
    <w:rsid w:val="001A4555"/>
    <w:rsid w:val="001A4BE6"/>
    <w:rsid w:val="001A4FF3"/>
    <w:rsid w:val="001A5A4E"/>
    <w:rsid w:val="001A5BEE"/>
    <w:rsid w:val="001A5C8E"/>
    <w:rsid w:val="001A5EAE"/>
    <w:rsid w:val="001A70D5"/>
    <w:rsid w:val="001A7427"/>
    <w:rsid w:val="001A79EB"/>
    <w:rsid w:val="001A7A9C"/>
    <w:rsid w:val="001A7B24"/>
    <w:rsid w:val="001A7C7A"/>
    <w:rsid w:val="001A7E2E"/>
    <w:rsid w:val="001A7ECB"/>
    <w:rsid w:val="001B087A"/>
    <w:rsid w:val="001B12B3"/>
    <w:rsid w:val="001B26CF"/>
    <w:rsid w:val="001B2F5B"/>
    <w:rsid w:val="001B36F8"/>
    <w:rsid w:val="001B3782"/>
    <w:rsid w:val="001B3922"/>
    <w:rsid w:val="001B3C19"/>
    <w:rsid w:val="001B3E84"/>
    <w:rsid w:val="001B4767"/>
    <w:rsid w:val="001B4DCF"/>
    <w:rsid w:val="001B4DE6"/>
    <w:rsid w:val="001B4F7C"/>
    <w:rsid w:val="001B5010"/>
    <w:rsid w:val="001B5216"/>
    <w:rsid w:val="001B57EC"/>
    <w:rsid w:val="001B608E"/>
    <w:rsid w:val="001B6D28"/>
    <w:rsid w:val="001B7CAD"/>
    <w:rsid w:val="001B7E2A"/>
    <w:rsid w:val="001C0658"/>
    <w:rsid w:val="001C1FD5"/>
    <w:rsid w:val="001C245C"/>
    <w:rsid w:val="001C2BC7"/>
    <w:rsid w:val="001C2F8C"/>
    <w:rsid w:val="001C3795"/>
    <w:rsid w:val="001C4DE9"/>
    <w:rsid w:val="001C58DF"/>
    <w:rsid w:val="001C610C"/>
    <w:rsid w:val="001C6339"/>
    <w:rsid w:val="001D04EA"/>
    <w:rsid w:val="001D0673"/>
    <w:rsid w:val="001D0780"/>
    <w:rsid w:val="001D13E7"/>
    <w:rsid w:val="001D179C"/>
    <w:rsid w:val="001D1FD4"/>
    <w:rsid w:val="001D2474"/>
    <w:rsid w:val="001D2BE8"/>
    <w:rsid w:val="001D2E94"/>
    <w:rsid w:val="001D3B97"/>
    <w:rsid w:val="001D41F3"/>
    <w:rsid w:val="001D4941"/>
    <w:rsid w:val="001D5140"/>
    <w:rsid w:val="001D565C"/>
    <w:rsid w:val="001D5B7A"/>
    <w:rsid w:val="001D6739"/>
    <w:rsid w:val="001D7777"/>
    <w:rsid w:val="001D7A6F"/>
    <w:rsid w:val="001E0C1F"/>
    <w:rsid w:val="001E10B3"/>
    <w:rsid w:val="001E13A5"/>
    <w:rsid w:val="001E1D8B"/>
    <w:rsid w:val="001E2200"/>
    <w:rsid w:val="001E23D5"/>
    <w:rsid w:val="001E2903"/>
    <w:rsid w:val="001E2920"/>
    <w:rsid w:val="001E2D5A"/>
    <w:rsid w:val="001E30AE"/>
    <w:rsid w:val="001E354F"/>
    <w:rsid w:val="001E383C"/>
    <w:rsid w:val="001E3C57"/>
    <w:rsid w:val="001E46DC"/>
    <w:rsid w:val="001E4B46"/>
    <w:rsid w:val="001E504D"/>
    <w:rsid w:val="001E5E19"/>
    <w:rsid w:val="001E6EB6"/>
    <w:rsid w:val="001E7038"/>
    <w:rsid w:val="001E7667"/>
    <w:rsid w:val="001E788D"/>
    <w:rsid w:val="001E7A92"/>
    <w:rsid w:val="001F0085"/>
    <w:rsid w:val="001F010C"/>
    <w:rsid w:val="001F01C2"/>
    <w:rsid w:val="001F03E3"/>
    <w:rsid w:val="001F0537"/>
    <w:rsid w:val="001F0E55"/>
    <w:rsid w:val="001F22A1"/>
    <w:rsid w:val="001F3017"/>
    <w:rsid w:val="001F3450"/>
    <w:rsid w:val="001F4385"/>
    <w:rsid w:val="001F4415"/>
    <w:rsid w:val="001F4A10"/>
    <w:rsid w:val="001F4A96"/>
    <w:rsid w:val="001F4B79"/>
    <w:rsid w:val="001F526D"/>
    <w:rsid w:val="001F54E7"/>
    <w:rsid w:val="001F5787"/>
    <w:rsid w:val="001F5A4F"/>
    <w:rsid w:val="001F633A"/>
    <w:rsid w:val="001F76A9"/>
    <w:rsid w:val="001F76DD"/>
    <w:rsid w:val="001F791F"/>
    <w:rsid w:val="002000A3"/>
    <w:rsid w:val="0020013E"/>
    <w:rsid w:val="0020056F"/>
    <w:rsid w:val="00200707"/>
    <w:rsid w:val="00200F3D"/>
    <w:rsid w:val="002016E6"/>
    <w:rsid w:val="0020297F"/>
    <w:rsid w:val="00202E26"/>
    <w:rsid w:val="00202E49"/>
    <w:rsid w:val="00202FA0"/>
    <w:rsid w:val="00203665"/>
    <w:rsid w:val="002038CE"/>
    <w:rsid w:val="00204CA7"/>
    <w:rsid w:val="00205374"/>
    <w:rsid w:val="00205921"/>
    <w:rsid w:val="00206B4F"/>
    <w:rsid w:val="00206B8B"/>
    <w:rsid w:val="00206C2D"/>
    <w:rsid w:val="00206DE4"/>
    <w:rsid w:val="00207126"/>
    <w:rsid w:val="00207530"/>
    <w:rsid w:val="00207550"/>
    <w:rsid w:val="002076B6"/>
    <w:rsid w:val="0021001B"/>
    <w:rsid w:val="00210185"/>
    <w:rsid w:val="00210BCA"/>
    <w:rsid w:val="00210FF2"/>
    <w:rsid w:val="00211558"/>
    <w:rsid w:val="00212171"/>
    <w:rsid w:val="002121EA"/>
    <w:rsid w:val="00212508"/>
    <w:rsid w:val="00212855"/>
    <w:rsid w:val="00213D5D"/>
    <w:rsid w:val="00213E3A"/>
    <w:rsid w:val="0021483B"/>
    <w:rsid w:val="00215A0E"/>
    <w:rsid w:val="00215C44"/>
    <w:rsid w:val="00215D31"/>
    <w:rsid w:val="00216C94"/>
    <w:rsid w:val="002179BA"/>
    <w:rsid w:val="00217A97"/>
    <w:rsid w:val="00217BDC"/>
    <w:rsid w:val="00217E06"/>
    <w:rsid w:val="002204F6"/>
    <w:rsid w:val="00220739"/>
    <w:rsid w:val="00220F9B"/>
    <w:rsid w:val="00221692"/>
    <w:rsid w:val="0022176F"/>
    <w:rsid w:val="002217DB"/>
    <w:rsid w:val="00222241"/>
    <w:rsid w:val="0022274C"/>
    <w:rsid w:val="00222FCE"/>
    <w:rsid w:val="00223578"/>
    <w:rsid w:val="002248D0"/>
    <w:rsid w:val="00224985"/>
    <w:rsid w:val="00224B8D"/>
    <w:rsid w:val="00224CA6"/>
    <w:rsid w:val="00224D52"/>
    <w:rsid w:val="00224E17"/>
    <w:rsid w:val="00224FDB"/>
    <w:rsid w:val="00225940"/>
    <w:rsid w:val="002268F1"/>
    <w:rsid w:val="00230BD9"/>
    <w:rsid w:val="00230C90"/>
    <w:rsid w:val="00230D1C"/>
    <w:rsid w:val="0023169A"/>
    <w:rsid w:val="00231848"/>
    <w:rsid w:val="00231FEA"/>
    <w:rsid w:val="002325B5"/>
    <w:rsid w:val="002326C6"/>
    <w:rsid w:val="002327FC"/>
    <w:rsid w:val="00232E7B"/>
    <w:rsid w:val="0023308F"/>
    <w:rsid w:val="0023348D"/>
    <w:rsid w:val="00233552"/>
    <w:rsid w:val="0023444F"/>
    <w:rsid w:val="00234C4C"/>
    <w:rsid w:val="0023579D"/>
    <w:rsid w:val="002367CF"/>
    <w:rsid w:val="00236D9F"/>
    <w:rsid w:val="00237E5C"/>
    <w:rsid w:val="0024005C"/>
    <w:rsid w:val="00240CD3"/>
    <w:rsid w:val="00240D80"/>
    <w:rsid w:val="00240DA0"/>
    <w:rsid w:val="002413E6"/>
    <w:rsid w:val="002418F3"/>
    <w:rsid w:val="00241925"/>
    <w:rsid w:val="0024267D"/>
    <w:rsid w:val="002426D4"/>
    <w:rsid w:val="002428CD"/>
    <w:rsid w:val="00242A16"/>
    <w:rsid w:val="00242D01"/>
    <w:rsid w:val="00242E09"/>
    <w:rsid w:val="00243055"/>
    <w:rsid w:val="002430D8"/>
    <w:rsid w:val="002432B2"/>
    <w:rsid w:val="00243F50"/>
    <w:rsid w:val="002446CA"/>
    <w:rsid w:val="002448C3"/>
    <w:rsid w:val="00244E4A"/>
    <w:rsid w:val="0024586E"/>
    <w:rsid w:val="00245DDC"/>
    <w:rsid w:val="00246065"/>
    <w:rsid w:val="0024762E"/>
    <w:rsid w:val="0024764B"/>
    <w:rsid w:val="00247EC9"/>
    <w:rsid w:val="002500C9"/>
    <w:rsid w:val="0025052D"/>
    <w:rsid w:val="002507CE"/>
    <w:rsid w:val="0025120D"/>
    <w:rsid w:val="00252E7D"/>
    <w:rsid w:val="00252F29"/>
    <w:rsid w:val="00253344"/>
    <w:rsid w:val="0025475E"/>
    <w:rsid w:val="002548EB"/>
    <w:rsid w:val="00254D6A"/>
    <w:rsid w:val="00255002"/>
    <w:rsid w:val="0025528F"/>
    <w:rsid w:val="002558FD"/>
    <w:rsid w:val="00255E8A"/>
    <w:rsid w:val="002560AE"/>
    <w:rsid w:val="00256A74"/>
    <w:rsid w:val="00256BD8"/>
    <w:rsid w:val="00256FA4"/>
    <w:rsid w:val="002574FB"/>
    <w:rsid w:val="00260205"/>
    <w:rsid w:val="002604AD"/>
    <w:rsid w:val="0026176F"/>
    <w:rsid w:val="0026215A"/>
    <w:rsid w:val="002622E6"/>
    <w:rsid w:val="002625ED"/>
    <w:rsid w:val="00262997"/>
    <w:rsid w:val="00262A1F"/>
    <w:rsid w:val="00263A99"/>
    <w:rsid w:val="00264533"/>
    <w:rsid w:val="0026470C"/>
    <w:rsid w:val="00264BAB"/>
    <w:rsid w:val="002654BB"/>
    <w:rsid w:val="00265610"/>
    <w:rsid w:val="0026611A"/>
    <w:rsid w:val="00267979"/>
    <w:rsid w:val="00271574"/>
    <w:rsid w:val="002718CD"/>
    <w:rsid w:val="00272807"/>
    <w:rsid w:val="00272AE8"/>
    <w:rsid w:val="00273714"/>
    <w:rsid w:val="0027426F"/>
    <w:rsid w:val="00274C4B"/>
    <w:rsid w:val="00275687"/>
    <w:rsid w:val="0027680A"/>
    <w:rsid w:val="00276B9D"/>
    <w:rsid w:val="00276FFA"/>
    <w:rsid w:val="0027723F"/>
    <w:rsid w:val="002772C0"/>
    <w:rsid w:val="0028035D"/>
    <w:rsid w:val="00280889"/>
    <w:rsid w:val="00280C1F"/>
    <w:rsid w:val="00280DF4"/>
    <w:rsid w:val="00280EC9"/>
    <w:rsid w:val="002813AB"/>
    <w:rsid w:val="00282773"/>
    <w:rsid w:val="0028478B"/>
    <w:rsid w:val="002847C4"/>
    <w:rsid w:val="00285444"/>
    <w:rsid w:val="00285694"/>
    <w:rsid w:val="00286912"/>
    <w:rsid w:val="00287B52"/>
    <w:rsid w:val="00290CB7"/>
    <w:rsid w:val="00290D21"/>
    <w:rsid w:val="0029155B"/>
    <w:rsid w:val="00291746"/>
    <w:rsid w:val="002923F3"/>
    <w:rsid w:val="00292C49"/>
    <w:rsid w:val="00293B5E"/>
    <w:rsid w:val="002941FF"/>
    <w:rsid w:val="002959F9"/>
    <w:rsid w:val="00295DF7"/>
    <w:rsid w:val="00297203"/>
    <w:rsid w:val="00297341"/>
    <w:rsid w:val="002975EB"/>
    <w:rsid w:val="00297A88"/>
    <w:rsid w:val="002A00E6"/>
    <w:rsid w:val="002A08A2"/>
    <w:rsid w:val="002A0FD5"/>
    <w:rsid w:val="002A14B1"/>
    <w:rsid w:val="002A1815"/>
    <w:rsid w:val="002A1996"/>
    <w:rsid w:val="002A1DD3"/>
    <w:rsid w:val="002A1DFF"/>
    <w:rsid w:val="002A2399"/>
    <w:rsid w:val="002A24DD"/>
    <w:rsid w:val="002A255A"/>
    <w:rsid w:val="002A2BC1"/>
    <w:rsid w:val="002A3391"/>
    <w:rsid w:val="002A363B"/>
    <w:rsid w:val="002A460B"/>
    <w:rsid w:val="002A4AA4"/>
    <w:rsid w:val="002A5290"/>
    <w:rsid w:val="002A5FDC"/>
    <w:rsid w:val="002A65D0"/>
    <w:rsid w:val="002B093F"/>
    <w:rsid w:val="002B1202"/>
    <w:rsid w:val="002B1539"/>
    <w:rsid w:val="002B1682"/>
    <w:rsid w:val="002B17CF"/>
    <w:rsid w:val="002B2547"/>
    <w:rsid w:val="002B2CC2"/>
    <w:rsid w:val="002B2E92"/>
    <w:rsid w:val="002B37A8"/>
    <w:rsid w:val="002B3D05"/>
    <w:rsid w:val="002B3DC7"/>
    <w:rsid w:val="002B44F7"/>
    <w:rsid w:val="002B51BA"/>
    <w:rsid w:val="002B5469"/>
    <w:rsid w:val="002B5F72"/>
    <w:rsid w:val="002B694F"/>
    <w:rsid w:val="002B6AFB"/>
    <w:rsid w:val="002B6B89"/>
    <w:rsid w:val="002B6E3F"/>
    <w:rsid w:val="002B7967"/>
    <w:rsid w:val="002B7F62"/>
    <w:rsid w:val="002B7FCA"/>
    <w:rsid w:val="002C1321"/>
    <w:rsid w:val="002C1494"/>
    <w:rsid w:val="002C1A42"/>
    <w:rsid w:val="002C1F81"/>
    <w:rsid w:val="002C2104"/>
    <w:rsid w:val="002C28AD"/>
    <w:rsid w:val="002C2D5D"/>
    <w:rsid w:val="002C2FCD"/>
    <w:rsid w:val="002C37C8"/>
    <w:rsid w:val="002C3C81"/>
    <w:rsid w:val="002C4896"/>
    <w:rsid w:val="002C55D7"/>
    <w:rsid w:val="002C5AAE"/>
    <w:rsid w:val="002C633C"/>
    <w:rsid w:val="002C6B66"/>
    <w:rsid w:val="002C7385"/>
    <w:rsid w:val="002D057F"/>
    <w:rsid w:val="002D0EC2"/>
    <w:rsid w:val="002D16C2"/>
    <w:rsid w:val="002D1960"/>
    <w:rsid w:val="002D263F"/>
    <w:rsid w:val="002D302F"/>
    <w:rsid w:val="002D322E"/>
    <w:rsid w:val="002D324E"/>
    <w:rsid w:val="002D3419"/>
    <w:rsid w:val="002D4185"/>
    <w:rsid w:val="002D4A23"/>
    <w:rsid w:val="002D5E65"/>
    <w:rsid w:val="002D6A1F"/>
    <w:rsid w:val="002D6D2E"/>
    <w:rsid w:val="002D73B3"/>
    <w:rsid w:val="002D7D2A"/>
    <w:rsid w:val="002D7EEF"/>
    <w:rsid w:val="002E01C3"/>
    <w:rsid w:val="002E0DAB"/>
    <w:rsid w:val="002E1296"/>
    <w:rsid w:val="002E1874"/>
    <w:rsid w:val="002E2481"/>
    <w:rsid w:val="002E2981"/>
    <w:rsid w:val="002E2CBD"/>
    <w:rsid w:val="002E2D35"/>
    <w:rsid w:val="002E305D"/>
    <w:rsid w:val="002E3076"/>
    <w:rsid w:val="002E4084"/>
    <w:rsid w:val="002E4A75"/>
    <w:rsid w:val="002E4BA9"/>
    <w:rsid w:val="002E4F47"/>
    <w:rsid w:val="002E5434"/>
    <w:rsid w:val="002E6AA1"/>
    <w:rsid w:val="002E6DAD"/>
    <w:rsid w:val="002F020D"/>
    <w:rsid w:val="002F06AF"/>
    <w:rsid w:val="002F0F16"/>
    <w:rsid w:val="002F100D"/>
    <w:rsid w:val="002F13D9"/>
    <w:rsid w:val="002F15FB"/>
    <w:rsid w:val="002F1A45"/>
    <w:rsid w:val="002F2442"/>
    <w:rsid w:val="002F26B5"/>
    <w:rsid w:val="002F2F3A"/>
    <w:rsid w:val="002F3589"/>
    <w:rsid w:val="002F3D91"/>
    <w:rsid w:val="002F46F7"/>
    <w:rsid w:val="002F484A"/>
    <w:rsid w:val="002F4ACA"/>
    <w:rsid w:val="002F5EE8"/>
    <w:rsid w:val="002F6763"/>
    <w:rsid w:val="002F6DB7"/>
    <w:rsid w:val="002F74F6"/>
    <w:rsid w:val="00300041"/>
    <w:rsid w:val="00300E7A"/>
    <w:rsid w:val="00301777"/>
    <w:rsid w:val="003017B3"/>
    <w:rsid w:val="00301C3A"/>
    <w:rsid w:val="00302043"/>
    <w:rsid w:val="003025E0"/>
    <w:rsid w:val="003026DF"/>
    <w:rsid w:val="00302AEB"/>
    <w:rsid w:val="003041D9"/>
    <w:rsid w:val="00305E25"/>
    <w:rsid w:val="00305F66"/>
    <w:rsid w:val="0030629B"/>
    <w:rsid w:val="003063FF"/>
    <w:rsid w:val="00307286"/>
    <w:rsid w:val="00307797"/>
    <w:rsid w:val="00307E57"/>
    <w:rsid w:val="0031085A"/>
    <w:rsid w:val="00310DED"/>
    <w:rsid w:val="00310E05"/>
    <w:rsid w:val="0031207F"/>
    <w:rsid w:val="0031287B"/>
    <w:rsid w:val="003129F6"/>
    <w:rsid w:val="00312F3C"/>
    <w:rsid w:val="00312F84"/>
    <w:rsid w:val="00313B59"/>
    <w:rsid w:val="00313FF7"/>
    <w:rsid w:val="00314DA8"/>
    <w:rsid w:val="00314DD5"/>
    <w:rsid w:val="00316127"/>
    <w:rsid w:val="00316D0D"/>
    <w:rsid w:val="00317DFB"/>
    <w:rsid w:val="0032045B"/>
    <w:rsid w:val="00320D13"/>
    <w:rsid w:val="00320D5B"/>
    <w:rsid w:val="00321C75"/>
    <w:rsid w:val="00321DC5"/>
    <w:rsid w:val="003221B0"/>
    <w:rsid w:val="0032236E"/>
    <w:rsid w:val="00322F8F"/>
    <w:rsid w:val="003232FA"/>
    <w:rsid w:val="00323382"/>
    <w:rsid w:val="003233D8"/>
    <w:rsid w:val="0032356C"/>
    <w:rsid w:val="003235A7"/>
    <w:rsid w:val="0032412E"/>
    <w:rsid w:val="003253E0"/>
    <w:rsid w:val="00326683"/>
    <w:rsid w:val="0032692F"/>
    <w:rsid w:val="00326E64"/>
    <w:rsid w:val="00327415"/>
    <w:rsid w:val="003278FE"/>
    <w:rsid w:val="00327FBE"/>
    <w:rsid w:val="00330262"/>
    <w:rsid w:val="003309EA"/>
    <w:rsid w:val="00330B72"/>
    <w:rsid w:val="00330BB8"/>
    <w:rsid w:val="003311D8"/>
    <w:rsid w:val="00331943"/>
    <w:rsid w:val="00332066"/>
    <w:rsid w:val="00332178"/>
    <w:rsid w:val="00332EDC"/>
    <w:rsid w:val="00334573"/>
    <w:rsid w:val="00334F68"/>
    <w:rsid w:val="00334F96"/>
    <w:rsid w:val="00335355"/>
    <w:rsid w:val="003355A7"/>
    <w:rsid w:val="00335D6C"/>
    <w:rsid w:val="00337CDA"/>
    <w:rsid w:val="003424E6"/>
    <w:rsid w:val="0034293C"/>
    <w:rsid w:val="00342B02"/>
    <w:rsid w:val="00342BFB"/>
    <w:rsid w:val="003434E3"/>
    <w:rsid w:val="00343D63"/>
    <w:rsid w:val="00344ECD"/>
    <w:rsid w:val="00344FD8"/>
    <w:rsid w:val="0034516E"/>
    <w:rsid w:val="0034570F"/>
    <w:rsid w:val="0034616E"/>
    <w:rsid w:val="00346371"/>
    <w:rsid w:val="00346B9E"/>
    <w:rsid w:val="003478BE"/>
    <w:rsid w:val="00347A9B"/>
    <w:rsid w:val="00347C3B"/>
    <w:rsid w:val="00347CE3"/>
    <w:rsid w:val="00347F7F"/>
    <w:rsid w:val="003501D2"/>
    <w:rsid w:val="003511C2"/>
    <w:rsid w:val="003522EC"/>
    <w:rsid w:val="0035242C"/>
    <w:rsid w:val="00354040"/>
    <w:rsid w:val="003540A6"/>
    <w:rsid w:val="00354C2B"/>
    <w:rsid w:val="00355B6F"/>
    <w:rsid w:val="003561E6"/>
    <w:rsid w:val="0035661C"/>
    <w:rsid w:val="00356D86"/>
    <w:rsid w:val="00356E1C"/>
    <w:rsid w:val="00356F9F"/>
    <w:rsid w:val="00356FAA"/>
    <w:rsid w:val="00357773"/>
    <w:rsid w:val="0036141F"/>
    <w:rsid w:val="00361B14"/>
    <w:rsid w:val="0036226E"/>
    <w:rsid w:val="0036265C"/>
    <w:rsid w:val="0036354D"/>
    <w:rsid w:val="00364895"/>
    <w:rsid w:val="00364C89"/>
    <w:rsid w:val="00365CDA"/>
    <w:rsid w:val="003671B1"/>
    <w:rsid w:val="00370851"/>
    <w:rsid w:val="00370EE0"/>
    <w:rsid w:val="0037158B"/>
    <w:rsid w:val="00372082"/>
    <w:rsid w:val="00372F1A"/>
    <w:rsid w:val="00375133"/>
    <w:rsid w:val="00375260"/>
    <w:rsid w:val="00375A2B"/>
    <w:rsid w:val="00375AC3"/>
    <w:rsid w:val="0037640C"/>
    <w:rsid w:val="00376623"/>
    <w:rsid w:val="00376BBA"/>
    <w:rsid w:val="0037776A"/>
    <w:rsid w:val="00377975"/>
    <w:rsid w:val="003779F2"/>
    <w:rsid w:val="00377A63"/>
    <w:rsid w:val="00377CF4"/>
    <w:rsid w:val="0038003D"/>
    <w:rsid w:val="00380A1D"/>
    <w:rsid w:val="00380C7F"/>
    <w:rsid w:val="00381124"/>
    <w:rsid w:val="0038143B"/>
    <w:rsid w:val="003819F2"/>
    <w:rsid w:val="00381AD4"/>
    <w:rsid w:val="003823B4"/>
    <w:rsid w:val="00382400"/>
    <w:rsid w:val="00382470"/>
    <w:rsid w:val="003827C1"/>
    <w:rsid w:val="003830C3"/>
    <w:rsid w:val="00383C20"/>
    <w:rsid w:val="003858C8"/>
    <w:rsid w:val="003872D2"/>
    <w:rsid w:val="00387310"/>
    <w:rsid w:val="00387A5E"/>
    <w:rsid w:val="00387B5B"/>
    <w:rsid w:val="00387B91"/>
    <w:rsid w:val="00390377"/>
    <w:rsid w:val="00390EEB"/>
    <w:rsid w:val="003913D1"/>
    <w:rsid w:val="003915C2"/>
    <w:rsid w:val="0039166D"/>
    <w:rsid w:val="00391BB2"/>
    <w:rsid w:val="00392D34"/>
    <w:rsid w:val="00392EED"/>
    <w:rsid w:val="003931D7"/>
    <w:rsid w:val="00393222"/>
    <w:rsid w:val="003932EF"/>
    <w:rsid w:val="00393B71"/>
    <w:rsid w:val="0039482A"/>
    <w:rsid w:val="00394A3F"/>
    <w:rsid w:val="003951B7"/>
    <w:rsid w:val="00395629"/>
    <w:rsid w:val="00395791"/>
    <w:rsid w:val="00395F22"/>
    <w:rsid w:val="00396A80"/>
    <w:rsid w:val="00397F9F"/>
    <w:rsid w:val="00397FF3"/>
    <w:rsid w:val="003A0704"/>
    <w:rsid w:val="003A138F"/>
    <w:rsid w:val="003A1789"/>
    <w:rsid w:val="003A23F8"/>
    <w:rsid w:val="003A2582"/>
    <w:rsid w:val="003A2796"/>
    <w:rsid w:val="003A296D"/>
    <w:rsid w:val="003A2DD6"/>
    <w:rsid w:val="003A2FBC"/>
    <w:rsid w:val="003A36B9"/>
    <w:rsid w:val="003A3759"/>
    <w:rsid w:val="003A3F40"/>
    <w:rsid w:val="003A49A7"/>
    <w:rsid w:val="003A5011"/>
    <w:rsid w:val="003A59F9"/>
    <w:rsid w:val="003A5B93"/>
    <w:rsid w:val="003A7F6C"/>
    <w:rsid w:val="003B0A96"/>
    <w:rsid w:val="003B0F59"/>
    <w:rsid w:val="003B2BEC"/>
    <w:rsid w:val="003B31D0"/>
    <w:rsid w:val="003B3811"/>
    <w:rsid w:val="003B4C6E"/>
    <w:rsid w:val="003B4FD4"/>
    <w:rsid w:val="003B5769"/>
    <w:rsid w:val="003B5ABE"/>
    <w:rsid w:val="003B76C4"/>
    <w:rsid w:val="003B7E75"/>
    <w:rsid w:val="003B7F87"/>
    <w:rsid w:val="003C075C"/>
    <w:rsid w:val="003C0783"/>
    <w:rsid w:val="003C1C96"/>
    <w:rsid w:val="003C24A1"/>
    <w:rsid w:val="003C3206"/>
    <w:rsid w:val="003C3607"/>
    <w:rsid w:val="003C38E5"/>
    <w:rsid w:val="003C3F59"/>
    <w:rsid w:val="003C446F"/>
    <w:rsid w:val="003C466B"/>
    <w:rsid w:val="003C479D"/>
    <w:rsid w:val="003C47A9"/>
    <w:rsid w:val="003C4811"/>
    <w:rsid w:val="003C5717"/>
    <w:rsid w:val="003C604D"/>
    <w:rsid w:val="003C6175"/>
    <w:rsid w:val="003C6218"/>
    <w:rsid w:val="003C639F"/>
    <w:rsid w:val="003D05C2"/>
    <w:rsid w:val="003D062F"/>
    <w:rsid w:val="003D0967"/>
    <w:rsid w:val="003D0BF8"/>
    <w:rsid w:val="003D13BF"/>
    <w:rsid w:val="003D187B"/>
    <w:rsid w:val="003D21C6"/>
    <w:rsid w:val="003D2B10"/>
    <w:rsid w:val="003D2B12"/>
    <w:rsid w:val="003D32CA"/>
    <w:rsid w:val="003D3617"/>
    <w:rsid w:val="003D40E9"/>
    <w:rsid w:val="003D43D6"/>
    <w:rsid w:val="003D4C2B"/>
    <w:rsid w:val="003D4F13"/>
    <w:rsid w:val="003D6361"/>
    <w:rsid w:val="003D6D8E"/>
    <w:rsid w:val="003D6EC3"/>
    <w:rsid w:val="003D72F3"/>
    <w:rsid w:val="003D74E3"/>
    <w:rsid w:val="003D7898"/>
    <w:rsid w:val="003D7F4E"/>
    <w:rsid w:val="003E041C"/>
    <w:rsid w:val="003E078F"/>
    <w:rsid w:val="003E0BEF"/>
    <w:rsid w:val="003E18A6"/>
    <w:rsid w:val="003E1E17"/>
    <w:rsid w:val="003E3193"/>
    <w:rsid w:val="003E54D2"/>
    <w:rsid w:val="003E5DDB"/>
    <w:rsid w:val="003E5FFB"/>
    <w:rsid w:val="003E6FAC"/>
    <w:rsid w:val="003E7229"/>
    <w:rsid w:val="003E792A"/>
    <w:rsid w:val="003E7BAF"/>
    <w:rsid w:val="003E7BF3"/>
    <w:rsid w:val="003F0742"/>
    <w:rsid w:val="003F1255"/>
    <w:rsid w:val="003F1291"/>
    <w:rsid w:val="003F167B"/>
    <w:rsid w:val="003F16F8"/>
    <w:rsid w:val="003F17A6"/>
    <w:rsid w:val="003F27D7"/>
    <w:rsid w:val="003F3521"/>
    <w:rsid w:val="003F3715"/>
    <w:rsid w:val="003F4537"/>
    <w:rsid w:val="003F4961"/>
    <w:rsid w:val="003F5960"/>
    <w:rsid w:val="003F5B6D"/>
    <w:rsid w:val="003F6E4A"/>
    <w:rsid w:val="003F7E69"/>
    <w:rsid w:val="004002B8"/>
    <w:rsid w:val="0040033C"/>
    <w:rsid w:val="00400414"/>
    <w:rsid w:val="004009AB"/>
    <w:rsid w:val="00400B53"/>
    <w:rsid w:val="00400E28"/>
    <w:rsid w:val="00401B4C"/>
    <w:rsid w:val="00401CA6"/>
    <w:rsid w:val="00401FF7"/>
    <w:rsid w:val="00403D1A"/>
    <w:rsid w:val="004042E2"/>
    <w:rsid w:val="004057FC"/>
    <w:rsid w:val="004062C8"/>
    <w:rsid w:val="00406502"/>
    <w:rsid w:val="004071BC"/>
    <w:rsid w:val="00407380"/>
    <w:rsid w:val="004073AF"/>
    <w:rsid w:val="00410F8B"/>
    <w:rsid w:val="0041162E"/>
    <w:rsid w:val="0041178A"/>
    <w:rsid w:val="00412610"/>
    <w:rsid w:val="00412638"/>
    <w:rsid w:val="004127E3"/>
    <w:rsid w:val="00412A16"/>
    <w:rsid w:val="00414CCB"/>
    <w:rsid w:val="00414DA0"/>
    <w:rsid w:val="004151F9"/>
    <w:rsid w:val="00415987"/>
    <w:rsid w:val="00415EA0"/>
    <w:rsid w:val="00416922"/>
    <w:rsid w:val="004169E6"/>
    <w:rsid w:val="00416FBA"/>
    <w:rsid w:val="00417762"/>
    <w:rsid w:val="00417BC6"/>
    <w:rsid w:val="00420260"/>
    <w:rsid w:val="00420888"/>
    <w:rsid w:val="004219EC"/>
    <w:rsid w:val="00421B18"/>
    <w:rsid w:val="00421C90"/>
    <w:rsid w:val="004224AC"/>
    <w:rsid w:val="0042377E"/>
    <w:rsid w:val="00424113"/>
    <w:rsid w:val="004244D7"/>
    <w:rsid w:val="004245C9"/>
    <w:rsid w:val="0042475B"/>
    <w:rsid w:val="00424C5D"/>
    <w:rsid w:val="00425C03"/>
    <w:rsid w:val="004260EB"/>
    <w:rsid w:val="00426875"/>
    <w:rsid w:val="00430410"/>
    <w:rsid w:val="00430FA5"/>
    <w:rsid w:val="00431F65"/>
    <w:rsid w:val="004321D0"/>
    <w:rsid w:val="00432947"/>
    <w:rsid w:val="00432ECF"/>
    <w:rsid w:val="00435567"/>
    <w:rsid w:val="004355F4"/>
    <w:rsid w:val="00435D1B"/>
    <w:rsid w:val="00436291"/>
    <w:rsid w:val="004367A1"/>
    <w:rsid w:val="00436988"/>
    <w:rsid w:val="00436D9B"/>
    <w:rsid w:val="0043705A"/>
    <w:rsid w:val="0043764A"/>
    <w:rsid w:val="00437F6D"/>
    <w:rsid w:val="004409B3"/>
    <w:rsid w:val="00440F93"/>
    <w:rsid w:val="004410CA"/>
    <w:rsid w:val="00441847"/>
    <w:rsid w:val="00441F41"/>
    <w:rsid w:val="004423F4"/>
    <w:rsid w:val="004426E2"/>
    <w:rsid w:val="004427C0"/>
    <w:rsid w:val="00443614"/>
    <w:rsid w:val="004438AA"/>
    <w:rsid w:val="004443DA"/>
    <w:rsid w:val="0044480C"/>
    <w:rsid w:val="004449FC"/>
    <w:rsid w:val="00444BA0"/>
    <w:rsid w:val="00444FA8"/>
    <w:rsid w:val="004459D8"/>
    <w:rsid w:val="00445A8C"/>
    <w:rsid w:val="004467C0"/>
    <w:rsid w:val="00446D03"/>
    <w:rsid w:val="00446E5A"/>
    <w:rsid w:val="00447260"/>
    <w:rsid w:val="004501BD"/>
    <w:rsid w:val="004509A5"/>
    <w:rsid w:val="004509EE"/>
    <w:rsid w:val="0045142F"/>
    <w:rsid w:val="004515BF"/>
    <w:rsid w:val="00451D95"/>
    <w:rsid w:val="0045209E"/>
    <w:rsid w:val="0045298C"/>
    <w:rsid w:val="004530D3"/>
    <w:rsid w:val="00453258"/>
    <w:rsid w:val="00453437"/>
    <w:rsid w:val="00453C62"/>
    <w:rsid w:val="004544BA"/>
    <w:rsid w:val="00454D86"/>
    <w:rsid w:val="0045560A"/>
    <w:rsid w:val="00455C25"/>
    <w:rsid w:val="00456758"/>
    <w:rsid w:val="0045685F"/>
    <w:rsid w:val="00456ADC"/>
    <w:rsid w:val="00456BBD"/>
    <w:rsid w:val="00456E88"/>
    <w:rsid w:val="00457039"/>
    <w:rsid w:val="00460649"/>
    <w:rsid w:val="004606E6"/>
    <w:rsid w:val="004611E9"/>
    <w:rsid w:val="00461588"/>
    <w:rsid w:val="00462148"/>
    <w:rsid w:val="004623C8"/>
    <w:rsid w:val="004625D7"/>
    <w:rsid w:val="00462DA6"/>
    <w:rsid w:val="004639B1"/>
    <w:rsid w:val="0046429D"/>
    <w:rsid w:val="00464327"/>
    <w:rsid w:val="00464891"/>
    <w:rsid w:val="00464AE0"/>
    <w:rsid w:val="00466EB9"/>
    <w:rsid w:val="00467152"/>
    <w:rsid w:val="0046782A"/>
    <w:rsid w:val="00467DBE"/>
    <w:rsid w:val="00467E57"/>
    <w:rsid w:val="00471E6A"/>
    <w:rsid w:val="004722FF"/>
    <w:rsid w:val="00472805"/>
    <w:rsid w:val="00472A18"/>
    <w:rsid w:val="00473840"/>
    <w:rsid w:val="00473F9C"/>
    <w:rsid w:val="00474282"/>
    <w:rsid w:val="004746E3"/>
    <w:rsid w:val="004747FD"/>
    <w:rsid w:val="00476C61"/>
    <w:rsid w:val="00477B50"/>
    <w:rsid w:val="0048044B"/>
    <w:rsid w:val="004811CD"/>
    <w:rsid w:val="00481531"/>
    <w:rsid w:val="0048172E"/>
    <w:rsid w:val="00484490"/>
    <w:rsid w:val="00484D3A"/>
    <w:rsid w:val="004850B9"/>
    <w:rsid w:val="00485649"/>
    <w:rsid w:val="00485D3D"/>
    <w:rsid w:val="00485DA3"/>
    <w:rsid w:val="00486193"/>
    <w:rsid w:val="00486464"/>
    <w:rsid w:val="004866C1"/>
    <w:rsid w:val="00486750"/>
    <w:rsid w:val="00486F61"/>
    <w:rsid w:val="00487915"/>
    <w:rsid w:val="004901C1"/>
    <w:rsid w:val="00491008"/>
    <w:rsid w:val="00492150"/>
    <w:rsid w:val="004928BB"/>
    <w:rsid w:val="00492B4B"/>
    <w:rsid w:val="00493870"/>
    <w:rsid w:val="00493BA8"/>
    <w:rsid w:val="00494654"/>
    <w:rsid w:val="0049473C"/>
    <w:rsid w:val="00494D1C"/>
    <w:rsid w:val="004955D5"/>
    <w:rsid w:val="004961EA"/>
    <w:rsid w:val="004969D4"/>
    <w:rsid w:val="00496A01"/>
    <w:rsid w:val="00496CF5"/>
    <w:rsid w:val="00497A06"/>
    <w:rsid w:val="004A03FF"/>
    <w:rsid w:val="004A0C73"/>
    <w:rsid w:val="004A0DB0"/>
    <w:rsid w:val="004A0EFB"/>
    <w:rsid w:val="004A1096"/>
    <w:rsid w:val="004A1D5B"/>
    <w:rsid w:val="004A1F5B"/>
    <w:rsid w:val="004A20A7"/>
    <w:rsid w:val="004A2148"/>
    <w:rsid w:val="004A21AE"/>
    <w:rsid w:val="004A2348"/>
    <w:rsid w:val="004A28B2"/>
    <w:rsid w:val="004A309C"/>
    <w:rsid w:val="004A3566"/>
    <w:rsid w:val="004A35C1"/>
    <w:rsid w:val="004A3C8B"/>
    <w:rsid w:val="004A3D1D"/>
    <w:rsid w:val="004A41BC"/>
    <w:rsid w:val="004A44AD"/>
    <w:rsid w:val="004A453B"/>
    <w:rsid w:val="004A49A4"/>
    <w:rsid w:val="004A4AC0"/>
    <w:rsid w:val="004A4AFB"/>
    <w:rsid w:val="004A4B31"/>
    <w:rsid w:val="004A4C8F"/>
    <w:rsid w:val="004A4C93"/>
    <w:rsid w:val="004A5760"/>
    <w:rsid w:val="004A595B"/>
    <w:rsid w:val="004A5EDC"/>
    <w:rsid w:val="004A6322"/>
    <w:rsid w:val="004A7B8C"/>
    <w:rsid w:val="004B094D"/>
    <w:rsid w:val="004B1388"/>
    <w:rsid w:val="004B168A"/>
    <w:rsid w:val="004B1F69"/>
    <w:rsid w:val="004B2715"/>
    <w:rsid w:val="004B27A6"/>
    <w:rsid w:val="004B2909"/>
    <w:rsid w:val="004B38C4"/>
    <w:rsid w:val="004B3AB5"/>
    <w:rsid w:val="004B3C5C"/>
    <w:rsid w:val="004B3EDE"/>
    <w:rsid w:val="004B4960"/>
    <w:rsid w:val="004B4ABE"/>
    <w:rsid w:val="004B4CB9"/>
    <w:rsid w:val="004B53D6"/>
    <w:rsid w:val="004B5573"/>
    <w:rsid w:val="004B59DF"/>
    <w:rsid w:val="004B7221"/>
    <w:rsid w:val="004B747E"/>
    <w:rsid w:val="004C09FA"/>
    <w:rsid w:val="004C1482"/>
    <w:rsid w:val="004C149E"/>
    <w:rsid w:val="004C1711"/>
    <w:rsid w:val="004C1DC7"/>
    <w:rsid w:val="004C2204"/>
    <w:rsid w:val="004C25AC"/>
    <w:rsid w:val="004C3543"/>
    <w:rsid w:val="004C3C07"/>
    <w:rsid w:val="004C4956"/>
    <w:rsid w:val="004C49D3"/>
    <w:rsid w:val="004C57E0"/>
    <w:rsid w:val="004C5FF5"/>
    <w:rsid w:val="004C6BCA"/>
    <w:rsid w:val="004C74A0"/>
    <w:rsid w:val="004D07EA"/>
    <w:rsid w:val="004D10D5"/>
    <w:rsid w:val="004D3ABD"/>
    <w:rsid w:val="004D4007"/>
    <w:rsid w:val="004D440A"/>
    <w:rsid w:val="004D4C43"/>
    <w:rsid w:val="004D5000"/>
    <w:rsid w:val="004D5B64"/>
    <w:rsid w:val="004D64BB"/>
    <w:rsid w:val="004D6E65"/>
    <w:rsid w:val="004D7167"/>
    <w:rsid w:val="004E092D"/>
    <w:rsid w:val="004E1CAE"/>
    <w:rsid w:val="004E1CD7"/>
    <w:rsid w:val="004E25EE"/>
    <w:rsid w:val="004E2856"/>
    <w:rsid w:val="004E3344"/>
    <w:rsid w:val="004E3F1E"/>
    <w:rsid w:val="004E42B7"/>
    <w:rsid w:val="004E4ABE"/>
    <w:rsid w:val="004E4F3D"/>
    <w:rsid w:val="004E573F"/>
    <w:rsid w:val="004E57DC"/>
    <w:rsid w:val="004E5A50"/>
    <w:rsid w:val="004E5C3C"/>
    <w:rsid w:val="004E5FD8"/>
    <w:rsid w:val="004E649F"/>
    <w:rsid w:val="004E6CEF"/>
    <w:rsid w:val="004E7197"/>
    <w:rsid w:val="004E73C4"/>
    <w:rsid w:val="004E765D"/>
    <w:rsid w:val="004F0214"/>
    <w:rsid w:val="004F1042"/>
    <w:rsid w:val="004F108A"/>
    <w:rsid w:val="004F10F4"/>
    <w:rsid w:val="004F1D59"/>
    <w:rsid w:val="004F29AF"/>
    <w:rsid w:val="004F29DB"/>
    <w:rsid w:val="004F3006"/>
    <w:rsid w:val="004F3D10"/>
    <w:rsid w:val="004F4DF5"/>
    <w:rsid w:val="004F5478"/>
    <w:rsid w:val="004F5B02"/>
    <w:rsid w:val="004F5BE9"/>
    <w:rsid w:val="004F5E03"/>
    <w:rsid w:val="004F639B"/>
    <w:rsid w:val="004F64F9"/>
    <w:rsid w:val="004F76E2"/>
    <w:rsid w:val="004F79EE"/>
    <w:rsid w:val="004F7B5F"/>
    <w:rsid w:val="004F7BCB"/>
    <w:rsid w:val="004F7CAC"/>
    <w:rsid w:val="00500448"/>
    <w:rsid w:val="0050082F"/>
    <w:rsid w:val="00500F47"/>
    <w:rsid w:val="005010D5"/>
    <w:rsid w:val="005011B1"/>
    <w:rsid w:val="005016D6"/>
    <w:rsid w:val="00501855"/>
    <w:rsid w:val="00502678"/>
    <w:rsid w:val="0050393D"/>
    <w:rsid w:val="00503942"/>
    <w:rsid w:val="00503A92"/>
    <w:rsid w:val="00504AD9"/>
    <w:rsid w:val="00504F3E"/>
    <w:rsid w:val="00505084"/>
    <w:rsid w:val="00505251"/>
    <w:rsid w:val="00505793"/>
    <w:rsid w:val="0050688A"/>
    <w:rsid w:val="00506AD5"/>
    <w:rsid w:val="00506E07"/>
    <w:rsid w:val="00507465"/>
    <w:rsid w:val="00507B34"/>
    <w:rsid w:val="00507CBE"/>
    <w:rsid w:val="005110D4"/>
    <w:rsid w:val="00511467"/>
    <w:rsid w:val="0051194B"/>
    <w:rsid w:val="00514078"/>
    <w:rsid w:val="00514EE3"/>
    <w:rsid w:val="00515DC7"/>
    <w:rsid w:val="0051605A"/>
    <w:rsid w:val="005161ED"/>
    <w:rsid w:val="00516388"/>
    <w:rsid w:val="0051692A"/>
    <w:rsid w:val="00516D71"/>
    <w:rsid w:val="005174C1"/>
    <w:rsid w:val="00517857"/>
    <w:rsid w:val="0051787D"/>
    <w:rsid w:val="005205FB"/>
    <w:rsid w:val="005215D9"/>
    <w:rsid w:val="005215F4"/>
    <w:rsid w:val="00521A10"/>
    <w:rsid w:val="00521B23"/>
    <w:rsid w:val="00521B61"/>
    <w:rsid w:val="00522640"/>
    <w:rsid w:val="005227E3"/>
    <w:rsid w:val="00522837"/>
    <w:rsid w:val="00523880"/>
    <w:rsid w:val="00523C86"/>
    <w:rsid w:val="0052438F"/>
    <w:rsid w:val="005243D9"/>
    <w:rsid w:val="00524F3A"/>
    <w:rsid w:val="00525F3A"/>
    <w:rsid w:val="00526011"/>
    <w:rsid w:val="005262EB"/>
    <w:rsid w:val="00526D58"/>
    <w:rsid w:val="0052728C"/>
    <w:rsid w:val="00527546"/>
    <w:rsid w:val="005275D6"/>
    <w:rsid w:val="0052764B"/>
    <w:rsid w:val="00527ECA"/>
    <w:rsid w:val="00530787"/>
    <w:rsid w:val="005309BA"/>
    <w:rsid w:val="00530A8A"/>
    <w:rsid w:val="0053181D"/>
    <w:rsid w:val="00531AC2"/>
    <w:rsid w:val="0053276E"/>
    <w:rsid w:val="005337EF"/>
    <w:rsid w:val="00533DAE"/>
    <w:rsid w:val="00533E0E"/>
    <w:rsid w:val="0053401D"/>
    <w:rsid w:val="00534127"/>
    <w:rsid w:val="005344D9"/>
    <w:rsid w:val="00534C8A"/>
    <w:rsid w:val="005355DC"/>
    <w:rsid w:val="005358CD"/>
    <w:rsid w:val="00535C4E"/>
    <w:rsid w:val="00535F31"/>
    <w:rsid w:val="005364CE"/>
    <w:rsid w:val="00536510"/>
    <w:rsid w:val="00537627"/>
    <w:rsid w:val="0054070B"/>
    <w:rsid w:val="00540C54"/>
    <w:rsid w:val="00540CB4"/>
    <w:rsid w:val="00540EF6"/>
    <w:rsid w:val="005410B8"/>
    <w:rsid w:val="005412F3"/>
    <w:rsid w:val="00541DA9"/>
    <w:rsid w:val="0054487D"/>
    <w:rsid w:val="0054498E"/>
    <w:rsid w:val="00544B20"/>
    <w:rsid w:val="00544CF7"/>
    <w:rsid w:val="00544DF5"/>
    <w:rsid w:val="00545BDB"/>
    <w:rsid w:val="00546751"/>
    <w:rsid w:val="0054736D"/>
    <w:rsid w:val="00547563"/>
    <w:rsid w:val="00547BE3"/>
    <w:rsid w:val="00547EFA"/>
    <w:rsid w:val="00550C1E"/>
    <w:rsid w:val="00550E4F"/>
    <w:rsid w:val="00551587"/>
    <w:rsid w:val="005515B2"/>
    <w:rsid w:val="0055170F"/>
    <w:rsid w:val="005517E7"/>
    <w:rsid w:val="00552E13"/>
    <w:rsid w:val="00552F8D"/>
    <w:rsid w:val="00553296"/>
    <w:rsid w:val="00553324"/>
    <w:rsid w:val="00553835"/>
    <w:rsid w:val="00554075"/>
    <w:rsid w:val="0055414B"/>
    <w:rsid w:val="005541B5"/>
    <w:rsid w:val="0055445D"/>
    <w:rsid w:val="00554652"/>
    <w:rsid w:val="00554DC6"/>
    <w:rsid w:val="00555739"/>
    <w:rsid w:val="00555D16"/>
    <w:rsid w:val="005562D5"/>
    <w:rsid w:val="0055711D"/>
    <w:rsid w:val="0055743E"/>
    <w:rsid w:val="00557920"/>
    <w:rsid w:val="00560417"/>
    <w:rsid w:val="005612E1"/>
    <w:rsid w:val="00561D28"/>
    <w:rsid w:val="00561E4C"/>
    <w:rsid w:val="00562595"/>
    <w:rsid w:val="005625BB"/>
    <w:rsid w:val="005629F5"/>
    <w:rsid w:val="00562B0A"/>
    <w:rsid w:val="005632D0"/>
    <w:rsid w:val="005638DB"/>
    <w:rsid w:val="00564FC7"/>
    <w:rsid w:val="005658C5"/>
    <w:rsid w:val="00565955"/>
    <w:rsid w:val="0056718E"/>
    <w:rsid w:val="00567DE9"/>
    <w:rsid w:val="00570C5E"/>
    <w:rsid w:val="00570DD8"/>
    <w:rsid w:val="00570F80"/>
    <w:rsid w:val="005712F1"/>
    <w:rsid w:val="005715D1"/>
    <w:rsid w:val="005718AE"/>
    <w:rsid w:val="00571ADB"/>
    <w:rsid w:val="005734FD"/>
    <w:rsid w:val="00573D58"/>
    <w:rsid w:val="005748FB"/>
    <w:rsid w:val="00574E14"/>
    <w:rsid w:val="005755D0"/>
    <w:rsid w:val="0057560D"/>
    <w:rsid w:val="00576881"/>
    <w:rsid w:val="005774A1"/>
    <w:rsid w:val="00580A3C"/>
    <w:rsid w:val="00581903"/>
    <w:rsid w:val="00581F34"/>
    <w:rsid w:val="0058348A"/>
    <w:rsid w:val="005853D4"/>
    <w:rsid w:val="005863FB"/>
    <w:rsid w:val="005877F6"/>
    <w:rsid w:val="00587834"/>
    <w:rsid w:val="005908E5"/>
    <w:rsid w:val="00590BB2"/>
    <w:rsid w:val="00590BE3"/>
    <w:rsid w:val="00591869"/>
    <w:rsid w:val="005918AF"/>
    <w:rsid w:val="00592928"/>
    <w:rsid w:val="00592DFB"/>
    <w:rsid w:val="005933AA"/>
    <w:rsid w:val="005939DF"/>
    <w:rsid w:val="00593FB2"/>
    <w:rsid w:val="005940C7"/>
    <w:rsid w:val="0059417D"/>
    <w:rsid w:val="005941F4"/>
    <w:rsid w:val="00594568"/>
    <w:rsid w:val="00594F42"/>
    <w:rsid w:val="0059599F"/>
    <w:rsid w:val="00596271"/>
    <w:rsid w:val="00596311"/>
    <w:rsid w:val="0059663B"/>
    <w:rsid w:val="00596886"/>
    <w:rsid w:val="00596D43"/>
    <w:rsid w:val="00596D9D"/>
    <w:rsid w:val="00596EB8"/>
    <w:rsid w:val="00597663"/>
    <w:rsid w:val="005A0325"/>
    <w:rsid w:val="005A03BC"/>
    <w:rsid w:val="005A0414"/>
    <w:rsid w:val="005A0774"/>
    <w:rsid w:val="005A0BC6"/>
    <w:rsid w:val="005A0FB0"/>
    <w:rsid w:val="005A12F4"/>
    <w:rsid w:val="005A27D1"/>
    <w:rsid w:val="005A29FC"/>
    <w:rsid w:val="005A2A00"/>
    <w:rsid w:val="005A30C2"/>
    <w:rsid w:val="005A3B97"/>
    <w:rsid w:val="005A3BDF"/>
    <w:rsid w:val="005A4148"/>
    <w:rsid w:val="005A47AC"/>
    <w:rsid w:val="005A4E3B"/>
    <w:rsid w:val="005A56BA"/>
    <w:rsid w:val="005A6215"/>
    <w:rsid w:val="005A640E"/>
    <w:rsid w:val="005A7466"/>
    <w:rsid w:val="005B00BB"/>
    <w:rsid w:val="005B0758"/>
    <w:rsid w:val="005B1732"/>
    <w:rsid w:val="005B247C"/>
    <w:rsid w:val="005B2F0E"/>
    <w:rsid w:val="005B32A1"/>
    <w:rsid w:val="005B32E2"/>
    <w:rsid w:val="005B3932"/>
    <w:rsid w:val="005B469E"/>
    <w:rsid w:val="005B48EE"/>
    <w:rsid w:val="005B4CF2"/>
    <w:rsid w:val="005B5F23"/>
    <w:rsid w:val="005B6C1B"/>
    <w:rsid w:val="005B6CAC"/>
    <w:rsid w:val="005B7731"/>
    <w:rsid w:val="005B7C63"/>
    <w:rsid w:val="005B7C7B"/>
    <w:rsid w:val="005C06A1"/>
    <w:rsid w:val="005C074C"/>
    <w:rsid w:val="005C0917"/>
    <w:rsid w:val="005C0B7A"/>
    <w:rsid w:val="005C0F60"/>
    <w:rsid w:val="005C1347"/>
    <w:rsid w:val="005C13B8"/>
    <w:rsid w:val="005C1A07"/>
    <w:rsid w:val="005C25A9"/>
    <w:rsid w:val="005C2674"/>
    <w:rsid w:val="005C2A23"/>
    <w:rsid w:val="005C35E0"/>
    <w:rsid w:val="005C4586"/>
    <w:rsid w:val="005C4B30"/>
    <w:rsid w:val="005C4B7A"/>
    <w:rsid w:val="005C5F01"/>
    <w:rsid w:val="005C63A3"/>
    <w:rsid w:val="005C6501"/>
    <w:rsid w:val="005C6932"/>
    <w:rsid w:val="005C6A36"/>
    <w:rsid w:val="005C6F63"/>
    <w:rsid w:val="005C728C"/>
    <w:rsid w:val="005C76E2"/>
    <w:rsid w:val="005C7B34"/>
    <w:rsid w:val="005C7C42"/>
    <w:rsid w:val="005C7E80"/>
    <w:rsid w:val="005D00ED"/>
    <w:rsid w:val="005D0721"/>
    <w:rsid w:val="005D0848"/>
    <w:rsid w:val="005D1154"/>
    <w:rsid w:val="005D131D"/>
    <w:rsid w:val="005D14D8"/>
    <w:rsid w:val="005D2120"/>
    <w:rsid w:val="005D2705"/>
    <w:rsid w:val="005D27C0"/>
    <w:rsid w:val="005D2AEA"/>
    <w:rsid w:val="005D3814"/>
    <w:rsid w:val="005D42D6"/>
    <w:rsid w:val="005D49E5"/>
    <w:rsid w:val="005D533B"/>
    <w:rsid w:val="005D563F"/>
    <w:rsid w:val="005D585D"/>
    <w:rsid w:val="005D5D1B"/>
    <w:rsid w:val="005D68FE"/>
    <w:rsid w:val="005D6C94"/>
    <w:rsid w:val="005D6D39"/>
    <w:rsid w:val="005D7B22"/>
    <w:rsid w:val="005D7D01"/>
    <w:rsid w:val="005D7D8E"/>
    <w:rsid w:val="005E0475"/>
    <w:rsid w:val="005E12C6"/>
    <w:rsid w:val="005E1F2E"/>
    <w:rsid w:val="005E1FB7"/>
    <w:rsid w:val="005E2E29"/>
    <w:rsid w:val="005E3958"/>
    <w:rsid w:val="005E3A3E"/>
    <w:rsid w:val="005E48B6"/>
    <w:rsid w:val="005E48D8"/>
    <w:rsid w:val="005E4FC3"/>
    <w:rsid w:val="005E5691"/>
    <w:rsid w:val="005E5D3C"/>
    <w:rsid w:val="005E5D66"/>
    <w:rsid w:val="005E7E1A"/>
    <w:rsid w:val="005F12D7"/>
    <w:rsid w:val="005F15F3"/>
    <w:rsid w:val="005F1CAA"/>
    <w:rsid w:val="005F2536"/>
    <w:rsid w:val="005F2D4B"/>
    <w:rsid w:val="005F30E5"/>
    <w:rsid w:val="005F3127"/>
    <w:rsid w:val="005F3C5A"/>
    <w:rsid w:val="005F4217"/>
    <w:rsid w:val="005F4AAF"/>
    <w:rsid w:val="005F5792"/>
    <w:rsid w:val="005F5D80"/>
    <w:rsid w:val="005F5F8A"/>
    <w:rsid w:val="005F6492"/>
    <w:rsid w:val="005F6E20"/>
    <w:rsid w:val="005F793B"/>
    <w:rsid w:val="005F794F"/>
    <w:rsid w:val="005F7A55"/>
    <w:rsid w:val="005F7BBC"/>
    <w:rsid w:val="005F7EE3"/>
    <w:rsid w:val="006024FC"/>
    <w:rsid w:val="00602934"/>
    <w:rsid w:val="0060378D"/>
    <w:rsid w:val="00604143"/>
    <w:rsid w:val="006047D4"/>
    <w:rsid w:val="00605524"/>
    <w:rsid w:val="00606021"/>
    <w:rsid w:val="00606846"/>
    <w:rsid w:val="0060722C"/>
    <w:rsid w:val="006073BF"/>
    <w:rsid w:val="00607C62"/>
    <w:rsid w:val="006105BE"/>
    <w:rsid w:val="00610A76"/>
    <w:rsid w:val="0061147E"/>
    <w:rsid w:val="00611533"/>
    <w:rsid w:val="00611829"/>
    <w:rsid w:val="00611A57"/>
    <w:rsid w:val="00611E4F"/>
    <w:rsid w:val="00612913"/>
    <w:rsid w:val="006129CF"/>
    <w:rsid w:val="00612D00"/>
    <w:rsid w:val="00612E97"/>
    <w:rsid w:val="00613058"/>
    <w:rsid w:val="00613482"/>
    <w:rsid w:val="0061355E"/>
    <w:rsid w:val="006149BA"/>
    <w:rsid w:val="006149C2"/>
    <w:rsid w:val="00614F86"/>
    <w:rsid w:val="0061554A"/>
    <w:rsid w:val="00615F9F"/>
    <w:rsid w:val="00616F38"/>
    <w:rsid w:val="00620317"/>
    <w:rsid w:val="006203C3"/>
    <w:rsid w:val="0062108F"/>
    <w:rsid w:val="00621285"/>
    <w:rsid w:val="00621700"/>
    <w:rsid w:val="00621771"/>
    <w:rsid w:val="006223AE"/>
    <w:rsid w:val="006229DD"/>
    <w:rsid w:val="006235A9"/>
    <w:rsid w:val="0062431D"/>
    <w:rsid w:val="00624DE7"/>
    <w:rsid w:val="0062530F"/>
    <w:rsid w:val="0062576F"/>
    <w:rsid w:val="00625B9F"/>
    <w:rsid w:val="00625CBA"/>
    <w:rsid w:val="006264A7"/>
    <w:rsid w:val="006264B3"/>
    <w:rsid w:val="00626830"/>
    <w:rsid w:val="00627539"/>
    <w:rsid w:val="006308F2"/>
    <w:rsid w:val="006309F0"/>
    <w:rsid w:val="00630F9C"/>
    <w:rsid w:val="00631307"/>
    <w:rsid w:val="00631412"/>
    <w:rsid w:val="00631D1B"/>
    <w:rsid w:val="006322B9"/>
    <w:rsid w:val="00632683"/>
    <w:rsid w:val="00632F29"/>
    <w:rsid w:val="00633ACE"/>
    <w:rsid w:val="00633C7D"/>
    <w:rsid w:val="00634014"/>
    <w:rsid w:val="00634129"/>
    <w:rsid w:val="006342F2"/>
    <w:rsid w:val="00634B06"/>
    <w:rsid w:val="00634E05"/>
    <w:rsid w:val="00634F72"/>
    <w:rsid w:val="00635365"/>
    <w:rsid w:val="006369D0"/>
    <w:rsid w:val="00636C3C"/>
    <w:rsid w:val="00636DB7"/>
    <w:rsid w:val="00641602"/>
    <w:rsid w:val="00641608"/>
    <w:rsid w:val="00642EC7"/>
    <w:rsid w:val="006437F7"/>
    <w:rsid w:val="0064546A"/>
    <w:rsid w:val="0064592B"/>
    <w:rsid w:val="00645CFA"/>
    <w:rsid w:val="006460D9"/>
    <w:rsid w:val="00646817"/>
    <w:rsid w:val="00646FC8"/>
    <w:rsid w:val="006477C7"/>
    <w:rsid w:val="00647819"/>
    <w:rsid w:val="00650C00"/>
    <w:rsid w:val="006521F4"/>
    <w:rsid w:val="00652C52"/>
    <w:rsid w:val="006530D5"/>
    <w:rsid w:val="0065319A"/>
    <w:rsid w:val="0065381C"/>
    <w:rsid w:val="00654598"/>
    <w:rsid w:val="0065511E"/>
    <w:rsid w:val="00655725"/>
    <w:rsid w:val="00656A67"/>
    <w:rsid w:val="00656B90"/>
    <w:rsid w:val="00656BFF"/>
    <w:rsid w:val="00656CA3"/>
    <w:rsid w:val="006575D8"/>
    <w:rsid w:val="006577F3"/>
    <w:rsid w:val="00660AF1"/>
    <w:rsid w:val="00661191"/>
    <w:rsid w:val="006614BB"/>
    <w:rsid w:val="00662E80"/>
    <w:rsid w:val="00662EF7"/>
    <w:rsid w:val="00663114"/>
    <w:rsid w:val="00663291"/>
    <w:rsid w:val="00663D05"/>
    <w:rsid w:val="00664BCA"/>
    <w:rsid w:val="00664E1A"/>
    <w:rsid w:val="00666208"/>
    <w:rsid w:val="0066672F"/>
    <w:rsid w:val="00666844"/>
    <w:rsid w:val="00666CE4"/>
    <w:rsid w:val="00667693"/>
    <w:rsid w:val="0066796C"/>
    <w:rsid w:val="00667A77"/>
    <w:rsid w:val="006703B0"/>
    <w:rsid w:val="0067048C"/>
    <w:rsid w:val="00670C48"/>
    <w:rsid w:val="00670C5A"/>
    <w:rsid w:val="00670D23"/>
    <w:rsid w:val="00670DCA"/>
    <w:rsid w:val="00670DDB"/>
    <w:rsid w:val="0067126B"/>
    <w:rsid w:val="006712AD"/>
    <w:rsid w:val="006718F7"/>
    <w:rsid w:val="00671964"/>
    <w:rsid w:val="006723A4"/>
    <w:rsid w:val="0067295D"/>
    <w:rsid w:val="00673F2B"/>
    <w:rsid w:val="006745BC"/>
    <w:rsid w:val="00674800"/>
    <w:rsid w:val="00675117"/>
    <w:rsid w:val="00675690"/>
    <w:rsid w:val="006764AF"/>
    <w:rsid w:val="006765D8"/>
    <w:rsid w:val="00677683"/>
    <w:rsid w:val="006776AC"/>
    <w:rsid w:val="006778DC"/>
    <w:rsid w:val="00677922"/>
    <w:rsid w:val="00677B46"/>
    <w:rsid w:val="00677BD6"/>
    <w:rsid w:val="00677C01"/>
    <w:rsid w:val="00677F45"/>
    <w:rsid w:val="006800BB"/>
    <w:rsid w:val="0068014E"/>
    <w:rsid w:val="00680210"/>
    <w:rsid w:val="006808A3"/>
    <w:rsid w:val="00680999"/>
    <w:rsid w:val="00680BF5"/>
    <w:rsid w:val="00680E08"/>
    <w:rsid w:val="00681345"/>
    <w:rsid w:val="00681415"/>
    <w:rsid w:val="00681B70"/>
    <w:rsid w:val="00681D6D"/>
    <w:rsid w:val="0068224A"/>
    <w:rsid w:val="0068305A"/>
    <w:rsid w:val="00683188"/>
    <w:rsid w:val="006833EE"/>
    <w:rsid w:val="00684476"/>
    <w:rsid w:val="0068467D"/>
    <w:rsid w:val="00684B6E"/>
    <w:rsid w:val="006854FF"/>
    <w:rsid w:val="006859EC"/>
    <w:rsid w:val="00686108"/>
    <w:rsid w:val="00687E44"/>
    <w:rsid w:val="00687FB4"/>
    <w:rsid w:val="00690260"/>
    <w:rsid w:val="006909D9"/>
    <w:rsid w:val="00690BA4"/>
    <w:rsid w:val="00690F48"/>
    <w:rsid w:val="006926C2"/>
    <w:rsid w:val="00693148"/>
    <w:rsid w:val="00693379"/>
    <w:rsid w:val="00694CE9"/>
    <w:rsid w:val="00694DCC"/>
    <w:rsid w:val="00695AD0"/>
    <w:rsid w:val="00695D31"/>
    <w:rsid w:val="00695D79"/>
    <w:rsid w:val="006966D4"/>
    <w:rsid w:val="00696DB0"/>
    <w:rsid w:val="006A074F"/>
    <w:rsid w:val="006A0AA4"/>
    <w:rsid w:val="006A0E73"/>
    <w:rsid w:val="006A1168"/>
    <w:rsid w:val="006A13CC"/>
    <w:rsid w:val="006A15E7"/>
    <w:rsid w:val="006A179C"/>
    <w:rsid w:val="006A258D"/>
    <w:rsid w:val="006A3155"/>
    <w:rsid w:val="006A323F"/>
    <w:rsid w:val="006A60D2"/>
    <w:rsid w:val="006A610E"/>
    <w:rsid w:val="006A65EF"/>
    <w:rsid w:val="006A67DA"/>
    <w:rsid w:val="006A6875"/>
    <w:rsid w:val="006A74F2"/>
    <w:rsid w:val="006A7759"/>
    <w:rsid w:val="006B0ABB"/>
    <w:rsid w:val="006B0C48"/>
    <w:rsid w:val="006B0C92"/>
    <w:rsid w:val="006B1480"/>
    <w:rsid w:val="006B16CA"/>
    <w:rsid w:val="006B2AD9"/>
    <w:rsid w:val="006B31C2"/>
    <w:rsid w:val="006B3364"/>
    <w:rsid w:val="006B3748"/>
    <w:rsid w:val="006B385D"/>
    <w:rsid w:val="006B392A"/>
    <w:rsid w:val="006B3B4E"/>
    <w:rsid w:val="006B3D57"/>
    <w:rsid w:val="006B51E6"/>
    <w:rsid w:val="006B51E8"/>
    <w:rsid w:val="006B5A4C"/>
    <w:rsid w:val="006B5ED5"/>
    <w:rsid w:val="006B5F50"/>
    <w:rsid w:val="006B607B"/>
    <w:rsid w:val="006B6934"/>
    <w:rsid w:val="006B7215"/>
    <w:rsid w:val="006B797D"/>
    <w:rsid w:val="006B7B89"/>
    <w:rsid w:val="006B7FB3"/>
    <w:rsid w:val="006C00DB"/>
    <w:rsid w:val="006C04FF"/>
    <w:rsid w:val="006C109B"/>
    <w:rsid w:val="006C152A"/>
    <w:rsid w:val="006C15DC"/>
    <w:rsid w:val="006C16A5"/>
    <w:rsid w:val="006C24CE"/>
    <w:rsid w:val="006C2878"/>
    <w:rsid w:val="006C2C84"/>
    <w:rsid w:val="006C3506"/>
    <w:rsid w:val="006C3C29"/>
    <w:rsid w:val="006C3DE7"/>
    <w:rsid w:val="006C443A"/>
    <w:rsid w:val="006C51CC"/>
    <w:rsid w:val="006C51D1"/>
    <w:rsid w:val="006C57D3"/>
    <w:rsid w:val="006C5809"/>
    <w:rsid w:val="006C5C31"/>
    <w:rsid w:val="006C6221"/>
    <w:rsid w:val="006C6CED"/>
    <w:rsid w:val="006C6FDB"/>
    <w:rsid w:val="006C7755"/>
    <w:rsid w:val="006C7E55"/>
    <w:rsid w:val="006D0301"/>
    <w:rsid w:val="006D05EC"/>
    <w:rsid w:val="006D0EEB"/>
    <w:rsid w:val="006D1999"/>
    <w:rsid w:val="006D24A4"/>
    <w:rsid w:val="006D26B9"/>
    <w:rsid w:val="006D3118"/>
    <w:rsid w:val="006D324E"/>
    <w:rsid w:val="006D37B7"/>
    <w:rsid w:val="006D435E"/>
    <w:rsid w:val="006D5220"/>
    <w:rsid w:val="006D6BCC"/>
    <w:rsid w:val="006D74C0"/>
    <w:rsid w:val="006D7796"/>
    <w:rsid w:val="006E2B23"/>
    <w:rsid w:val="006E3409"/>
    <w:rsid w:val="006E470A"/>
    <w:rsid w:val="006E57CB"/>
    <w:rsid w:val="006E60E2"/>
    <w:rsid w:val="006E6D03"/>
    <w:rsid w:val="006E6E15"/>
    <w:rsid w:val="006E738F"/>
    <w:rsid w:val="006E7B0B"/>
    <w:rsid w:val="006F15C1"/>
    <w:rsid w:val="006F18A4"/>
    <w:rsid w:val="006F1CB7"/>
    <w:rsid w:val="006F2139"/>
    <w:rsid w:val="006F2511"/>
    <w:rsid w:val="006F25B6"/>
    <w:rsid w:val="006F30B6"/>
    <w:rsid w:val="006F3EE5"/>
    <w:rsid w:val="006F43D8"/>
    <w:rsid w:val="006F48BC"/>
    <w:rsid w:val="006F4994"/>
    <w:rsid w:val="006F4E54"/>
    <w:rsid w:val="006F549E"/>
    <w:rsid w:val="006F56E7"/>
    <w:rsid w:val="006F5804"/>
    <w:rsid w:val="006F5DA4"/>
    <w:rsid w:val="006F6A5F"/>
    <w:rsid w:val="006F7B96"/>
    <w:rsid w:val="006F7BBA"/>
    <w:rsid w:val="006F7D0E"/>
    <w:rsid w:val="006F7E62"/>
    <w:rsid w:val="007001A6"/>
    <w:rsid w:val="00700626"/>
    <w:rsid w:val="007010DB"/>
    <w:rsid w:val="00701AB0"/>
    <w:rsid w:val="00702065"/>
    <w:rsid w:val="007024D9"/>
    <w:rsid w:val="0070251F"/>
    <w:rsid w:val="00702596"/>
    <w:rsid w:val="00702EAC"/>
    <w:rsid w:val="00703B63"/>
    <w:rsid w:val="0070507E"/>
    <w:rsid w:val="007052AF"/>
    <w:rsid w:val="007058DA"/>
    <w:rsid w:val="00707156"/>
    <w:rsid w:val="00707E41"/>
    <w:rsid w:val="00710560"/>
    <w:rsid w:val="00710C18"/>
    <w:rsid w:val="00710FED"/>
    <w:rsid w:val="00711095"/>
    <w:rsid w:val="00711369"/>
    <w:rsid w:val="00711D17"/>
    <w:rsid w:val="007121B4"/>
    <w:rsid w:val="007122A1"/>
    <w:rsid w:val="007126FA"/>
    <w:rsid w:val="00712B31"/>
    <w:rsid w:val="007134A1"/>
    <w:rsid w:val="00714CBE"/>
    <w:rsid w:val="00715314"/>
    <w:rsid w:val="007154C6"/>
    <w:rsid w:val="007167A1"/>
    <w:rsid w:val="00716FEF"/>
    <w:rsid w:val="00717003"/>
    <w:rsid w:val="00717C48"/>
    <w:rsid w:val="00720857"/>
    <w:rsid w:val="00720F56"/>
    <w:rsid w:val="00720FCB"/>
    <w:rsid w:val="007214D4"/>
    <w:rsid w:val="00721657"/>
    <w:rsid w:val="00721D86"/>
    <w:rsid w:val="007224CA"/>
    <w:rsid w:val="0072283F"/>
    <w:rsid w:val="0072305F"/>
    <w:rsid w:val="007233CE"/>
    <w:rsid w:val="00723411"/>
    <w:rsid w:val="00723564"/>
    <w:rsid w:val="007239CE"/>
    <w:rsid w:val="00723EBA"/>
    <w:rsid w:val="00723ED7"/>
    <w:rsid w:val="007242C5"/>
    <w:rsid w:val="007248A0"/>
    <w:rsid w:val="007250AD"/>
    <w:rsid w:val="007259E8"/>
    <w:rsid w:val="00725C5A"/>
    <w:rsid w:val="007262F7"/>
    <w:rsid w:val="007267A1"/>
    <w:rsid w:val="007272D4"/>
    <w:rsid w:val="00731247"/>
    <w:rsid w:val="007314B5"/>
    <w:rsid w:val="00731726"/>
    <w:rsid w:val="00732554"/>
    <w:rsid w:val="007327CF"/>
    <w:rsid w:val="00732C10"/>
    <w:rsid w:val="00732E53"/>
    <w:rsid w:val="00732FDE"/>
    <w:rsid w:val="00733169"/>
    <w:rsid w:val="0073385F"/>
    <w:rsid w:val="007338E8"/>
    <w:rsid w:val="00733D15"/>
    <w:rsid w:val="007347F4"/>
    <w:rsid w:val="00734932"/>
    <w:rsid w:val="00734E7C"/>
    <w:rsid w:val="007352A4"/>
    <w:rsid w:val="007360DC"/>
    <w:rsid w:val="00736D93"/>
    <w:rsid w:val="00737287"/>
    <w:rsid w:val="00737A6C"/>
    <w:rsid w:val="00740FBD"/>
    <w:rsid w:val="007410D9"/>
    <w:rsid w:val="00741814"/>
    <w:rsid w:val="007421F3"/>
    <w:rsid w:val="0074317F"/>
    <w:rsid w:val="00743B1E"/>
    <w:rsid w:val="00745399"/>
    <w:rsid w:val="00745B89"/>
    <w:rsid w:val="00745CAE"/>
    <w:rsid w:val="00746070"/>
    <w:rsid w:val="0074610B"/>
    <w:rsid w:val="0074698D"/>
    <w:rsid w:val="007469B4"/>
    <w:rsid w:val="00750B2A"/>
    <w:rsid w:val="00751A71"/>
    <w:rsid w:val="00751E7D"/>
    <w:rsid w:val="00751FD9"/>
    <w:rsid w:val="00752546"/>
    <w:rsid w:val="007526C6"/>
    <w:rsid w:val="00752886"/>
    <w:rsid w:val="00752ACD"/>
    <w:rsid w:val="00754018"/>
    <w:rsid w:val="0075438A"/>
    <w:rsid w:val="00754A8A"/>
    <w:rsid w:val="007551E3"/>
    <w:rsid w:val="00756A3A"/>
    <w:rsid w:val="00757048"/>
    <w:rsid w:val="0075783C"/>
    <w:rsid w:val="00761611"/>
    <w:rsid w:val="00761F52"/>
    <w:rsid w:val="00762B23"/>
    <w:rsid w:val="00763783"/>
    <w:rsid w:val="00763D2F"/>
    <w:rsid w:val="00763DE0"/>
    <w:rsid w:val="00763E5B"/>
    <w:rsid w:val="00765409"/>
    <w:rsid w:val="00766017"/>
    <w:rsid w:val="0076676B"/>
    <w:rsid w:val="00766B37"/>
    <w:rsid w:val="0076701F"/>
    <w:rsid w:val="00767B1F"/>
    <w:rsid w:val="00770A33"/>
    <w:rsid w:val="00770C04"/>
    <w:rsid w:val="00770DAA"/>
    <w:rsid w:val="00770DCA"/>
    <w:rsid w:val="00770FBA"/>
    <w:rsid w:val="0077148E"/>
    <w:rsid w:val="007715C9"/>
    <w:rsid w:val="00772C65"/>
    <w:rsid w:val="007736EA"/>
    <w:rsid w:val="0077385B"/>
    <w:rsid w:val="00774122"/>
    <w:rsid w:val="00774392"/>
    <w:rsid w:val="007748AF"/>
    <w:rsid w:val="00774E55"/>
    <w:rsid w:val="00774FC5"/>
    <w:rsid w:val="007750EB"/>
    <w:rsid w:val="00775202"/>
    <w:rsid w:val="00775338"/>
    <w:rsid w:val="00775F51"/>
    <w:rsid w:val="00776737"/>
    <w:rsid w:val="00776796"/>
    <w:rsid w:val="00776FFE"/>
    <w:rsid w:val="00777385"/>
    <w:rsid w:val="007776E9"/>
    <w:rsid w:val="00780A33"/>
    <w:rsid w:val="007814EF"/>
    <w:rsid w:val="007815F4"/>
    <w:rsid w:val="00781668"/>
    <w:rsid w:val="00781E2D"/>
    <w:rsid w:val="00782108"/>
    <w:rsid w:val="00782785"/>
    <w:rsid w:val="0078284F"/>
    <w:rsid w:val="007835C3"/>
    <w:rsid w:val="0078388D"/>
    <w:rsid w:val="00785105"/>
    <w:rsid w:val="007859C2"/>
    <w:rsid w:val="00785C52"/>
    <w:rsid w:val="00786519"/>
    <w:rsid w:val="00786D6F"/>
    <w:rsid w:val="00786E9F"/>
    <w:rsid w:val="00787898"/>
    <w:rsid w:val="00787F36"/>
    <w:rsid w:val="007904DE"/>
    <w:rsid w:val="00790D5B"/>
    <w:rsid w:val="00790E04"/>
    <w:rsid w:val="00790FCA"/>
    <w:rsid w:val="00791B23"/>
    <w:rsid w:val="00791BD9"/>
    <w:rsid w:val="00792E71"/>
    <w:rsid w:val="007935F4"/>
    <w:rsid w:val="00793A9D"/>
    <w:rsid w:val="007946A6"/>
    <w:rsid w:val="0079473F"/>
    <w:rsid w:val="00794765"/>
    <w:rsid w:val="00794895"/>
    <w:rsid w:val="00794FE8"/>
    <w:rsid w:val="007953D8"/>
    <w:rsid w:val="00796239"/>
    <w:rsid w:val="0079647A"/>
    <w:rsid w:val="00796839"/>
    <w:rsid w:val="00796873"/>
    <w:rsid w:val="007968C4"/>
    <w:rsid w:val="00796C45"/>
    <w:rsid w:val="00797690"/>
    <w:rsid w:val="0079788B"/>
    <w:rsid w:val="00797E5A"/>
    <w:rsid w:val="007A002F"/>
    <w:rsid w:val="007A04E9"/>
    <w:rsid w:val="007A0993"/>
    <w:rsid w:val="007A0A45"/>
    <w:rsid w:val="007A0BEC"/>
    <w:rsid w:val="007A1068"/>
    <w:rsid w:val="007A123F"/>
    <w:rsid w:val="007A126F"/>
    <w:rsid w:val="007A18A9"/>
    <w:rsid w:val="007A2010"/>
    <w:rsid w:val="007A2EB0"/>
    <w:rsid w:val="007A2F3A"/>
    <w:rsid w:val="007A310B"/>
    <w:rsid w:val="007A3967"/>
    <w:rsid w:val="007A3D76"/>
    <w:rsid w:val="007A3FA5"/>
    <w:rsid w:val="007A4327"/>
    <w:rsid w:val="007A4B83"/>
    <w:rsid w:val="007A5143"/>
    <w:rsid w:val="007A55B2"/>
    <w:rsid w:val="007A5AA4"/>
    <w:rsid w:val="007A5CC1"/>
    <w:rsid w:val="007A6A33"/>
    <w:rsid w:val="007A6E04"/>
    <w:rsid w:val="007A7AEF"/>
    <w:rsid w:val="007B0136"/>
    <w:rsid w:val="007B11A9"/>
    <w:rsid w:val="007B1B77"/>
    <w:rsid w:val="007B20E7"/>
    <w:rsid w:val="007B2294"/>
    <w:rsid w:val="007B285C"/>
    <w:rsid w:val="007B2F34"/>
    <w:rsid w:val="007B39D3"/>
    <w:rsid w:val="007B39FD"/>
    <w:rsid w:val="007B3B94"/>
    <w:rsid w:val="007B4152"/>
    <w:rsid w:val="007B4464"/>
    <w:rsid w:val="007B4481"/>
    <w:rsid w:val="007B4677"/>
    <w:rsid w:val="007B489C"/>
    <w:rsid w:val="007B5378"/>
    <w:rsid w:val="007B5888"/>
    <w:rsid w:val="007B6932"/>
    <w:rsid w:val="007B6CC1"/>
    <w:rsid w:val="007B6DF0"/>
    <w:rsid w:val="007B7261"/>
    <w:rsid w:val="007C01FC"/>
    <w:rsid w:val="007C1B0F"/>
    <w:rsid w:val="007C4AE0"/>
    <w:rsid w:val="007C4B2B"/>
    <w:rsid w:val="007C6355"/>
    <w:rsid w:val="007C65F4"/>
    <w:rsid w:val="007D0070"/>
    <w:rsid w:val="007D0B2A"/>
    <w:rsid w:val="007D0FD6"/>
    <w:rsid w:val="007D25F6"/>
    <w:rsid w:val="007D3966"/>
    <w:rsid w:val="007D3A4F"/>
    <w:rsid w:val="007D42E8"/>
    <w:rsid w:val="007D45F6"/>
    <w:rsid w:val="007D48D1"/>
    <w:rsid w:val="007D4C6A"/>
    <w:rsid w:val="007D5077"/>
    <w:rsid w:val="007D5BDF"/>
    <w:rsid w:val="007D5CB6"/>
    <w:rsid w:val="007D5E8F"/>
    <w:rsid w:val="007D65FB"/>
    <w:rsid w:val="007D66B7"/>
    <w:rsid w:val="007D66E5"/>
    <w:rsid w:val="007D6A14"/>
    <w:rsid w:val="007D6CEA"/>
    <w:rsid w:val="007D715F"/>
    <w:rsid w:val="007D71A6"/>
    <w:rsid w:val="007D7FAB"/>
    <w:rsid w:val="007E0DF6"/>
    <w:rsid w:val="007E107F"/>
    <w:rsid w:val="007E15F6"/>
    <w:rsid w:val="007E2311"/>
    <w:rsid w:val="007E2455"/>
    <w:rsid w:val="007E24F0"/>
    <w:rsid w:val="007E418A"/>
    <w:rsid w:val="007E429C"/>
    <w:rsid w:val="007E63C0"/>
    <w:rsid w:val="007E6AB6"/>
    <w:rsid w:val="007E7752"/>
    <w:rsid w:val="007F06D5"/>
    <w:rsid w:val="007F0706"/>
    <w:rsid w:val="007F07BA"/>
    <w:rsid w:val="007F106A"/>
    <w:rsid w:val="007F1815"/>
    <w:rsid w:val="007F2A4B"/>
    <w:rsid w:val="007F2DFC"/>
    <w:rsid w:val="007F2F9B"/>
    <w:rsid w:val="007F3A9A"/>
    <w:rsid w:val="007F3B2F"/>
    <w:rsid w:val="007F417A"/>
    <w:rsid w:val="007F46B1"/>
    <w:rsid w:val="007F49FF"/>
    <w:rsid w:val="007F4B65"/>
    <w:rsid w:val="007F4E90"/>
    <w:rsid w:val="007F5BDB"/>
    <w:rsid w:val="007F64B5"/>
    <w:rsid w:val="007F6AFC"/>
    <w:rsid w:val="00800616"/>
    <w:rsid w:val="00800C07"/>
    <w:rsid w:val="008016D5"/>
    <w:rsid w:val="00801990"/>
    <w:rsid w:val="00801D69"/>
    <w:rsid w:val="00801DAD"/>
    <w:rsid w:val="00801EA9"/>
    <w:rsid w:val="008020A8"/>
    <w:rsid w:val="0080239C"/>
    <w:rsid w:val="00802F05"/>
    <w:rsid w:val="00803377"/>
    <w:rsid w:val="00804623"/>
    <w:rsid w:val="0080558C"/>
    <w:rsid w:val="0080663F"/>
    <w:rsid w:val="00806CDA"/>
    <w:rsid w:val="00807979"/>
    <w:rsid w:val="008105AB"/>
    <w:rsid w:val="008107F4"/>
    <w:rsid w:val="00811A5C"/>
    <w:rsid w:val="008129CD"/>
    <w:rsid w:val="00812AA3"/>
    <w:rsid w:val="00812B13"/>
    <w:rsid w:val="00812F6F"/>
    <w:rsid w:val="008133C6"/>
    <w:rsid w:val="008136F8"/>
    <w:rsid w:val="00814026"/>
    <w:rsid w:val="0081425D"/>
    <w:rsid w:val="008149A1"/>
    <w:rsid w:val="00814CB0"/>
    <w:rsid w:val="00814F58"/>
    <w:rsid w:val="00815863"/>
    <w:rsid w:val="00815CE2"/>
    <w:rsid w:val="00815D72"/>
    <w:rsid w:val="00815E08"/>
    <w:rsid w:val="00816967"/>
    <w:rsid w:val="008176B6"/>
    <w:rsid w:val="00817B85"/>
    <w:rsid w:val="00817D07"/>
    <w:rsid w:val="00820607"/>
    <w:rsid w:val="00820C82"/>
    <w:rsid w:val="00820D62"/>
    <w:rsid w:val="00821013"/>
    <w:rsid w:val="008219B2"/>
    <w:rsid w:val="008232CC"/>
    <w:rsid w:val="0082413D"/>
    <w:rsid w:val="008248CE"/>
    <w:rsid w:val="00824F87"/>
    <w:rsid w:val="0082544B"/>
    <w:rsid w:val="00825F4C"/>
    <w:rsid w:val="008272CB"/>
    <w:rsid w:val="0082730C"/>
    <w:rsid w:val="0082789E"/>
    <w:rsid w:val="0083059A"/>
    <w:rsid w:val="00830B16"/>
    <w:rsid w:val="00830FF0"/>
    <w:rsid w:val="00831B0C"/>
    <w:rsid w:val="008320C9"/>
    <w:rsid w:val="008323AA"/>
    <w:rsid w:val="00832EE1"/>
    <w:rsid w:val="00833A1F"/>
    <w:rsid w:val="00833B04"/>
    <w:rsid w:val="008341F8"/>
    <w:rsid w:val="00834791"/>
    <w:rsid w:val="00835F56"/>
    <w:rsid w:val="0083606F"/>
    <w:rsid w:val="00836208"/>
    <w:rsid w:val="0083636B"/>
    <w:rsid w:val="00836C54"/>
    <w:rsid w:val="0084030C"/>
    <w:rsid w:val="00840FB4"/>
    <w:rsid w:val="00841452"/>
    <w:rsid w:val="00842199"/>
    <w:rsid w:val="0084226D"/>
    <w:rsid w:val="00842523"/>
    <w:rsid w:val="008428DA"/>
    <w:rsid w:val="00842B34"/>
    <w:rsid w:val="00842C12"/>
    <w:rsid w:val="00843DFB"/>
    <w:rsid w:val="00843E7A"/>
    <w:rsid w:val="00844435"/>
    <w:rsid w:val="0084525B"/>
    <w:rsid w:val="00845CE4"/>
    <w:rsid w:val="0084658B"/>
    <w:rsid w:val="00846E91"/>
    <w:rsid w:val="008478A4"/>
    <w:rsid w:val="008479A9"/>
    <w:rsid w:val="00847DF7"/>
    <w:rsid w:val="00847E35"/>
    <w:rsid w:val="00847FA1"/>
    <w:rsid w:val="00850609"/>
    <w:rsid w:val="008508D3"/>
    <w:rsid w:val="00851A42"/>
    <w:rsid w:val="00851E73"/>
    <w:rsid w:val="0085231F"/>
    <w:rsid w:val="00852FFD"/>
    <w:rsid w:val="008531A5"/>
    <w:rsid w:val="00853380"/>
    <w:rsid w:val="00853BCC"/>
    <w:rsid w:val="00853C8C"/>
    <w:rsid w:val="008541BF"/>
    <w:rsid w:val="008543E0"/>
    <w:rsid w:val="00854E57"/>
    <w:rsid w:val="00855064"/>
    <w:rsid w:val="00856137"/>
    <w:rsid w:val="0085683E"/>
    <w:rsid w:val="00856C04"/>
    <w:rsid w:val="00857757"/>
    <w:rsid w:val="008578EF"/>
    <w:rsid w:val="00857956"/>
    <w:rsid w:val="00857F7F"/>
    <w:rsid w:val="00860C7D"/>
    <w:rsid w:val="0086155A"/>
    <w:rsid w:val="00861A1E"/>
    <w:rsid w:val="00862E31"/>
    <w:rsid w:val="00862E80"/>
    <w:rsid w:val="008632B7"/>
    <w:rsid w:val="00863A68"/>
    <w:rsid w:val="00863CBA"/>
    <w:rsid w:val="00863DAF"/>
    <w:rsid w:val="00864B03"/>
    <w:rsid w:val="00864D57"/>
    <w:rsid w:val="00866841"/>
    <w:rsid w:val="0086735D"/>
    <w:rsid w:val="008675CA"/>
    <w:rsid w:val="00867E22"/>
    <w:rsid w:val="00870410"/>
    <w:rsid w:val="008708C2"/>
    <w:rsid w:val="00871F50"/>
    <w:rsid w:val="008721C1"/>
    <w:rsid w:val="00872E42"/>
    <w:rsid w:val="008730CD"/>
    <w:rsid w:val="00873730"/>
    <w:rsid w:val="00873E4A"/>
    <w:rsid w:val="0087472F"/>
    <w:rsid w:val="00874983"/>
    <w:rsid w:val="00874D92"/>
    <w:rsid w:val="00874F2D"/>
    <w:rsid w:val="00875402"/>
    <w:rsid w:val="00875740"/>
    <w:rsid w:val="00875FE4"/>
    <w:rsid w:val="0087723B"/>
    <w:rsid w:val="0087770A"/>
    <w:rsid w:val="0087782B"/>
    <w:rsid w:val="00877B6C"/>
    <w:rsid w:val="008802C2"/>
    <w:rsid w:val="00880AB0"/>
    <w:rsid w:val="00881256"/>
    <w:rsid w:val="00881482"/>
    <w:rsid w:val="00881701"/>
    <w:rsid w:val="00882181"/>
    <w:rsid w:val="00882498"/>
    <w:rsid w:val="00882AFA"/>
    <w:rsid w:val="00883671"/>
    <w:rsid w:val="00883679"/>
    <w:rsid w:val="008839F4"/>
    <w:rsid w:val="008846A4"/>
    <w:rsid w:val="00885785"/>
    <w:rsid w:val="00885D49"/>
    <w:rsid w:val="00886762"/>
    <w:rsid w:val="0088682C"/>
    <w:rsid w:val="008869A3"/>
    <w:rsid w:val="00886B1D"/>
    <w:rsid w:val="00886E2C"/>
    <w:rsid w:val="0088765B"/>
    <w:rsid w:val="00887765"/>
    <w:rsid w:val="008919A8"/>
    <w:rsid w:val="00891A05"/>
    <w:rsid w:val="00891D1F"/>
    <w:rsid w:val="00891E85"/>
    <w:rsid w:val="008926B6"/>
    <w:rsid w:val="00893C57"/>
    <w:rsid w:val="00893F62"/>
    <w:rsid w:val="00894177"/>
    <w:rsid w:val="00894415"/>
    <w:rsid w:val="00894757"/>
    <w:rsid w:val="00894C7A"/>
    <w:rsid w:val="00895275"/>
    <w:rsid w:val="00895BAE"/>
    <w:rsid w:val="00896329"/>
    <w:rsid w:val="0089636F"/>
    <w:rsid w:val="00896494"/>
    <w:rsid w:val="008A08AB"/>
    <w:rsid w:val="008A1483"/>
    <w:rsid w:val="008A1E72"/>
    <w:rsid w:val="008A1F32"/>
    <w:rsid w:val="008A1FDC"/>
    <w:rsid w:val="008A26F0"/>
    <w:rsid w:val="008A29CC"/>
    <w:rsid w:val="008A2F43"/>
    <w:rsid w:val="008A32E6"/>
    <w:rsid w:val="008A39D9"/>
    <w:rsid w:val="008A3BC3"/>
    <w:rsid w:val="008A3BEF"/>
    <w:rsid w:val="008A457F"/>
    <w:rsid w:val="008A4FFB"/>
    <w:rsid w:val="008A5AF8"/>
    <w:rsid w:val="008A5BC3"/>
    <w:rsid w:val="008A60E8"/>
    <w:rsid w:val="008A6647"/>
    <w:rsid w:val="008A76E4"/>
    <w:rsid w:val="008A7709"/>
    <w:rsid w:val="008A79D6"/>
    <w:rsid w:val="008A7B41"/>
    <w:rsid w:val="008B03AB"/>
    <w:rsid w:val="008B0A78"/>
    <w:rsid w:val="008B0AB3"/>
    <w:rsid w:val="008B18CA"/>
    <w:rsid w:val="008B1ADE"/>
    <w:rsid w:val="008B245B"/>
    <w:rsid w:val="008B2554"/>
    <w:rsid w:val="008B278A"/>
    <w:rsid w:val="008B3871"/>
    <w:rsid w:val="008B443C"/>
    <w:rsid w:val="008B4486"/>
    <w:rsid w:val="008B453C"/>
    <w:rsid w:val="008B5461"/>
    <w:rsid w:val="008B56F2"/>
    <w:rsid w:val="008B5801"/>
    <w:rsid w:val="008B61E4"/>
    <w:rsid w:val="008B630D"/>
    <w:rsid w:val="008B6839"/>
    <w:rsid w:val="008B685C"/>
    <w:rsid w:val="008B7130"/>
    <w:rsid w:val="008C0177"/>
    <w:rsid w:val="008C0A86"/>
    <w:rsid w:val="008C0B0E"/>
    <w:rsid w:val="008C136E"/>
    <w:rsid w:val="008C2B4F"/>
    <w:rsid w:val="008C304E"/>
    <w:rsid w:val="008C329E"/>
    <w:rsid w:val="008C3319"/>
    <w:rsid w:val="008C3AAA"/>
    <w:rsid w:val="008C46D8"/>
    <w:rsid w:val="008C4AB3"/>
    <w:rsid w:val="008C5B77"/>
    <w:rsid w:val="008C66A9"/>
    <w:rsid w:val="008C676C"/>
    <w:rsid w:val="008C7071"/>
    <w:rsid w:val="008C73CD"/>
    <w:rsid w:val="008C7739"/>
    <w:rsid w:val="008C7C1F"/>
    <w:rsid w:val="008D1A6F"/>
    <w:rsid w:val="008D1AC8"/>
    <w:rsid w:val="008D1FA5"/>
    <w:rsid w:val="008D33F8"/>
    <w:rsid w:val="008D36FB"/>
    <w:rsid w:val="008D397D"/>
    <w:rsid w:val="008D3F70"/>
    <w:rsid w:val="008D4327"/>
    <w:rsid w:val="008D45B7"/>
    <w:rsid w:val="008D4AFC"/>
    <w:rsid w:val="008D4CCA"/>
    <w:rsid w:val="008D4DAF"/>
    <w:rsid w:val="008D54AD"/>
    <w:rsid w:val="008D5C3C"/>
    <w:rsid w:val="008D74B2"/>
    <w:rsid w:val="008E02DD"/>
    <w:rsid w:val="008E0836"/>
    <w:rsid w:val="008E12A9"/>
    <w:rsid w:val="008E1501"/>
    <w:rsid w:val="008E1892"/>
    <w:rsid w:val="008E2243"/>
    <w:rsid w:val="008E29F4"/>
    <w:rsid w:val="008E33C1"/>
    <w:rsid w:val="008E390C"/>
    <w:rsid w:val="008E39F8"/>
    <w:rsid w:val="008E3E1E"/>
    <w:rsid w:val="008E4189"/>
    <w:rsid w:val="008E45CA"/>
    <w:rsid w:val="008E59FA"/>
    <w:rsid w:val="008E6375"/>
    <w:rsid w:val="008E6C12"/>
    <w:rsid w:val="008E6DAF"/>
    <w:rsid w:val="008E760C"/>
    <w:rsid w:val="008E765E"/>
    <w:rsid w:val="008E7850"/>
    <w:rsid w:val="008E7E7F"/>
    <w:rsid w:val="008F027F"/>
    <w:rsid w:val="008F0697"/>
    <w:rsid w:val="008F0B8A"/>
    <w:rsid w:val="008F0C38"/>
    <w:rsid w:val="008F204E"/>
    <w:rsid w:val="008F2178"/>
    <w:rsid w:val="008F29A1"/>
    <w:rsid w:val="008F3E64"/>
    <w:rsid w:val="008F48F4"/>
    <w:rsid w:val="008F4F4C"/>
    <w:rsid w:val="008F4F60"/>
    <w:rsid w:val="008F526C"/>
    <w:rsid w:val="008F5F8A"/>
    <w:rsid w:val="008F7542"/>
    <w:rsid w:val="008F76AF"/>
    <w:rsid w:val="008F7B37"/>
    <w:rsid w:val="008F7EB1"/>
    <w:rsid w:val="00900278"/>
    <w:rsid w:val="009008CB"/>
    <w:rsid w:val="00900E81"/>
    <w:rsid w:val="00901F83"/>
    <w:rsid w:val="00901F8D"/>
    <w:rsid w:val="00902998"/>
    <w:rsid w:val="00903842"/>
    <w:rsid w:val="00903FE5"/>
    <w:rsid w:val="00904404"/>
    <w:rsid w:val="00904D0D"/>
    <w:rsid w:val="009054AC"/>
    <w:rsid w:val="0090587F"/>
    <w:rsid w:val="009063A1"/>
    <w:rsid w:val="00906401"/>
    <w:rsid w:val="00906CCD"/>
    <w:rsid w:val="0090795B"/>
    <w:rsid w:val="00910304"/>
    <w:rsid w:val="00910732"/>
    <w:rsid w:val="009107BC"/>
    <w:rsid w:val="00910C8D"/>
    <w:rsid w:val="00910E2B"/>
    <w:rsid w:val="0091143F"/>
    <w:rsid w:val="00911D94"/>
    <w:rsid w:val="00913EF6"/>
    <w:rsid w:val="00914F8F"/>
    <w:rsid w:val="00915349"/>
    <w:rsid w:val="00915430"/>
    <w:rsid w:val="00915460"/>
    <w:rsid w:val="00915B68"/>
    <w:rsid w:val="00916937"/>
    <w:rsid w:val="009172AE"/>
    <w:rsid w:val="0091736F"/>
    <w:rsid w:val="00917ABD"/>
    <w:rsid w:val="0092119C"/>
    <w:rsid w:val="009223A5"/>
    <w:rsid w:val="009228E2"/>
    <w:rsid w:val="009229AB"/>
    <w:rsid w:val="00922DF9"/>
    <w:rsid w:val="00923503"/>
    <w:rsid w:val="0092390E"/>
    <w:rsid w:val="00923AC3"/>
    <w:rsid w:val="009243D7"/>
    <w:rsid w:val="00924BFA"/>
    <w:rsid w:val="00924E7D"/>
    <w:rsid w:val="00925068"/>
    <w:rsid w:val="009252E3"/>
    <w:rsid w:val="00925990"/>
    <w:rsid w:val="009266D4"/>
    <w:rsid w:val="00926DFD"/>
    <w:rsid w:val="00927247"/>
    <w:rsid w:val="0093037A"/>
    <w:rsid w:val="00930CA0"/>
    <w:rsid w:val="009321C7"/>
    <w:rsid w:val="0093228C"/>
    <w:rsid w:val="009327A1"/>
    <w:rsid w:val="009329A2"/>
    <w:rsid w:val="00933602"/>
    <w:rsid w:val="00933E46"/>
    <w:rsid w:val="00934B7C"/>
    <w:rsid w:val="00934CDA"/>
    <w:rsid w:val="0093653A"/>
    <w:rsid w:val="009365B9"/>
    <w:rsid w:val="00936761"/>
    <w:rsid w:val="00937B0B"/>
    <w:rsid w:val="00940369"/>
    <w:rsid w:val="00940CB6"/>
    <w:rsid w:val="00940FE7"/>
    <w:rsid w:val="00941C3D"/>
    <w:rsid w:val="00941E11"/>
    <w:rsid w:val="00941F56"/>
    <w:rsid w:val="009423AF"/>
    <w:rsid w:val="009424F0"/>
    <w:rsid w:val="00942E00"/>
    <w:rsid w:val="00942E72"/>
    <w:rsid w:val="00942FAC"/>
    <w:rsid w:val="009431E2"/>
    <w:rsid w:val="0094388C"/>
    <w:rsid w:val="00944015"/>
    <w:rsid w:val="0094423F"/>
    <w:rsid w:val="009442A5"/>
    <w:rsid w:val="0094438A"/>
    <w:rsid w:val="00944B62"/>
    <w:rsid w:val="00945158"/>
    <w:rsid w:val="00946251"/>
    <w:rsid w:val="009462CA"/>
    <w:rsid w:val="00946425"/>
    <w:rsid w:val="00946729"/>
    <w:rsid w:val="00946CD6"/>
    <w:rsid w:val="00947007"/>
    <w:rsid w:val="00947704"/>
    <w:rsid w:val="00950128"/>
    <w:rsid w:val="00952D89"/>
    <w:rsid w:val="00952EA3"/>
    <w:rsid w:val="0095349A"/>
    <w:rsid w:val="00954E4D"/>
    <w:rsid w:val="0095619F"/>
    <w:rsid w:val="00956288"/>
    <w:rsid w:val="00956719"/>
    <w:rsid w:val="009576B4"/>
    <w:rsid w:val="00960B3D"/>
    <w:rsid w:val="00962A38"/>
    <w:rsid w:val="00962DCC"/>
    <w:rsid w:val="009641D7"/>
    <w:rsid w:val="009642EE"/>
    <w:rsid w:val="009643E9"/>
    <w:rsid w:val="00964701"/>
    <w:rsid w:val="009647FE"/>
    <w:rsid w:val="00964FA6"/>
    <w:rsid w:val="0096707A"/>
    <w:rsid w:val="00967AF7"/>
    <w:rsid w:val="00970317"/>
    <w:rsid w:val="009710F9"/>
    <w:rsid w:val="00971135"/>
    <w:rsid w:val="00971E77"/>
    <w:rsid w:val="00972144"/>
    <w:rsid w:val="00972E32"/>
    <w:rsid w:val="00972EAD"/>
    <w:rsid w:val="009736C6"/>
    <w:rsid w:val="009738A7"/>
    <w:rsid w:val="00973CB6"/>
    <w:rsid w:val="00973D23"/>
    <w:rsid w:val="009742EC"/>
    <w:rsid w:val="009750BB"/>
    <w:rsid w:val="00975346"/>
    <w:rsid w:val="00975417"/>
    <w:rsid w:val="00975751"/>
    <w:rsid w:val="009759DC"/>
    <w:rsid w:val="009762FD"/>
    <w:rsid w:val="009764D8"/>
    <w:rsid w:val="009768A4"/>
    <w:rsid w:val="0097735E"/>
    <w:rsid w:val="00980135"/>
    <w:rsid w:val="00980B55"/>
    <w:rsid w:val="00981165"/>
    <w:rsid w:val="00981538"/>
    <w:rsid w:val="0098197A"/>
    <w:rsid w:val="00981D14"/>
    <w:rsid w:val="00984616"/>
    <w:rsid w:val="00984A7D"/>
    <w:rsid w:val="00984ADF"/>
    <w:rsid w:val="0098511E"/>
    <w:rsid w:val="00985272"/>
    <w:rsid w:val="0098632A"/>
    <w:rsid w:val="009867CD"/>
    <w:rsid w:val="00986D0A"/>
    <w:rsid w:val="00990469"/>
    <w:rsid w:val="00990545"/>
    <w:rsid w:val="00990F01"/>
    <w:rsid w:val="009910F5"/>
    <w:rsid w:val="00991AA3"/>
    <w:rsid w:val="00991BC9"/>
    <w:rsid w:val="0099217C"/>
    <w:rsid w:val="009929E0"/>
    <w:rsid w:val="00992D70"/>
    <w:rsid w:val="00993388"/>
    <w:rsid w:val="0099347F"/>
    <w:rsid w:val="00993BAC"/>
    <w:rsid w:val="00993D90"/>
    <w:rsid w:val="009940BD"/>
    <w:rsid w:val="009941F5"/>
    <w:rsid w:val="00994ABE"/>
    <w:rsid w:val="009955F1"/>
    <w:rsid w:val="00995BB0"/>
    <w:rsid w:val="00995F2A"/>
    <w:rsid w:val="00996667"/>
    <w:rsid w:val="00997577"/>
    <w:rsid w:val="0099784B"/>
    <w:rsid w:val="00997927"/>
    <w:rsid w:val="00997BC5"/>
    <w:rsid w:val="009A003F"/>
    <w:rsid w:val="009A0A2F"/>
    <w:rsid w:val="009A20C3"/>
    <w:rsid w:val="009A2861"/>
    <w:rsid w:val="009A3932"/>
    <w:rsid w:val="009A3B08"/>
    <w:rsid w:val="009A4CBD"/>
    <w:rsid w:val="009A4F67"/>
    <w:rsid w:val="009A50AA"/>
    <w:rsid w:val="009A5268"/>
    <w:rsid w:val="009A536F"/>
    <w:rsid w:val="009A561F"/>
    <w:rsid w:val="009A57FA"/>
    <w:rsid w:val="009A5E6B"/>
    <w:rsid w:val="009A5E9A"/>
    <w:rsid w:val="009A5FAF"/>
    <w:rsid w:val="009A612C"/>
    <w:rsid w:val="009A688B"/>
    <w:rsid w:val="009A6FB1"/>
    <w:rsid w:val="009A7CC8"/>
    <w:rsid w:val="009B016A"/>
    <w:rsid w:val="009B0829"/>
    <w:rsid w:val="009B0936"/>
    <w:rsid w:val="009B0FC2"/>
    <w:rsid w:val="009B1088"/>
    <w:rsid w:val="009B1D97"/>
    <w:rsid w:val="009B226D"/>
    <w:rsid w:val="009B2507"/>
    <w:rsid w:val="009B2BA2"/>
    <w:rsid w:val="009B3EA3"/>
    <w:rsid w:val="009B3EB0"/>
    <w:rsid w:val="009B3F18"/>
    <w:rsid w:val="009B4B7E"/>
    <w:rsid w:val="009B5C91"/>
    <w:rsid w:val="009C090B"/>
    <w:rsid w:val="009C0965"/>
    <w:rsid w:val="009C09F5"/>
    <w:rsid w:val="009C0FF4"/>
    <w:rsid w:val="009C1B1F"/>
    <w:rsid w:val="009C2BC5"/>
    <w:rsid w:val="009C2D01"/>
    <w:rsid w:val="009C2E16"/>
    <w:rsid w:val="009C419B"/>
    <w:rsid w:val="009C49E9"/>
    <w:rsid w:val="009C5584"/>
    <w:rsid w:val="009C576E"/>
    <w:rsid w:val="009C68E1"/>
    <w:rsid w:val="009C6E84"/>
    <w:rsid w:val="009C75C8"/>
    <w:rsid w:val="009C75F9"/>
    <w:rsid w:val="009D03FB"/>
    <w:rsid w:val="009D0493"/>
    <w:rsid w:val="009D0E81"/>
    <w:rsid w:val="009D1592"/>
    <w:rsid w:val="009D182C"/>
    <w:rsid w:val="009D1899"/>
    <w:rsid w:val="009D18DB"/>
    <w:rsid w:val="009D2973"/>
    <w:rsid w:val="009D3B86"/>
    <w:rsid w:val="009D3B8E"/>
    <w:rsid w:val="009D40B9"/>
    <w:rsid w:val="009D4AA0"/>
    <w:rsid w:val="009D5080"/>
    <w:rsid w:val="009D5C5A"/>
    <w:rsid w:val="009D5D22"/>
    <w:rsid w:val="009D6033"/>
    <w:rsid w:val="009D6B2F"/>
    <w:rsid w:val="009D6FD7"/>
    <w:rsid w:val="009D7A83"/>
    <w:rsid w:val="009D7E6A"/>
    <w:rsid w:val="009D7F56"/>
    <w:rsid w:val="009E0103"/>
    <w:rsid w:val="009E08D1"/>
    <w:rsid w:val="009E0984"/>
    <w:rsid w:val="009E19E9"/>
    <w:rsid w:val="009E1A02"/>
    <w:rsid w:val="009E1ED4"/>
    <w:rsid w:val="009E22F4"/>
    <w:rsid w:val="009E2429"/>
    <w:rsid w:val="009E24E4"/>
    <w:rsid w:val="009E3A21"/>
    <w:rsid w:val="009E3AA6"/>
    <w:rsid w:val="009E3E03"/>
    <w:rsid w:val="009E3F49"/>
    <w:rsid w:val="009E46CA"/>
    <w:rsid w:val="009E52F3"/>
    <w:rsid w:val="009E5468"/>
    <w:rsid w:val="009E5CF6"/>
    <w:rsid w:val="009E617F"/>
    <w:rsid w:val="009E76C1"/>
    <w:rsid w:val="009E7B38"/>
    <w:rsid w:val="009F197A"/>
    <w:rsid w:val="009F2A28"/>
    <w:rsid w:val="009F2DD1"/>
    <w:rsid w:val="009F2E91"/>
    <w:rsid w:val="009F4B5D"/>
    <w:rsid w:val="009F4F68"/>
    <w:rsid w:val="009F545C"/>
    <w:rsid w:val="009F652A"/>
    <w:rsid w:val="009F6AD2"/>
    <w:rsid w:val="009F6DC7"/>
    <w:rsid w:val="009F78BD"/>
    <w:rsid w:val="009F7BF5"/>
    <w:rsid w:val="00A00C60"/>
    <w:rsid w:val="00A01B34"/>
    <w:rsid w:val="00A023B0"/>
    <w:rsid w:val="00A0242A"/>
    <w:rsid w:val="00A02585"/>
    <w:rsid w:val="00A029E6"/>
    <w:rsid w:val="00A0365F"/>
    <w:rsid w:val="00A03BEF"/>
    <w:rsid w:val="00A03D2C"/>
    <w:rsid w:val="00A04E9E"/>
    <w:rsid w:val="00A05083"/>
    <w:rsid w:val="00A05498"/>
    <w:rsid w:val="00A05782"/>
    <w:rsid w:val="00A0611D"/>
    <w:rsid w:val="00A06B53"/>
    <w:rsid w:val="00A07E3F"/>
    <w:rsid w:val="00A100D6"/>
    <w:rsid w:val="00A1058F"/>
    <w:rsid w:val="00A1060C"/>
    <w:rsid w:val="00A10787"/>
    <w:rsid w:val="00A11C8A"/>
    <w:rsid w:val="00A121DA"/>
    <w:rsid w:val="00A122B6"/>
    <w:rsid w:val="00A1269B"/>
    <w:rsid w:val="00A127B7"/>
    <w:rsid w:val="00A12921"/>
    <w:rsid w:val="00A12DB5"/>
    <w:rsid w:val="00A13688"/>
    <w:rsid w:val="00A13AD2"/>
    <w:rsid w:val="00A1488F"/>
    <w:rsid w:val="00A148FD"/>
    <w:rsid w:val="00A14C9B"/>
    <w:rsid w:val="00A1538C"/>
    <w:rsid w:val="00A1684D"/>
    <w:rsid w:val="00A17324"/>
    <w:rsid w:val="00A201E9"/>
    <w:rsid w:val="00A21571"/>
    <w:rsid w:val="00A21644"/>
    <w:rsid w:val="00A22572"/>
    <w:rsid w:val="00A226D8"/>
    <w:rsid w:val="00A23586"/>
    <w:rsid w:val="00A23AA2"/>
    <w:rsid w:val="00A23CAC"/>
    <w:rsid w:val="00A23D65"/>
    <w:rsid w:val="00A243E3"/>
    <w:rsid w:val="00A24BAC"/>
    <w:rsid w:val="00A24FAA"/>
    <w:rsid w:val="00A25A67"/>
    <w:rsid w:val="00A2613D"/>
    <w:rsid w:val="00A267D5"/>
    <w:rsid w:val="00A2712B"/>
    <w:rsid w:val="00A27683"/>
    <w:rsid w:val="00A276C0"/>
    <w:rsid w:val="00A30FAC"/>
    <w:rsid w:val="00A320E9"/>
    <w:rsid w:val="00A32585"/>
    <w:rsid w:val="00A329A7"/>
    <w:rsid w:val="00A33148"/>
    <w:rsid w:val="00A346FF"/>
    <w:rsid w:val="00A35209"/>
    <w:rsid w:val="00A364B7"/>
    <w:rsid w:val="00A36563"/>
    <w:rsid w:val="00A36C77"/>
    <w:rsid w:val="00A36D87"/>
    <w:rsid w:val="00A37A72"/>
    <w:rsid w:val="00A37A7F"/>
    <w:rsid w:val="00A412A2"/>
    <w:rsid w:val="00A421E3"/>
    <w:rsid w:val="00A42468"/>
    <w:rsid w:val="00A42E41"/>
    <w:rsid w:val="00A43566"/>
    <w:rsid w:val="00A43820"/>
    <w:rsid w:val="00A43B0F"/>
    <w:rsid w:val="00A44162"/>
    <w:rsid w:val="00A44BF1"/>
    <w:rsid w:val="00A4532C"/>
    <w:rsid w:val="00A453C9"/>
    <w:rsid w:val="00A4555A"/>
    <w:rsid w:val="00A45582"/>
    <w:rsid w:val="00A45745"/>
    <w:rsid w:val="00A462C2"/>
    <w:rsid w:val="00A46CD8"/>
    <w:rsid w:val="00A46DA1"/>
    <w:rsid w:val="00A470E4"/>
    <w:rsid w:val="00A50488"/>
    <w:rsid w:val="00A50686"/>
    <w:rsid w:val="00A50B86"/>
    <w:rsid w:val="00A50C34"/>
    <w:rsid w:val="00A51092"/>
    <w:rsid w:val="00A52F0D"/>
    <w:rsid w:val="00A53307"/>
    <w:rsid w:val="00A539DE"/>
    <w:rsid w:val="00A53BE7"/>
    <w:rsid w:val="00A53E5A"/>
    <w:rsid w:val="00A53EEB"/>
    <w:rsid w:val="00A53F33"/>
    <w:rsid w:val="00A54322"/>
    <w:rsid w:val="00A55603"/>
    <w:rsid w:val="00A557FA"/>
    <w:rsid w:val="00A559B3"/>
    <w:rsid w:val="00A5697F"/>
    <w:rsid w:val="00A5748B"/>
    <w:rsid w:val="00A57836"/>
    <w:rsid w:val="00A578CE"/>
    <w:rsid w:val="00A579EE"/>
    <w:rsid w:val="00A6047A"/>
    <w:rsid w:val="00A60ECD"/>
    <w:rsid w:val="00A614DB"/>
    <w:rsid w:val="00A61AC2"/>
    <w:rsid w:val="00A61CBF"/>
    <w:rsid w:val="00A628C4"/>
    <w:rsid w:val="00A630B1"/>
    <w:rsid w:val="00A6340C"/>
    <w:rsid w:val="00A6342B"/>
    <w:rsid w:val="00A639A1"/>
    <w:rsid w:val="00A63B0E"/>
    <w:rsid w:val="00A63B8A"/>
    <w:rsid w:val="00A63B9E"/>
    <w:rsid w:val="00A6434F"/>
    <w:rsid w:val="00A6481F"/>
    <w:rsid w:val="00A64FBB"/>
    <w:rsid w:val="00A651D0"/>
    <w:rsid w:val="00A65AC7"/>
    <w:rsid w:val="00A65C26"/>
    <w:rsid w:val="00A66E95"/>
    <w:rsid w:val="00A66EB1"/>
    <w:rsid w:val="00A67429"/>
    <w:rsid w:val="00A67846"/>
    <w:rsid w:val="00A67F89"/>
    <w:rsid w:val="00A700AC"/>
    <w:rsid w:val="00A70483"/>
    <w:rsid w:val="00A706AE"/>
    <w:rsid w:val="00A70EF5"/>
    <w:rsid w:val="00A70FA1"/>
    <w:rsid w:val="00A717A4"/>
    <w:rsid w:val="00A7311A"/>
    <w:rsid w:val="00A731B1"/>
    <w:rsid w:val="00A733AD"/>
    <w:rsid w:val="00A736DE"/>
    <w:rsid w:val="00A73942"/>
    <w:rsid w:val="00A73A1E"/>
    <w:rsid w:val="00A741A0"/>
    <w:rsid w:val="00A749B5"/>
    <w:rsid w:val="00A7519D"/>
    <w:rsid w:val="00A75E91"/>
    <w:rsid w:val="00A76BDB"/>
    <w:rsid w:val="00A77BC4"/>
    <w:rsid w:val="00A77DAD"/>
    <w:rsid w:val="00A81104"/>
    <w:rsid w:val="00A8204A"/>
    <w:rsid w:val="00A822BD"/>
    <w:rsid w:val="00A82895"/>
    <w:rsid w:val="00A82D0B"/>
    <w:rsid w:val="00A82EB2"/>
    <w:rsid w:val="00A851C1"/>
    <w:rsid w:val="00A85BF2"/>
    <w:rsid w:val="00A8699C"/>
    <w:rsid w:val="00A86B56"/>
    <w:rsid w:val="00A86E44"/>
    <w:rsid w:val="00A873D5"/>
    <w:rsid w:val="00A876C1"/>
    <w:rsid w:val="00A8774B"/>
    <w:rsid w:val="00A9040C"/>
    <w:rsid w:val="00A90520"/>
    <w:rsid w:val="00A91965"/>
    <w:rsid w:val="00A91B24"/>
    <w:rsid w:val="00A923A6"/>
    <w:rsid w:val="00A9329C"/>
    <w:rsid w:val="00A93707"/>
    <w:rsid w:val="00A937AB"/>
    <w:rsid w:val="00A937C6"/>
    <w:rsid w:val="00A942F9"/>
    <w:rsid w:val="00A948F7"/>
    <w:rsid w:val="00A949CC"/>
    <w:rsid w:val="00A94A3E"/>
    <w:rsid w:val="00A94BD8"/>
    <w:rsid w:val="00A9557B"/>
    <w:rsid w:val="00A95592"/>
    <w:rsid w:val="00A96451"/>
    <w:rsid w:val="00A96B9C"/>
    <w:rsid w:val="00A96C92"/>
    <w:rsid w:val="00A96D86"/>
    <w:rsid w:val="00A97115"/>
    <w:rsid w:val="00A9716E"/>
    <w:rsid w:val="00A97EED"/>
    <w:rsid w:val="00AA0276"/>
    <w:rsid w:val="00AA0DD7"/>
    <w:rsid w:val="00AA184D"/>
    <w:rsid w:val="00AA18C7"/>
    <w:rsid w:val="00AA2165"/>
    <w:rsid w:val="00AA2432"/>
    <w:rsid w:val="00AA2544"/>
    <w:rsid w:val="00AA2642"/>
    <w:rsid w:val="00AA38D8"/>
    <w:rsid w:val="00AA3F16"/>
    <w:rsid w:val="00AA4A90"/>
    <w:rsid w:val="00AA529C"/>
    <w:rsid w:val="00AA6DE3"/>
    <w:rsid w:val="00AB0477"/>
    <w:rsid w:val="00AB0869"/>
    <w:rsid w:val="00AB093B"/>
    <w:rsid w:val="00AB10E7"/>
    <w:rsid w:val="00AB1E32"/>
    <w:rsid w:val="00AB21F6"/>
    <w:rsid w:val="00AB2C68"/>
    <w:rsid w:val="00AB2EA4"/>
    <w:rsid w:val="00AB32B6"/>
    <w:rsid w:val="00AB3A70"/>
    <w:rsid w:val="00AB4F37"/>
    <w:rsid w:val="00AB508C"/>
    <w:rsid w:val="00AB5672"/>
    <w:rsid w:val="00AB581F"/>
    <w:rsid w:val="00AB60F7"/>
    <w:rsid w:val="00AB6769"/>
    <w:rsid w:val="00AB68A8"/>
    <w:rsid w:val="00AB6975"/>
    <w:rsid w:val="00AB7135"/>
    <w:rsid w:val="00AB729A"/>
    <w:rsid w:val="00AB7682"/>
    <w:rsid w:val="00AB7B2A"/>
    <w:rsid w:val="00AB7F63"/>
    <w:rsid w:val="00AC1201"/>
    <w:rsid w:val="00AC282A"/>
    <w:rsid w:val="00AC2E68"/>
    <w:rsid w:val="00AC378B"/>
    <w:rsid w:val="00AC3D22"/>
    <w:rsid w:val="00AC3E15"/>
    <w:rsid w:val="00AC402A"/>
    <w:rsid w:val="00AC4071"/>
    <w:rsid w:val="00AC4401"/>
    <w:rsid w:val="00AC4A03"/>
    <w:rsid w:val="00AC52B5"/>
    <w:rsid w:val="00AC5A1F"/>
    <w:rsid w:val="00AC615D"/>
    <w:rsid w:val="00AC61F1"/>
    <w:rsid w:val="00AC6351"/>
    <w:rsid w:val="00AC7F46"/>
    <w:rsid w:val="00AD05CB"/>
    <w:rsid w:val="00AD0C5B"/>
    <w:rsid w:val="00AD1731"/>
    <w:rsid w:val="00AD2058"/>
    <w:rsid w:val="00AD264C"/>
    <w:rsid w:val="00AD2DD4"/>
    <w:rsid w:val="00AD3019"/>
    <w:rsid w:val="00AD3C3D"/>
    <w:rsid w:val="00AD4422"/>
    <w:rsid w:val="00AD48BC"/>
    <w:rsid w:val="00AD4DFE"/>
    <w:rsid w:val="00AD5324"/>
    <w:rsid w:val="00AD63E2"/>
    <w:rsid w:val="00AD6890"/>
    <w:rsid w:val="00AD7725"/>
    <w:rsid w:val="00AE07A5"/>
    <w:rsid w:val="00AE0AB0"/>
    <w:rsid w:val="00AE0C69"/>
    <w:rsid w:val="00AE1584"/>
    <w:rsid w:val="00AE1B31"/>
    <w:rsid w:val="00AE1CFA"/>
    <w:rsid w:val="00AE253F"/>
    <w:rsid w:val="00AE34DD"/>
    <w:rsid w:val="00AE353D"/>
    <w:rsid w:val="00AE3AA9"/>
    <w:rsid w:val="00AE4164"/>
    <w:rsid w:val="00AE4D1A"/>
    <w:rsid w:val="00AE757B"/>
    <w:rsid w:val="00AF0371"/>
    <w:rsid w:val="00AF1EF8"/>
    <w:rsid w:val="00AF273F"/>
    <w:rsid w:val="00AF28E9"/>
    <w:rsid w:val="00AF33C8"/>
    <w:rsid w:val="00AF3B93"/>
    <w:rsid w:val="00AF4838"/>
    <w:rsid w:val="00AF4F5F"/>
    <w:rsid w:val="00AF6B6B"/>
    <w:rsid w:val="00AF71AA"/>
    <w:rsid w:val="00AF7AC3"/>
    <w:rsid w:val="00AF7EE9"/>
    <w:rsid w:val="00B002B9"/>
    <w:rsid w:val="00B009F1"/>
    <w:rsid w:val="00B00F42"/>
    <w:rsid w:val="00B0106B"/>
    <w:rsid w:val="00B01638"/>
    <w:rsid w:val="00B01A30"/>
    <w:rsid w:val="00B01DDF"/>
    <w:rsid w:val="00B01FAB"/>
    <w:rsid w:val="00B02D7E"/>
    <w:rsid w:val="00B03096"/>
    <w:rsid w:val="00B03385"/>
    <w:rsid w:val="00B03B2F"/>
    <w:rsid w:val="00B05C88"/>
    <w:rsid w:val="00B05F6E"/>
    <w:rsid w:val="00B06715"/>
    <w:rsid w:val="00B06A8F"/>
    <w:rsid w:val="00B07C55"/>
    <w:rsid w:val="00B100E8"/>
    <w:rsid w:val="00B10729"/>
    <w:rsid w:val="00B10DD1"/>
    <w:rsid w:val="00B11150"/>
    <w:rsid w:val="00B116F4"/>
    <w:rsid w:val="00B11F5B"/>
    <w:rsid w:val="00B1202F"/>
    <w:rsid w:val="00B122AD"/>
    <w:rsid w:val="00B12D7E"/>
    <w:rsid w:val="00B13055"/>
    <w:rsid w:val="00B131A6"/>
    <w:rsid w:val="00B13556"/>
    <w:rsid w:val="00B13B8F"/>
    <w:rsid w:val="00B13F59"/>
    <w:rsid w:val="00B14BD3"/>
    <w:rsid w:val="00B1527A"/>
    <w:rsid w:val="00B15B5D"/>
    <w:rsid w:val="00B15C9B"/>
    <w:rsid w:val="00B17366"/>
    <w:rsid w:val="00B1764B"/>
    <w:rsid w:val="00B1775D"/>
    <w:rsid w:val="00B20094"/>
    <w:rsid w:val="00B201A7"/>
    <w:rsid w:val="00B20C73"/>
    <w:rsid w:val="00B20DBD"/>
    <w:rsid w:val="00B20E0E"/>
    <w:rsid w:val="00B20F70"/>
    <w:rsid w:val="00B21993"/>
    <w:rsid w:val="00B21A85"/>
    <w:rsid w:val="00B22185"/>
    <w:rsid w:val="00B22CA9"/>
    <w:rsid w:val="00B22D67"/>
    <w:rsid w:val="00B22E3D"/>
    <w:rsid w:val="00B2337E"/>
    <w:rsid w:val="00B23453"/>
    <w:rsid w:val="00B244C9"/>
    <w:rsid w:val="00B24828"/>
    <w:rsid w:val="00B254CB"/>
    <w:rsid w:val="00B2616E"/>
    <w:rsid w:val="00B263B9"/>
    <w:rsid w:val="00B263D6"/>
    <w:rsid w:val="00B263D7"/>
    <w:rsid w:val="00B264DE"/>
    <w:rsid w:val="00B26862"/>
    <w:rsid w:val="00B272F8"/>
    <w:rsid w:val="00B27D20"/>
    <w:rsid w:val="00B30025"/>
    <w:rsid w:val="00B30A45"/>
    <w:rsid w:val="00B30EEF"/>
    <w:rsid w:val="00B3207D"/>
    <w:rsid w:val="00B32CDF"/>
    <w:rsid w:val="00B339A8"/>
    <w:rsid w:val="00B34360"/>
    <w:rsid w:val="00B34D15"/>
    <w:rsid w:val="00B34D29"/>
    <w:rsid w:val="00B35EB0"/>
    <w:rsid w:val="00B36253"/>
    <w:rsid w:val="00B369E3"/>
    <w:rsid w:val="00B36A97"/>
    <w:rsid w:val="00B370D6"/>
    <w:rsid w:val="00B37251"/>
    <w:rsid w:val="00B3732B"/>
    <w:rsid w:val="00B37BB0"/>
    <w:rsid w:val="00B37D9F"/>
    <w:rsid w:val="00B4043E"/>
    <w:rsid w:val="00B406C9"/>
    <w:rsid w:val="00B40B69"/>
    <w:rsid w:val="00B40D69"/>
    <w:rsid w:val="00B4187E"/>
    <w:rsid w:val="00B42CDC"/>
    <w:rsid w:val="00B443FC"/>
    <w:rsid w:val="00B444A8"/>
    <w:rsid w:val="00B445A5"/>
    <w:rsid w:val="00B44D2C"/>
    <w:rsid w:val="00B460EA"/>
    <w:rsid w:val="00B4663F"/>
    <w:rsid w:val="00B4764E"/>
    <w:rsid w:val="00B51739"/>
    <w:rsid w:val="00B53D71"/>
    <w:rsid w:val="00B55AEC"/>
    <w:rsid w:val="00B55B53"/>
    <w:rsid w:val="00B55FB9"/>
    <w:rsid w:val="00B571B0"/>
    <w:rsid w:val="00B57582"/>
    <w:rsid w:val="00B57B3C"/>
    <w:rsid w:val="00B60069"/>
    <w:rsid w:val="00B626CF"/>
    <w:rsid w:val="00B629BA"/>
    <w:rsid w:val="00B636FE"/>
    <w:rsid w:val="00B65931"/>
    <w:rsid w:val="00B7115A"/>
    <w:rsid w:val="00B717AA"/>
    <w:rsid w:val="00B71F7C"/>
    <w:rsid w:val="00B72145"/>
    <w:rsid w:val="00B721A3"/>
    <w:rsid w:val="00B7244F"/>
    <w:rsid w:val="00B7305D"/>
    <w:rsid w:val="00B7321C"/>
    <w:rsid w:val="00B736A8"/>
    <w:rsid w:val="00B73A00"/>
    <w:rsid w:val="00B73C80"/>
    <w:rsid w:val="00B73DA0"/>
    <w:rsid w:val="00B75BFA"/>
    <w:rsid w:val="00B75C71"/>
    <w:rsid w:val="00B76300"/>
    <w:rsid w:val="00B76675"/>
    <w:rsid w:val="00B76B2E"/>
    <w:rsid w:val="00B76E39"/>
    <w:rsid w:val="00B76F64"/>
    <w:rsid w:val="00B7791C"/>
    <w:rsid w:val="00B77A3B"/>
    <w:rsid w:val="00B77B9B"/>
    <w:rsid w:val="00B77F94"/>
    <w:rsid w:val="00B80475"/>
    <w:rsid w:val="00B80D36"/>
    <w:rsid w:val="00B81296"/>
    <w:rsid w:val="00B81524"/>
    <w:rsid w:val="00B81592"/>
    <w:rsid w:val="00B81796"/>
    <w:rsid w:val="00B81B25"/>
    <w:rsid w:val="00B81F7B"/>
    <w:rsid w:val="00B82A7F"/>
    <w:rsid w:val="00B82CA2"/>
    <w:rsid w:val="00B82ED1"/>
    <w:rsid w:val="00B82F72"/>
    <w:rsid w:val="00B83304"/>
    <w:rsid w:val="00B833A9"/>
    <w:rsid w:val="00B834AB"/>
    <w:rsid w:val="00B83B1E"/>
    <w:rsid w:val="00B83CB0"/>
    <w:rsid w:val="00B84FB1"/>
    <w:rsid w:val="00B85033"/>
    <w:rsid w:val="00B86990"/>
    <w:rsid w:val="00B869CE"/>
    <w:rsid w:val="00B875D2"/>
    <w:rsid w:val="00B90444"/>
    <w:rsid w:val="00B914EE"/>
    <w:rsid w:val="00B91A47"/>
    <w:rsid w:val="00B91D7B"/>
    <w:rsid w:val="00B92798"/>
    <w:rsid w:val="00B92D1E"/>
    <w:rsid w:val="00B9328B"/>
    <w:rsid w:val="00B93520"/>
    <w:rsid w:val="00B93621"/>
    <w:rsid w:val="00B93E8C"/>
    <w:rsid w:val="00B93F0E"/>
    <w:rsid w:val="00B94F6C"/>
    <w:rsid w:val="00B957C5"/>
    <w:rsid w:val="00B9589A"/>
    <w:rsid w:val="00B97429"/>
    <w:rsid w:val="00B97967"/>
    <w:rsid w:val="00B97E92"/>
    <w:rsid w:val="00BA0C11"/>
    <w:rsid w:val="00BA0E4C"/>
    <w:rsid w:val="00BA15B8"/>
    <w:rsid w:val="00BA1975"/>
    <w:rsid w:val="00BA1B34"/>
    <w:rsid w:val="00BA1EE8"/>
    <w:rsid w:val="00BA2405"/>
    <w:rsid w:val="00BA2538"/>
    <w:rsid w:val="00BA28C8"/>
    <w:rsid w:val="00BA3A5D"/>
    <w:rsid w:val="00BA3E37"/>
    <w:rsid w:val="00BA429F"/>
    <w:rsid w:val="00BA47EE"/>
    <w:rsid w:val="00BA483A"/>
    <w:rsid w:val="00BA4F78"/>
    <w:rsid w:val="00BA5086"/>
    <w:rsid w:val="00BA5B33"/>
    <w:rsid w:val="00BA5C26"/>
    <w:rsid w:val="00BA5C56"/>
    <w:rsid w:val="00BA64A9"/>
    <w:rsid w:val="00BA68A7"/>
    <w:rsid w:val="00BA6EA9"/>
    <w:rsid w:val="00BA6FE6"/>
    <w:rsid w:val="00BA6FF5"/>
    <w:rsid w:val="00BA7258"/>
    <w:rsid w:val="00BA7C8F"/>
    <w:rsid w:val="00BB0535"/>
    <w:rsid w:val="00BB08B9"/>
    <w:rsid w:val="00BB1AA7"/>
    <w:rsid w:val="00BB2403"/>
    <w:rsid w:val="00BB28B5"/>
    <w:rsid w:val="00BB2CAA"/>
    <w:rsid w:val="00BB3163"/>
    <w:rsid w:val="00BB39D6"/>
    <w:rsid w:val="00BB53F6"/>
    <w:rsid w:val="00BB56D8"/>
    <w:rsid w:val="00BB590B"/>
    <w:rsid w:val="00BB5A31"/>
    <w:rsid w:val="00BB6CD8"/>
    <w:rsid w:val="00BB6D22"/>
    <w:rsid w:val="00BB78C6"/>
    <w:rsid w:val="00BB7E66"/>
    <w:rsid w:val="00BC05AE"/>
    <w:rsid w:val="00BC0C4F"/>
    <w:rsid w:val="00BC1AFE"/>
    <w:rsid w:val="00BC1CB0"/>
    <w:rsid w:val="00BC1D61"/>
    <w:rsid w:val="00BC2E8B"/>
    <w:rsid w:val="00BC2F8B"/>
    <w:rsid w:val="00BC3B9D"/>
    <w:rsid w:val="00BC3CE6"/>
    <w:rsid w:val="00BC3F4F"/>
    <w:rsid w:val="00BC4CE4"/>
    <w:rsid w:val="00BC585E"/>
    <w:rsid w:val="00BC5EB6"/>
    <w:rsid w:val="00BC5EC1"/>
    <w:rsid w:val="00BC73BE"/>
    <w:rsid w:val="00BC74F3"/>
    <w:rsid w:val="00BC7579"/>
    <w:rsid w:val="00BC7EDB"/>
    <w:rsid w:val="00BD0222"/>
    <w:rsid w:val="00BD1B04"/>
    <w:rsid w:val="00BD275D"/>
    <w:rsid w:val="00BD28A6"/>
    <w:rsid w:val="00BD3167"/>
    <w:rsid w:val="00BD361B"/>
    <w:rsid w:val="00BD3B96"/>
    <w:rsid w:val="00BD4E90"/>
    <w:rsid w:val="00BD5B59"/>
    <w:rsid w:val="00BD6011"/>
    <w:rsid w:val="00BD649D"/>
    <w:rsid w:val="00BD67AD"/>
    <w:rsid w:val="00BD6DC3"/>
    <w:rsid w:val="00BD713F"/>
    <w:rsid w:val="00BD7490"/>
    <w:rsid w:val="00BE008B"/>
    <w:rsid w:val="00BE060B"/>
    <w:rsid w:val="00BE0766"/>
    <w:rsid w:val="00BE09D5"/>
    <w:rsid w:val="00BE17C1"/>
    <w:rsid w:val="00BE19DB"/>
    <w:rsid w:val="00BE1A7E"/>
    <w:rsid w:val="00BE3A84"/>
    <w:rsid w:val="00BE3C4E"/>
    <w:rsid w:val="00BE3D5A"/>
    <w:rsid w:val="00BE468E"/>
    <w:rsid w:val="00BE4754"/>
    <w:rsid w:val="00BE4AC0"/>
    <w:rsid w:val="00BE502C"/>
    <w:rsid w:val="00BE5D4C"/>
    <w:rsid w:val="00BE626C"/>
    <w:rsid w:val="00BE6923"/>
    <w:rsid w:val="00BE6AC5"/>
    <w:rsid w:val="00BE7452"/>
    <w:rsid w:val="00BF07F5"/>
    <w:rsid w:val="00BF13F9"/>
    <w:rsid w:val="00BF1468"/>
    <w:rsid w:val="00BF1749"/>
    <w:rsid w:val="00BF2C9E"/>
    <w:rsid w:val="00BF2EDD"/>
    <w:rsid w:val="00BF33D4"/>
    <w:rsid w:val="00BF36CE"/>
    <w:rsid w:val="00BF3F1F"/>
    <w:rsid w:val="00BF48AB"/>
    <w:rsid w:val="00BF4C19"/>
    <w:rsid w:val="00BF539D"/>
    <w:rsid w:val="00BF68EA"/>
    <w:rsid w:val="00BF69CF"/>
    <w:rsid w:val="00BF71B4"/>
    <w:rsid w:val="00BF7261"/>
    <w:rsid w:val="00C01DD5"/>
    <w:rsid w:val="00C02150"/>
    <w:rsid w:val="00C03E01"/>
    <w:rsid w:val="00C0524A"/>
    <w:rsid w:val="00C05462"/>
    <w:rsid w:val="00C055C5"/>
    <w:rsid w:val="00C05D6D"/>
    <w:rsid w:val="00C05D97"/>
    <w:rsid w:val="00C05DA4"/>
    <w:rsid w:val="00C06697"/>
    <w:rsid w:val="00C06699"/>
    <w:rsid w:val="00C07CF3"/>
    <w:rsid w:val="00C10145"/>
    <w:rsid w:val="00C1059D"/>
    <w:rsid w:val="00C109F5"/>
    <w:rsid w:val="00C11186"/>
    <w:rsid w:val="00C11342"/>
    <w:rsid w:val="00C11B7D"/>
    <w:rsid w:val="00C11B87"/>
    <w:rsid w:val="00C1209B"/>
    <w:rsid w:val="00C129B1"/>
    <w:rsid w:val="00C12DA9"/>
    <w:rsid w:val="00C12FA6"/>
    <w:rsid w:val="00C13E56"/>
    <w:rsid w:val="00C144AA"/>
    <w:rsid w:val="00C146B6"/>
    <w:rsid w:val="00C14967"/>
    <w:rsid w:val="00C1548E"/>
    <w:rsid w:val="00C163D7"/>
    <w:rsid w:val="00C16699"/>
    <w:rsid w:val="00C167EA"/>
    <w:rsid w:val="00C170CA"/>
    <w:rsid w:val="00C2025E"/>
    <w:rsid w:val="00C20553"/>
    <w:rsid w:val="00C20CC9"/>
    <w:rsid w:val="00C21DAD"/>
    <w:rsid w:val="00C21EB1"/>
    <w:rsid w:val="00C225F0"/>
    <w:rsid w:val="00C22B53"/>
    <w:rsid w:val="00C23B38"/>
    <w:rsid w:val="00C24A3B"/>
    <w:rsid w:val="00C251FC"/>
    <w:rsid w:val="00C25A07"/>
    <w:rsid w:val="00C264DF"/>
    <w:rsid w:val="00C2697C"/>
    <w:rsid w:val="00C26DE5"/>
    <w:rsid w:val="00C2728E"/>
    <w:rsid w:val="00C27408"/>
    <w:rsid w:val="00C2767D"/>
    <w:rsid w:val="00C279E9"/>
    <w:rsid w:val="00C3006A"/>
    <w:rsid w:val="00C30B15"/>
    <w:rsid w:val="00C30C7D"/>
    <w:rsid w:val="00C30D32"/>
    <w:rsid w:val="00C311CA"/>
    <w:rsid w:val="00C312EA"/>
    <w:rsid w:val="00C32DAF"/>
    <w:rsid w:val="00C334DA"/>
    <w:rsid w:val="00C34144"/>
    <w:rsid w:val="00C341FE"/>
    <w:rsid w:val="00C352A4"/>
    <w:rsid w:val="00C3551E"/>
    <w:rsid w:val="00C35743"/>
    <w:rsid w:val="00C361D2"/>
    <w:rsid w:val="00C3683C"/>
    <w:rsid w:val="00C36A12"/>
    <w:rsid w:val="00C36FFD"/>
    <w:rsid w:val="00C3716F"/>
    <w:rsid w:val="00C371D7"/>
    <w:rsid w:val="00C37A47"/>
    <w:rsid w:val="00C4023F"/>
    <w:rsid w:val="00C40E17"/>
    <w:rsid w:val="00C41599"/>
    <w:rsid w:val="00C41F07"/>
    <w:rsid w:val="00C42501"/>
    <w:rsid w:val="00C42E57"/>
    <w:rsid w:val="00C4322C"/>
    <w:rsid w:val="00C43CA7"/>
    <w:rsid w:val="00C43D98"/>
    <w:rsid w:val="00C450BC"/>
    <w:rsid w:val="00C45DFF"/>
    <w:rsid w:val="00C45E2C"/>
    <w:rsid w:val="00C46118"/>
    <w:rsid w:val="00C462C3"/>
    <w:rsid w:val="00C46601"/>
    <w:rsid w:val="00C468FF"/>
    <w:rsid w:val="00C4762D"/>
    <w:rsid w:val="00C476EF"/>
    <w:rsid w:val="00C501CA"/>
    <w:rsid w:val="00C50403"/>
    <w:rsid w:val="00C50536"/>
    <w:rsid w:val="00C50F18"/>
    <w:rsid w:val="00C5153C"/>
    <w:rsid w:val="00C51675"/>
    <w:rsid w:val="00C51929"/>
    <w:rsid w:val="00C51BCD"/>
    <w:rsid w:val="00C5266C"/>
    <w:rsid w:val="00C52C45"/>
    <w:rsid w:val="00C53CDF"/>
    <w:rsid w:val="00C54169"/>
    <w:rsid w:val="00C54879"/>
    <w:rsid w:val="00C55FCC"/>
    <w:rsid w:val="00C5654E"/>
    <w:rsid w:val="00C572BD"/>
    <w:rsid w:val="00C5741A"/>
    <w:rsid w:val="00C57A0A"/>
    <w:rsid w:val="00C60BC5"/>
    <w:rsid w:val="00C611F3"/>
    <w:rsid w:val="00C6154A"/>
    <w:rsid w:val="00C61633"/>
    <w:rsid w:val="00C61CC0"/>
    <w:rsid w:val="00C62DFF"/>
    <w:rsid w:val="00C630E6"/>
    <w:rsid w:val="00C635F0"/>
    <w:rsid w:val="00C638F2"/>
    <w:rsid w:val="00C63918"/>
    <w:rsid w:val="00C63CE3"/>
    <w:rsid w:val="00C6444B"/>
    <w:rsid w:val="00C646C4"/>
    <w:rsid w:val="00C64B85"/>
    <w:rsid w:val="00C64BE8"/>
    <w:rsid w:val="00C65969"/>
    <w:rsid w:val="00C65A0B"/>
    <w:rsid w:val="00C65BC4"/>
    <w:rsid w:val="00C663AA"/>
    <w:rsid w:val="00C67752"/>
    <w:rsid w:val="00C67784"/>
    <w:rsid w:val="00C677D5"/>
    <w:rsid w:val="00C70329"/>
    <w:rsid w:val="00C71A43"/>
    <w:rsid w:val="00C71CD1"/>
    <w:rsid w:val="00C723EE"/>
    <w:rsid w:val="00C7290D"/>
    <w:rsid w:val="00C731F1"/>
    <w:rsid w:val="00C739D9"/>
    <w:rsid w:val="00C73B7D"/>
    <w:rsid w:val="00C73BBC"/>
    <w:rsid w:val="00C74AB7"/>
    <w:rsid w:val="00C75F18"/>
    <w:rsid w:val="00C763B7"/>
    <w:rsid w:val="00C763F4"/>
    <w:rsid w:val="00C767AA"/>
    <w:rsid w:val="00C76A48"/>
    <w:rsid w:val="00C76BC5"/>
    <w:rsid w:val="00C76FAB"/>
    <w:rsid w:val="00C77268"/>
    <w:rsid w:val="00C7737B"/>
    <w:rsid w:val="00C77470"/>
    <w:rsid w:val="00C77D54"/>
    <w:rsid w:val="00C8001B"/>
    <w:rsid w:val="00C80D25"/>
    <w:rsid w:val="00C8142B"/>
    <w:rsid w:val="00C816F4"/>
    <w:rsid w:val="00C81CFF"/>
    <w:rsid w:val="00C82DEF"/>
    <w:rsid w:val="00C82F5E"/>
    <w:rsid w:val="00C83A18"/>
    <w:rsid w:val="00C8436A"/>
    <w:rsid w:val="00C84907"/>
    <w:rsid w:val="00C8523B"/>
    <w:rsid w:val="00C8574A"/>
    <w:rsid w:val="00C8577E"/>
    <w:rsid w:val="00C86105"/>
    <w:rsid w:val="00C86438"/>
    <w:rsid w:val="00C86D68"/>
    <w:rsid w:val="00C878F1"/>
    <w:rsid w:val="00C87E46"/>
    <w:rsid w:val="00C907B6"/>
    <w:rsid w:val="00C90A29"/>
    <w:rsid w:val="00C90D75"/>
    <w:rsid w:val="00C91AD2"/>
    <w:rsid w:val="00C91CDC"/>
    <w:rsid w:val="00C925CE"/>
    <w:rsid w:val="00C934FC"/>
    <w:rsid w:val="00C939EB"/>
    <w:rsid w:val="00C93C19"/>
    <w:rsid w:val="00C9440A"/>
    <w:rsid w:val="00C9733C"/>
    <w:rsid w:val="00C97B08"/>
    <w:rsid w:val="00C97B4E"/>
    <w:rsid w:val="00C97EE8"/>
    <w:rsid w:val="00CA010C"/>
    <w:rsid w:val="00CA0643"/>
    <w:rsid w:val="00CA0723"/>
    <w:rsid w:val="00CA1DE2"/>
    <w:rsid w:val="00CA1F34"/>
    <w:rsid w:val="00CA1FBB"/>
    <w:rsid w:val="00CA298F"/>
    <w:rsid w:val="00CA31BD"/>
    <w:rsid w:val="00CA337A"/>
    <w:rsid w:val="00CA384C"/>
    <w:rsid w:val="00CA3E39"/>
    <w:rsid w:val="00CA48C8"/>
    <w:rsid w:val="00CA4985"/>
    <w:rsid w:val="00CA64DF"/>
    <w:rsid w:val="00CA65D6"/>
    <w:rsid w:val="00CA6E4A"/>
    <w:rsid w:val="00CA7A81"/>
    <w:rsid w:val="00CB018F"/>
    <w:rsid w:val="00CB056A"/>
    <w:rsid w:val="00CB09AF"/>
    <w:rsid w:val="00CB0A1F"/>
    <w:rsid w:val="00CB2272"/>
    <w:rsid w:val="00CB269E"/>
    <w:rsid w:val="00CB32C4"/>
    <w:rsid w:val="00CB359E"/>
    <w:rsid w:val="00CB3D24"/>
    <w:rsid w:val="00CB4B21"/>
    <w:rsid w:val="00CB574F"/>
    <w:rsid w:val="00CB5FB5"/>
    <w:rsid w:val="00CB6B10"/>
    <w:rsid w:val="00CB7450"/>
    <w:rsid w:val="00CC0716"/>
    <w:rsid w:val="00CC0A81"/>
    <w:rsid w:val="00CC0C18"/>
    <w:rsid w:val="00CC0CE9"/>
    <w:rsid w:val="00CC12CF"/>
    <w:rsid w:val="00CC1634"/>
    <w:rsid w:val="00CC2342"/>
    <w:rsid w:val="00CC2842"/>
    <w:rsid w:val="00CC3523"/>
    <w:rsid w:val="00CC4333"/>
    <w:rsid w:val="00CC4839"/>
    <w:rsid w:val="00CC4FCA"/>
    <w:rsid w:val="00CC51D2"/>
    <w:rsid w:val="00CC6D7E"/>
    <w:rsid w:val="00CC75A0"/>
    <w:rsid w:val="00CC7AF7"/>
    <w:rsid w:val="00CD05EE"/>
    <w:rsid w:val="00CD0D25"/>
    <w:rsid w:val="00CD0F15"/>
    <w:rsid w:val="00CD15BD"/>
    <w:rsid w:val="00CD2337"/>
    <w:rsid w:val="00CD30B2"/>
    <w:rsid w:val="00CD30C2"/>
    <w:rsid w:val="00CD3567"/>
    <w:rsid w:val="00CD38F2"/>
    <w:rsid w:val="00CD3B41"/>
    <w:rsid w:val="00CD433B"/>
    <w:rsid w:val="00CD450E"/>
    <w:rsid w:val="00CD4772"/>
    <w:rsid w:val="00CD4828"/>
    <w:rsid w:val="00CD4A70"/>
    <w:rsid w:val="00CD5029"/>
    <w:rsid w:val="00CD55AA"/>
    <w:rsid w:val="00CD574B"/>
    <w:rsid w:val="00CD5C0F"/>
    <w:rsid w:val="00CD5EE5"/>
    <w:rsid w:val="00CD602E"/>
    <w:rsid w:val="00CD645D"/>
    <w:rsid w:val="00CD67D3"/>
    <w:rsid w:val="00CE07B7"/>
    <w:rsid w:val="00CE1090"/>
    <w:rsid w:val="00CE15D5"/>
    <w:rsid w:val="00CE1B3B"/>
    <w:rsid w:val="00CE32CD"/>
    <w:rsid w:val="00CE4520"/>
    <w:rsid w:val="00CE5250"/>
    <w:rsid w:val="00CE5E46"/>
    <w:rsid w:val="00CE6575"/>
    <w:rsid w:val="00CE6A3B"/>
    <w:rsid w:val="00CE74C6"/>
    <w:rsid w:val="00CE7543"/>
    <w:rsid w:val="00CE7564"/>
    <w:rsid w:val="00CF0A10"/>
    <w:rsid w:val="00CF0B6B"/>
    <w:rsid w:val="00CF0F62"/>
    <w:rsid w:val="00CF286E"/>
    <w:rsid w:val="00CF28AC"/>
    <w:rsid w:val="00CF2B98"/>
    <w:rsid w:val="00CF2CEF"/>
    <w:rsid w:val="00CF45E3"/>
    <w:rsid w:val="00CF468B"/>
    <w:rsid w:val="00CF54FF"/>
    <w:rsid w:val="00CF55D0"/>
    <w:rsid w:val="00CF5AAC"/>
    <w:rsid w:val="00CF7327"/>
    <w:rsid w:val="00CF7600"/>
    <w:rsid w:val="00CF794B"/>
    <w:rsid w:val="00CF7B36"/>
    <w:rsid w:val="00CF7B8D"/>
    <w:rsid w:val="00CF7CDD"/>
    <w:rsid w:val="00D003A3"/>
    <w:rsid w:val="00D010BC"/>
    <w:rsid w:val="00D0127D"/>
    <w:rsid w:val="00D01A84"/>
    <w:rsid w:val="00D01BB5"/>
    <w:rsid w:val="00D020FC"/>
    <w:rsid w:val="00D02467"/>
    <w:rsid w:val="00D02C35"/>
    <w:rsid w:val="00D02D38"/>
    <w:rsid w:val="00D031F7"/>
    <w:rsid w:val="00D03AF2"/>
    <w:rsid w:val="00D03B8F"/>
    <w:rsid w:val="00D03BA5"/>
    <w:rsid w:val="00D04297"/>
    <w:rsid w:val="00D044BA"/>
    <w:rsid w:val="00D044CB"/>
    <w:rsid w:val="00D04863"/>
    <w:rsid w:val="00D049A7"/>
    <w:rsid w:val="00D04AF8"/>
    <w:rsid w:val="00D0530E"/>
    <w:rsid w:val="00D053AF"/>
    <w:rsid w:val="00D0588C"/>
    <w:rsid w:val="00D066C2"/>
    <w:rsid w:val="00D06CBB"/>
    <w:rsid w:val="00D072B7"/>
    <w:rsid w:val="00D10A7A"/>
    <w:rsid w:val="00D111D4"/>
    <w:rsid w:val="00D11AB2"/>
    <w:rsid w:val="00D129D1"/>
    <w:rsid w:val="00D133E8"/>
    <w:rsid w:val="00D13451"/>
    <w:rsid w:val="00D1367E"/>
    <w:rsid w:val="00D14C11"/>
    <w:rsid w:val="00D15622"/>
    <w:rsid w:val="00D15FDA"/>
    <w:rsid w:val="00D1612B"/>
    <w:rsid w:val="00D166A3"/>
    <w:rsid w:val="00D169E5"/>
    <w:rsid w:val="00D175BF"/>
    <w:rsid w:val="00D17C22"/>
    <w:rsid w:val="00D20557"/>
    <w:rsid w:val="00D20F0E"/>
    <w:rsid w:val="00D21200"/>
    <w:rsid w:val="00D21483"/>
    <w:rsid w:val="00D21DFC"/>
    <w:rsid w:val="00D22F6F"/>
    <w:rsid w:val="00D2352B"/>
    <w:rsid w:val="00D238A4"/>
    <w:rsid w:val="00D24D14"/>
    <w:rsid w:val="00D24E69"/>
    <w:rsid w:val="00D259CA"/>
    <w:rsid w:val="00D25D2E"/>
    <w:rsid w:val="00D25DC5"/>
    <w:rsid w:val="00D26558"/>
    <w:rsid w:val="00D269AF"/>
    <w:rsid w:val="00D26DB1"/>
    <w:rsid w:val="00D27B5D"/>
    <w:rsid w:val="00D27BC1"/>
    <w:rsid w:val="00D30975"/>
    <w:rsid w:val="00D30E20"/>
    <w:rsid w:val="00D3173D"/>
    <w:rsid w:val="00D31902"/>
    <w:rsid w:val="00D329F1"/>
    <w:rsid w:val="00D32A24"/>
    <w:rsid w:val="00D32D0B"/>
    <w:rsid w:val="00D33889"/>
    <w:rsid w:val="00D339C4"/>
    <w:rsid w:val="00D33B2F"/>
    <w:rsid w:val="00D33DF3"/>
    <w:rsid w:val="00D357A1"/>
    <w:rsid w:val="00D36060"/>
    <w:rsid w:val="00D362DC"/>
    <w:rsid w:val="00D36C25"/>
    <w:rsid w:val="00D37056"/>
    <w:rsid w:val="00D37294"/>
    <w:rsid w:val="00D37948"/>
    <w:rsid w:val="00D37FF9"/>
    <w:rsid w:val="00D40479"/>
    <w:rsid w:val="00D40948"/>
    <w:rsid w:val="00D411D9"/>
    <w:rsid w:val="00D41577"/>
    <w:rsid w:val="00D415F6"/>
    <w:rsid w:val="00D42019"/>
    <w:rsid w:val="00D42500"/>
    <w:rsid w:val="00D42B1F"/>
    <w:rsid w:val="00D43AD0"/>
    <w:rsid w:val="00D43D34"/>
    <w:rsid w:val="00D43D41"/>
    <w:rsid w:val="00D4403F"/>
    <w:rsid w:val="00D44577"/>
    <w:rsid w:val="00D44A22"/>
    <w:rsid w:val="00D44E0D"/>
    <w:rsid w:val="00D45122"/>
    <w:rsid w:val="00D466FA"/>
    <w:rsid w:val="00D46CAD"/>
    <w:rsid w:val="00D47543"/>
    <w:rsid w:val="00D47B9F"/>
    <w:rsid w:val="00D50636"/>
    <w:rsid w:val="00D51AEA"/>
    <w:rsid w:val="00D51F8F"/>
    <w:rsid w:val="00D5247D"/>
    <w:rsid w:val="00D529B7"/>
    <w:rsid w:val="00D52FE5"/>
    <w:rsid w:val="00D53741"/>
    <w:rsid w:val="00D53A34"/>
    <w:rsid w:val="00D53DD8"/>
    <w:rsid w:val="00D5441C"/>
    <w:rsid w:val="00D54888"/>
    <w:rsid w:val="00D5502F"/>
    <w:rsid w:val="00D553AF"/>
    <w:rsid w:val="00D557F1"/>
    <w:rsid w:val="00D558F7"/>
    <w:rsid w:val="00D55910"/>
    <w:rsid w:val="00D55DAA"/>
    <w:rsid w:val="00D56650"/>
    <w:rsid w:val="00D56737"/>
    <w:rsid w:val="00D56A64"/>
    <w:rsid w:val="00D56D02"/>
    <w:rsid w:val="00D57D3E"/>
    <w:rsid w:val="00D60336"/>
    <w:rsid w:val="00D61BAB"/>
    <w:rsid w:val="00D61BBC"/>
    <w:rsid w:val="00D629D6"/>
    <w:rsid w:val="00D631D9"/>
    <w:rsid w:val="00D6378F"/>
    <w:rsid w:val="00D6467E"/>
    <w:rsid w:val="00D64D08"/>
    <w:rsid w:val="00D64D0B"/>
    <w:rsid w:val="00D64E7D"/>
    <w:rsid w:val="00D64EB7"/>
    <w:rsid w:val="00D65D8E"/>
    <w:rsid w:val="00D66373"/>
    <w:rsid w:val="00D66766"/>
    <w:rsid w:val="00D66FC0"/>
    <w:rsid w:val="00D67A9B"/>
    <w:rsid w:val="00D70091"/>
    <w:rsid w:val="00D70432"/>
    <w:rsid w:val="00D71983"/>
    <w:rsid w:val="00D71B98"/>
    <w:rsid w:val="00D72036"/>
    <w:rsid w:val="00D7206C"/>
    <w:rsid w:val="00D720DA"/>
    <w:rsid w:val="00D7263E"/>
    <w:rsid w:val="00D727F6"/>
    <w:rsid w:val="00D7390F"/>
    <w:rsid w:val="00D745B5"/>
    <w:rsid w:val="00D7533F"/>
    <w:rsid w:val="00D754EE"/>
    <w:rsid w:val="00D7564A"/>
    <w:rsid w:val="00D75949"/>
    <w:rsid w:val="00D76313"/>
    <w:rsid w:val="00D76492"/>
    <w:rsid w:val="00D764BB"/>
    <w:rsid w:val="00D76D02"/>
    <w:rsid w:val="00D80548"/>
    <w:rsid w:val="00D805D2"/>
    <w:rsid w:val="00D816B4"/>
    <w:rsid w:val="00D819EF"/>
    <w:rsid w:val="00D81B8B"/>
    <w:rsid w:val="00D8265C"/>
    <w:rsid w:val="00D82AA2"/>
    <w:rsid w:val="00D831D9"/>
    <w:rsid w:val="00D83722"/>
    <w:rsid w:val="00D838E2"/>
    <w:rsid w:val="00D85824"/>
    <w:rsid w:val="00D8688B"/>
    <w:rsid w:val="00D8729C"/>
    <w:rsid w:val="00D8753D"/>
    <w:rsid w:val="00D87551"/>
    <w:rsid w:val="00D907DB"/>
    <w:rsid w:val="00D90C77"/>
    <w:rsid w:val="00D90E05"/>
    <w:rsid w:val="00D91C83"/>
    <w:rsid w:val="00D91F4C"/>
    <w:rsid w:val="00D922BB"/>
    <w:rsid w:val="00D9262E"/>
    <w:rsid w:val="00D927D1"/>
    <w:rsid w:val="00D933C3"/>
    <w:rsid w:val="00D93921"/>
    <w:rsid w:val="00D95241"/>
    <w:rsid w:val="00D956E3"/>
    <w:rsid w:val="00D960E6"/>
    <w:rsid w:val="00D96E8D"/>
    <w:rsid w:val="00D97C20"/>
    <w:rsid w:val="00DA042B"/>
    <w:rsid w:val="00DA0A1C"/>
    <w:rsid w:val="00DA0B21"/>
    <w:rsid w:val="00DA1227"/>
    <w:rsid w:val="00DA15D9"/>
    <w:rsid w:val="00DA1799"/>
    <w:rsid w:val="00DA1B87"/>
    <w:rsid w:val="00DA2178"/>
    <w:rsid w:val="00DA29C5"/>
    <w:rsid w:val="00DA3ED7"/>
    <w:rsid w:val="00DA3EFF"/>
    <w:rsid w:val="00DA4255"/>
    <w:rsid w:val="00DA47C1"/>
    <w:rsid w:val="00DA50C6"/>
    <w:rsid w:val="00DA53B9"/>
    <w:rsid w:val="00DA5AC3"/>
    <w:rsid w:val="00DA646F"/>
    <w:rsid w:val="00DA76B8"/>
    <w:rsid w:val="00DA7738"/>
    <w:rsid w:val="00DA7957"/>
    <w:rsid w:val="00DA7BCA"/>
    <w:rsid w:val="00DB0288"/>
    <w:rsid w:val="00DB02E2"/>
    <w:rsid w:val="00DB1431"/>
    <w:rsid w:val="00DB1F01"/>
    <w:rsid w:val="00DB21CA"/>
    <w:rsid w:val="00DB23A1"/>
    <w:rsid w:val="00DB27A6"/>
    <w:rsid w:val="00DB2A7D"/>
    <w:rsid w:val="00DB2B3E"/>
    <w:rsid w:val="00DB3757"/>
    <w:rsid w:val="00DB38D7"/>
    <w:rsid w:val="00DB3E95"/>
    <w:rsid w:val="00DB4102"/>
    <w:rsid w:val="00DB434D"/>
    <w:rsid w:val="00DB4E5B"/>
    <w:rsid w:val="00DB5079"/>
    <w:rsid w:val="00DB51FC"/>
    <w:rsid w:val="00DB52F2"/>
    <w:rsid w:val="00DB5481"/>
    <w:rsid w:val="00DB5B7E"/>
    <w:rsid w:val="00DB652C"/>
    <w:rsid w:val="00DB6541"/>
    <w:rsid w:val="00DB6834"/>
    <w:rsid w:val="00DB6B42"/>
    <w:rsid w:val="00DC0440"/>
    <w:rsid w:val="00DC0EEE"/>
    <w:rsid w:val="00DC1560"/>
    <w:rsid w:val="00DC1A5E"/>
    <w:rsid w:val="00DC1F46"/>
    <w:rsid w:val="00DC230E"/>
    <w:rsid w:val="00DC26BD"/>
    <w:rsid w:val="00DC2918"/>
    <w:rsid w:val="00DC37B2"/>
    <w:rsid w:val="00DC442A"/>
    <w:rsid w:val="00DC44CC"/>
    <w:rsid w:val="00DC4690"/>
    <w:rsid w:val="00DC4E99"/>
    <w:rsid w:val="00DC55F1"/>
    <w:rsid w:val="00DC58CC"/>
    <w:rsid w:val="00DC5C97"/>
    <w:rsid w:val="00DC5CCE"/>
    <w:rsid w:val="00DC7601"/>
    <w:rsid w:val="00DC776C"/>
    <w:rsid w:val="00DC7BDE"/>
    <w:rsid w:val="00DD16BB"/>
    <w:rsid w:val="00DD1A84"/>
    <w:rsid w:val="00DD24B9"/>
    <w:rsid w:val="00DD2517"/>
    <w:rsid w:val="00DD299A"/>
    <w:rsid w:val="00DD2D00"/>
    <w:rsid w:val="00DD2F79"/>
    <w:rsid w:val="00DD4349"/>
    <w:rsid w:val="00DD44F0"/>
    <w:rsid w:val="00DD4F3A"/>
    <w:rsid w:val="00DD5066"/>
    <w:rsid w:val="00DD555C"/>
    <w:rsid w:val="00DD617F"/>
    <w:rsid w:val="00DD61C9"/>
    <w:rsid w:val="00DD63C5"/>
    <w:rsid w:val="00DD6760"/>
    <w:rsid w:val="00DD7DEA"/>
    <w:rsid w:val="00DD7F55"/>
    <w:rsid w:val="00DE0A54"/>
    <w:rsid w:val="00DE0CB0"/>
    <w:rsid w:val="00DE160F"/>
    <w:rsid w:val="00DE24D3"/>
    <w:rsid w:val="00DE282E"/>
    <w:rsid w:val="00DE2BB8"/>
    <w:rsid w:val="00DE2E25"/>
    <w:rsid w:val="00DE31B4"/>
    <w:rsid w:val="00DE35CC"/>
    <w:rsid w:val="00DE3C28"/>
    <w:rsid w:val="00DE417B"/>
    <w:rsid w:val="00DE428B"/>
    <w:rsid w:val="00DE4353"/>
    <w:rsid w:val="00DE649A"/>
    <w:rsid w:val="00DE6D11"/>
    <w:rsid w:val="00DE6F58"/>
    <w:rsid w:val="00DE71A2"/>
    <w:rsid w:val="00DE769C"/>
    <w:rsid w:val="00DE7B5B"/>
    <w:rsid w:val="00DE7B8C"/>
    <w:rsid w:val="00DF01B1"/>
    <w:rsid w:val="00DF0522"/>
    <w:rsid w:val="00DF086D"/>
    <w:rsid w:val="00DF1CD4"/>
    <w:rsid w:val="00DF2C14"/>
    <w:rsid w:val="00DF40A4"/>
    <w:rsid w:val="00DF4913"/>
    <w:rsid w:val="00DF511D"/>
    <w:rsid w:val="00DF5187"/>
    <w:rsid w:val="00DF56BE"/>
    <w:rsid w:val="00DF65A8"/>
    <w:rsid w:val="00DF65CF"/>
    <w:rsid w:val="00DF6A03"/>
    <w:rsid w:val="00DF6D81"/>
    <w:rsid w:val="00DF70D5"/>
    <w:rsid w:val="00DF716B"/>
    <w:rsid w:val="00DF752E"/>
    <w:rsid w:val="00DF7904"/>
    <w:rsid w:val="00DF7E51"/>
    <w:rsid w:val="00DF7FD7"/>
    <w:rsid w:val="00E004FB"/>
    <w:rsid w:val="00E00CDD"/>
    <w:rsid w:val="00E00FA4"/>
    <w:rsid w:val="00E0227C"/>
    <w:rsid w:val="00E02698"/>
    <w:rsid w:val="00E02B4D"/>
    <w:rsid w:val="00E02E5F"/>
    <w:rsid w:val="00E0326C"/>
    <w:rsid w:val="00E03F6F"/>
    <w:rsid w:val="00E04C1A"/>
    <w:rsid w:val="00E056A6"/>
    <w:rsid w:val="00E057E5"/>
    <w:rsid w:val="00E05D29"/>
    <w:rsid w:val="00E07A04"/>
    <w:rsid w:val="00E07D4A"/>
    <w:rsid w:val="00E07ED6"/>
    <w:rsid w:val="00E07F1C"/>
    <w:rsid w:val="00E1018E"/>
    <w:rsid w:val="00E101E5"/>
    <w:rsid w:val="00E101E8"/>
    <w:rsid w:val="00E1034C"/>
    <w:rsid w:val="00E10726"/>
    <w:rsid w:val="00E10AC8"/>
    <w:rsid w:val="00E10F80"/>
    <w:rsid w:val="00E12710"/>
    <w:rsid w:val="00E1389E"/>
    <w:rsid w:val="00E139C5"/>
    <w:rsid w:val="00E13CC5"/>
    <w:rsid w:val="00E14293"/>
    <w:rsid w:val="00E15219"/>
    <w:rsid w:val="00E15516"/>
    <w:rsid w:val="00E155C8"/>
    <w:rsid w:val="00E167C3"/>
    <w:rsid w:val="00E177B5"/>
    <w:rsid w:val="00E177B6"/>
    <w:rsid w:val="00E179CA"/>
    <w:rsid w:val="00E203B9"/>
    <w:rsid w:val="00E20756"/>
    <w:rsid w:val="00E2132F"/>
    <w:rsid w:val="00E21BCE"/>
    <w:rsid w:val="00E222E9"/>
    <w:rsid w:val="00E22369"/>
    <w:rsid w:val="00E22583"/>
    <w:rsid w:val="00E23B0D"/>
    <w:rsid w:val="00E23C74"/>
    <w:rsid w:val="00E23CE5"/>
    <w:rsid w:val="00E2414F"/>
    <w:rsid w:val="00E251A3"/>
    <w:rsid w:val="00E251AB"/>
    <w:rsid w:val="00E25587"/>
    <w:rsid w:val="00E2559E"/>
    <w:rsid w:val="00E2651D"/>
    <w:rsid w:val="00E26805"/>
    <w:rsid w:val="00E268AB"/>
    <w:rsid w:val="00E27336"/>
    <w:rsid w:val="00E2764A"/>
    <w:rsid w:val="00E2765A"/>
    <w:rsid w:val="00E3039E"/>
    <w:rsid w:val="00E306D4"/>
    <w:rsid w:val="00E30C48"/>
    <w:rsid w:val="00E3103F"/>
    <w:rsid w:val="00E31A15"/>
    <w:rsid w:val="00E31A57"/>
    <w:rsid w:val="00E3219F"/>
    <w:rsid w:val="00E32721"/>
    <w:rsid w:val="00E3298B"/>
    <w:rsid w:val="00E32EF8"/>
    <w:rsid w:val="00E33467"/>
    <w:rsid w:val="00E33CC3"/>
    <w:rsid w:val="00E33D02"/>
    <w:rsid w:val="00E341A4"/>
    <w:rsid w:val="00E343FC"/>
    <w:rsid w:val="00E34EDB"/>
    <w:rsid w:val="00E37C74"/>
    <w:rsid w:val="00E37E24"/>
    <w:rsid w:val="00E41431"/>
    <w:rsid w:val="00E41B87"/>
    <w:rsid w:val="00E420C3"/>
    <w:rsid w:val="00E4239B"/>
    <w:rsid w:val="00E42764"/>
    <w:rsid w:val="00E427CD"/>
    <w:rsid w:val="00E4284E"/>
    <w:rsid w:val="00E42913"/>
    <w:rsid w:val="00E42B09"/>
    <w:rsid w:val="00E43939"/>
    <w:rsid w:val="00E43ED6"/>
    <w:rsid w:val="00E43F33"/>
    <w:rsid w:val="00E44124"/>
    <w:rsid w:val="00E44409"/>
    <w:rsid w:val="00E44768"/>
    <w:rsid w:val="00E4544D"/>
    <w:rsid w:val="00E45593"/>
    <w:rsid w:val="00E45B25"/>
    <w:rsid w:val="00E46635"/>
    <w:rsid w:val="00E468D4"/>
    <w:rsid w:val="00E47178"/>
    <w:rsid w:val="00E472AE"/>
    <w:rsid w:val="00E47F34"/>
    <w:rsid w:val="00E5043A"/>
    <w:rsid w:val="00E50D5B"/>
    <w:rsid w:val="00E50F8E"/>
    <w:rsid w:val="00E510B5"/>
    <w:rsid w:val="00E515EA"/>
    <w:rsid w:val="00E518C1"/>
    <w:rsid w:val="00E521BC"/>
    <w:rsid w:val="00E52865"/>
    <w:rsid w:val="00E534E3"/>
    <w:rsid w:val="00E54000"/>
    <w:rsid w:val="00E54965"/>
    <w:rsid w:val="00E54B3D"/>
    <w:rsid w:val="00E54BB1"/>
    <w:rsid w:val="00E54D02"/>
    <w:rsid w:val="00E55807"/>
    <w:rsid w:val="00E55F7A"/>
    <w:rsid w:val="00E56667"/>
    <w:rsid w:val="00E56BBB"/>
    <w:rsid w:val="00E572B8"/>
    <w:rsid w:val="00E57843"/>
    <w:rsid w:val="00E57885"/>
    <w:rsid w:val="00E57E93"/>
    <w:rsid w:val="00E6535A"/>
    <w:rsid w:val="00E659D3"/>
    <w:rsid w:val="00E6720B"/>
    <w:rsid w:val="00E67960"/>
    <w:rsid w:val="00E67B60"/>
    <w:rsid w:val="00E705A9"/>
    <w:rsid w:val="00E706D8"/>
    <w:rsid w:val="00E70986"/>
    <w:rsid w:val="00E70CEC"/>
    <w:rsid w:val="00E70DB1"/>
    <w:rsid w:val="00E727AB"/>
    <w:rsid w:val="00E72CAE"/>
    <w:rsid w:val="00E7503A"/>
    <w:rsid w:val="00E75737"/>
    <w:rsid w:val="00E759F0"/>
    <w:rsid w:val="00E762CC"/>
    <w:rsid w:val="00E76E37"/>
    <w:rsid w:val="00E77107"/>
    <w:rsid w:val="00E775AB"/>
    <w:rsid w:val="00E778D0"/>
    <w:rsid w:val="00E77F83"/>
    <w:rsid w:val="00E800DF"/>
    <w:rsid w:val="00E808D0"/>
    <w:rsid w:val="00E80952"/>
    <w:rsid w:val="00E80C09"/>
    <w:rsid w:val="00E818AB"/>
    <w:rsid w:val="00E8198D"/>
    <w:rsid w:val="00E81E01"/>
    <w:rsid w:val="00E82506"/>
    <w:rsid w:val="00E83C88"/>
    <w:rsid w:val="00E8465D"/>
    <w:rsid w:val="00E84D68"/>
    <w:rsid w:val="00E84D88"/>
    <w:rsid w:val="00E861BD"/>
    <w:rsid w:val="00E8660B"/>
    <w:rsid w:val="00E868C9"/>
    <w:rsid w:val="00E86A95"/>
    <w:rsid w:val="00E86B0E"/>
    <w:rsid w:val="00E86D04"/>
    <w:rsid w:val="00E877D4"/>
    <w:rsid w:val="00E879AB"/>
    <w:rsid w:val="00E87E6D"/>
    <w:rsid w:val="00E9002C"/>
    <w:rsid w:val="00E903A5"/>
    <w:rsid w:val="00E90672"/>
    <w:rsid w:val="00E906FB"/>
    <w:rsid w:val="00E917AE"/>
    <w:rsid w:val="00E9230E"/>
    <w:rsid w:val="00E9232C"/>
    <w:rsid w:val="00E92F8E"/>
    <w:rsid w:val="00E934EF"/>
    <w:rsid w:val="00E93834"/>
    <w:rsid w:val="00E93967"/>
    <w:rsid w:val="00E943AC"/>
    <w:rsid w:val="00E95BD8"/>
    <w:rsid w:val="00E964C9"/>
    <w:rsid w:val="00E97171"/>
    <w:rsid w:val="00E97743"/>
    <w:rsid w:val="00E97954"/>
    <w:rsid w:val="00EA044F"/>
    <w:rsid w:val="00EA0CC4"/>
    <w:rsid w:val="00EA24C3"/>
    <w:rsid w:val="00EA2F14"/>
    <w:rsid w:val="00EA3239"/>
    <w:rsid w:val="00EA3475"/>
    <w:rsid w:val="00EA4C3A"/>
    <w:rsid w:val="00EA4C53"/>
    <w:rsid w:val="00EA4E72"/>
    <w:rsid w:val="00EA500A"/>
    <w:rsid w:val="00EA500B"/>
    <w:rsid w:val="00EA52CB"/>
    <w:rsid w:val="00EA558A"/>
    <w:rsid w:val="00EA5C59"/>
    <w:rsid w:val="00EA653B"/>
    <w:rsid w:val="00EA6766"/>
    <w:rsid w:val="00EA6C3C"/>
    <w:rsid w:val="00EA7540"/>
    <w:rsid w:val="00EA7F55"/>
    <w:rsid w:val="00EB03AA"/>
    <w:rsid w:val="00EB14B7"/>
    <w:rsid w:val="00EB1840"/>
    <w:rsid w:val="00EB18AC"/>
    <w:rsid w:val="00EB19F8"/>
    <w:rsid w:val="00EB2F4F"/>
    <w:rsid w:val="00EB3603"/>
    <w:rsid w:val="00EB39B6"/>
    <w:rsid w:val="00EB4474"/>
    <w:rsid w:val="00EB4ADC"/>
    <w:rsid w:val="00EB4FBF"/>
    <w:rsid w:val="00EB55CC"/>
    <w:rsid w:val="00EB63F5"/>
    <w:rsid w:val="00EB6947"/>
    <w:rsid w:val="00EB6D57"/>
    <w:rsid w:val="00EC11BD"/>
    <w:rsid w:val="00EC1840"/>
    <w:rsid w:val="00EC1AC6"/>
    <w:rsid w:val="00EC1E89"/>
    <w:rsid w:val="00EC21D4"/>
    <w:rsid w:val="00EC2864"/>
    <w:rsid w:val="00EC31B3"/>
    <w:rsid w:val="00EC34FA"/>
    <w:rsid w:val="00EC45F3"/>
    <w:rsid w:val="00EC676F"/>
    <w:rsid w:val="00EC67E6"/>
    <w:rsid w:val="00ED01D7"/>
    <w:rsid w:val="00ED0727"/>
    <w:rsid w:val="00ED0A37"/>
    <w:rsid w:val="00ED1251"/>
    <w:rsid w:val="00ED12D1"/>
    <w:rsid w:val="00ED1530"/>
    <w:rsid w:val="00ED1865"/>
    <w:rsid w:val="00ED298A"/>
    <w:rsid w:val="00ED2A13"/>
    <w:rsid w:val="00ED2B1F"/>
    <w:rsid w:val="00ED3439"/>
    <w:rsid w:val="00ED35E3"/>
    <w:rsid w:val="00ED3879"/>
    <w:rsid w:val="00ED39E6"/>
    <w:rsid w:val="00ED3AB4"/>
    <w:rsid w:val="00ED3DB9"/>
    <w:rsid w:val="00ED5228"/>
    <w:rsid w:val="00ED6412"/>
    <w:rsid w:val="00ED6518"/>
    <w:rsid w:val="00ED75AC"/>
    <w:rsid w:val="00ED79EF"/>
    <w:rsid w:val="00EE06D6"/>
    <w:rsid w:val="00EE0770"/>
    <w:rsid w:val="00EE07AB"/>
    <w:rsid w:val="00EE0E77"/>
    <w:rsid w:val="00EE1745"/>
    <w:rsid w:val="00EE1A78"/>
    <w:rsid w:val="00EE1BCA"/>
    <w:rsid w:val="00EE237B"/>
    <w:rsid w:val="00EE29CA"/>
    <w:rsid w:val="00EE3051"/>
    <w:rsid w:val="00EE42C5"/>
    <w:rsid w:val="00EE43E8"/>
    <w:rsid w:val="00EE489C"/>
    <w:rsid w:val="00EE4A07"/>
    <w:rsid w:val="00EE4BD1"/>
    <w:rsid w:val="00EE5838"/>
    <w:rsid w:val="00EE6B14"/>
    <w:rsid w:val="00EE7168"/>
    <w:rsid w:val="00EE7442"/>
    <w:rsid w:val="00EE796A"/>
    <w:rsid w:val="00EE7E50"/>
    <w:rsid w:val="00EE7E77"/>
    <w:rsid w:val="00EF06FB"/>
    <w:rsid w:val="00EF0DC0"/>
    <w:rsid w:val="00EF18D3"/>
    <w:rsid w:val="00EF211E"/>
    <w:rsid w:val="00EF27C5"/>
    <w:rsid w:val="00EF2A0B"/>
    <w:rsid w:val="00EF3EB5"/>
    <w:rsid w:val="00EF4492"/>
    <w:rsid w:val="00EF4E95"/>
    <w:rsid w:val="00EF5873"/>
    <w:rsid w:val="00EF5AFB"/>
    <w:rsid w:val="00EF5FAA"/>
    <w:rsid w:val="00EF64DC"/>
    <w:rsid w:val="00EF6751"/>
    <w:rsid w:val="00EF68AB"/>
    <w:rsid w:val="00EF7721"/>
    <w:rsid w:val="00EF7A31"/>
    <w:rsid w:val="00F001D0"/>
    <w:rsid w:val="00F00496"/>
    <w:rsid w:val="00F005CD"/>
    <w:rsid w:val="00F010E2"/>
    <w:rsid w:val="00F0201F"/>
    <w:rsid w:val="00F020E2"/>
    <w:rsid w:val="00F02104"/>
    <w:rsid w:val="00F02D48"/>
    <w:rsid w:val="00F03935"/>
    <w:rsid w:val="00F04C7B"/>
    <w:rsid w:val="00F054FC"/>
    <w:rsid w:val="00F05916"/>
    <w:rsid w:val="00F05C38"/>
    <w:rsid w:val="00F0631D"/>
    <w:rsid w:val="00F06661"/>
    <w:rsid w:val="00F06701"/>
    <w:rsid w:val="00F06B32"/>
    <w:rsid w:val="00F07E3C"/>
    <w:rsid w:val="00F101F2"/>
    <w:rsid w:val="00F1062A"/>
    <w:rsid w:val="00F11034"/>
    <w:rsid w:val="00F11293"/>
    <w:rsid w:val="00F11799"/>
    <w:rsid w:val="00F11F0D"/>
    <w:rsid w:val="00F12B95"/>
    <w:rsid w:val="00F141AF"/>
    <w:rsid w:val="00F14622"/>
    <w:rsid w:val="00F14E76"/>
    <w:rsid w:val="00F15769"/>
    <w:rsid w:val="00F15852"/>
    <w:rsid w:val="00F17592"/>
    <w:rsid w:val="00F176F0"/>
    <w:rsid w:val="00F177ED"/>
    <w:rsid w:val="00F17959"/>
    <w:rsid w:val="00F20246"/>
    <w:rsid w:val="00F21842"/>
    <w:rsid w:val="00F21B66"/>
    <w:rsid w:val="00F21BF1"/>
    <w:rsid w:val="00F21C04"/>
    <w:rsid w:val="00F21FFC"/>
    <w:rsid w:val="00F23723"/>
    <w:rsid w:val="00F23A1C"/>
    <w:rsid w:val="00F23D16"/>
    <w:rsid w:val="00F24334"/>
    <w:rsid w:val="00F244CB"/>
    <w:rsid w:val="00F246A9"/>
    <w:rsid w:val="00F25114"/>
    <w:rsid w:val="00F2516B"/>
    <w:rsid w:val="00F25A11"/>
    <w:rsid w:val="00F2615E"/>
    <w:rsid w:val="00F266AC"/>
    <w:rsid w:val="00F26730"/>
    <w:rsid w:val="00F27DE8"/>
    <w:rsid w:val="00F3158F"/>
    <w:rsid w:val="00F322ED"/>
    <w:rsid w:val="00F337E9"/>
    <w:rsid w:val="00F33949"/>
    <w:rsid w:val="00F33E01"/>
    <w:rsid w:val="00F35B90"/>
    <w:rsid w:val="00F35E7C"/>
    <w:rsid w:val="00F360CA"/>
    <w:rsid w:val="00F360CF"/>
    <w:rsid w:val="00F36173"/>
    <w:rsid w:val="00F362A1"/>
    <w:rsid w:val="00F36851"/>
    <w:rsid w:val="00F37565"/>
    <w:rsid w:val="00F37A80"/>
    <w:rsid w:val="00F37E2F"/>
    <w:rsid w:val="00F37FA2"/>
    <w:rsid w:val="00F40630"/>
    <w:rsid w:val="00F40A93"/>
    <w:rsid w:val="00F4101C"/>
    <w:rsid w:val="00F4115A"/>
    <w:rsid w:val="00F417D5"/>
    <w:rsid w:val="00F42FA5"/>
    <w:rsid w:val="00F43123"/>
    <w:rsid w:val="00F437D2"/>
    <w:rsid w:val="00F43B27"/>
    <w:rsid w:val="00F43D50"/>
    <w:rsid w:val="00F4452B"/>
    <w:rsid w:val="00F44C0A"/>
    <w:rsid w:val="00F45373"/>
    <w:rsid w:val="00F45DD5"/>
    <w:rsid w:val="00F4635D"/>
    <w:rsid w:val="00F4704A"/>
    <w:rsid w:val="00F470BE"/>
    <w:rsid w:val="00F47438"/>
    <w:rsid w:val="00F47764"/>
    <w:rsid w:val="00F509C6"/>
    <w:rsid w:val="00F51238"/>
    <w:rsid w:val="00F51A85"/>
    <w:rsid w:val="00F51E3C"/>
    <w:rsid w:val="00F525CB"/>
    <w:rsid w:val="00F526EF"/>
    <w:rsid w:val="00F52710"/>
    <w:rsid w:val="00F5309D"/>
    <w:rsid w:val="00F5313A"/>
    <w:rsid w:val="00F5370D"/>
    <w:rsid w:val="00F53915"/>
    <w:rsid w:val="00F53956"/>
    <w:rsid w:val="00F5407A"/>
    <w:rsid w:val="00F54A58"/>
    <w:rsid w:val="00F55268"/>
    <w:rsid w:val="00F554B1"/>
    <w:rsid w:val="00F56525"/>
    <w:rsid w:val="00F579B6"/>
    <w:rsid w:val="00F57B33"/>
    <w:rsid w:val="00F57CDC"/>
    <w:rsid w:val="00F60100"/>
    <w:rsid w:val="00F605AC"/>
    <w:rsid w:val="00F60F4B"/>
    <w:rsid w:val="00F610F9"/>
    <w:rsid w:val="00F61449"/>
    <w:rsid w:val="00F617D2"/>
    <w:rsid w:val="00F62B99"/>
    <w:rsid w:val="00F64800"/>
    <w:rsid w:val="00F65055"/>
    <w:rsid w:val="00F6554E"/>
    <w:rsid w:val="00F66076"/>
    <w:rsid w:val="00F66ACA"/>
    <w:rsid w:val="00F66E43"/>
    <w:rsid w:val="00F67274"/>
    <w:rsid w:val="00F71652"/>
    <w:rsid w:val="00F71705"/>
    <w:rsid w:val="00F717D5"/>
    <w:rsid w:val="00F71D8C"/>
    <w:rsid w:val="00F724CF"/>
    <w:rsid w:val="00F72E0B"/>
    <w:rsid w:val="00F7300D"/>
    <w:rsid w:val="00F7385A"/>
    <w:rsid w:val="00F7392B"/>
    <w:rsid w:val="00F739A4"/>
    <w:rsid w:val="00F741B2"/>
    <w:rsid w:val="00F7496C"/>
    <w:rsid w:val="00F758A5"/>
    <w:rsid w:val="00F76B13"/>
    <w:rsid w:val="00F77BB4"/>
    <w:rsid w:val="00F77D7C"/>
    <w:rsid w:val="00F804A0"/>
    <w:rsid w:val="00F805E7"/>
    <w:rsid w:val="00F80A24"/>
    <w:rsid w:val="00F80FB2"/>
    <w:rsid w:val="00F81800"/>
    <w:rsid w:val="00F81A20"/>
    <w:rsid w:val="00F820C0"/>
    <w:rsid w:val="00F826FC"/>
    <w:rsid w:val="00F83B66"/>
    <w:rsid w:val="00F83F55"/>
    <w:rsid w:val="00F84600"/>
    <w:rsid w:val="00F858EE"/>
    <w:rsid w:val="00F85EC1"/>
    <w:rsid w:val="00F85FA1"/>
    <w:rsid w:val="00F866DF"/>
    <w:rsid w:val="00F9015B"/>
    <w:rsid w:val="00F910CF"/>
    <w:rsid w:val="00F910FE"/>
    <w:rsid w:val="00F91878"/>
    <w:rsid w:val="00F92440"/>
    <w:rsid w:val="00F93065"/>
    <w:rsid w:val="00F93324"/>
    <w:rsid w:val="00F93C17"/>
    <w:rsid w:val="00F93E6B"/>
    <w:rsid w:val="00F948B2"/>
    <w:rsid w:val="00F94A9F"/>
    <w:rsid w:val="00F954DA"/>
    <w:rsid w:val="00F958EE"/>
    <w:rsid w:val="00F95F70"/>
    <w:rsid w:val="00F96BF2"/>
    <w:rsid w:val="00F96D20"/>
    <w:rsid w:val="00F9703C"/>
    <w:rsid w:val="00FA02E0"/>
    <w:rsid w:val="00FA0456"/>
    <w:rsid w:val="00FA141B"/>
    <w:rsid w:val="00FA152E"/>
    <w:rsid w:val="00FA1B3F"/>
    <w:rsid w:val="00FA1DFF"/>
    <w:rsid w:val="00FA1F84"/>
    <w:rsid w:val="00FA22C2"/>
    <w:rsid w:val="00FA40A7"/>
    <w:rsid w:val="00FA42F5"/>
    <w:rsid w:val="00FA4617"/>
    <w:rsid w:val="00FA4783"/>
    <w:rsid w:val="00FA4E30"/>
    <w:rsid w:val="00FA52DE"/>
    <w:rsid w:val="00FA57C8"/>
    <w:rsid w:val="00FA5A5A"/>
    <w:rsid w:val="00FA5B8C"/>
    <w:rsid w:val="00FA6347"/>
    <w:rsid w:val="00FA6774"/>
    <w:rsid w:val="00FA6B14"/>
    <w:rsid w:val="00FA715D"/>
    <w:rsid w:val="00FA76E7"/>
    <w:rsid w:val="00FA7F8F"/>
    <w:rsid w:val="00FB01C4"/>
    <w:rsid w:val="00FB08DB"/>
    <w:rsid w:val="00FB187F"/>
    <w:rsid w:val="00FB2550"/>
    <w:rsid w:val="00FB313F"/>
    <w:rsid w:val="00FB379E"/>
    <w:rsid w:val="00FB383A"/>
    <w:rsid w:val="00FB3E53"/>
    <w:rsid w:val="00FB418B"/>
    <w:rsid w:val="00FB4612"/>
    <w:rsid w:val="00FB520E"/>
    <w:rsid w:val="00FB551C"/>
    <w:rsid w:val="00FB5649"/>
    <w:rsid w:val="00FB623E"/>
    <w:rsid w:val="00FB753E"/>
    <w:rsid w:val="00FB7769"/>
    <w:rsid w:val="00FC06D3"/>
    <w:rsid w:val="00FC0D0F"/>
    <w:rsid w:val="00FC1348"/>
    <w:rsid w:val="00FC187E"/>
    <w:rsid w:val="00FC1AEC"/>
    <w:rsid w:val="00FC1D77"/>
    <w:rsid w:val="00FC2070"/>
    <w:rsid w:val="00FC20DC"/>
    <w:rsid w:val="00FC230A"/>
    <w:rsid w:val="00FC2D66"/>
    <w:rsid w:val="00FC2E13"/>
    <w:rsid w:val="00FC3E3E"/>
    <w:rsid w:val="00FC506B"/>
    <w:rsid w:val="00FC518E"/>
    <w:rsid w:val="00FC5246"/>
    <w:rsid w:val="00FC56C6"/>
    <w:rsid w:val="00FC69B3"/>
    <w:rsid w:val="00FC70E2"/>
    <w:rsid w:val="00FC7298"/>
    <w:rsid w:val="00FC740B"/>
    <w:rsid w:val="00FD0E04"/>
    <w:rsid w:val="00FD10B8"/>
    <w:rsid w:val="00FD1109"/>
    <w:rsid w:val="00FD14B9"/>
    <w:rsid w:val="00FD1AFB"/>
    <w:rsid w:val="00FD1CC6"/>
    <w:rsid w:val="00FD1FCE"/>
    <w:rsid w:val="00FD369A"/>
    <w:rsid w:val="00FD37A1"/>
    <w:rsid w:val="00FD3D38"/>
    <w:rsid w:val="00FD4DB8"/>
    <w:rsid w:val="00FD5CA8"/>
    <w:rsid w:val="00FD6135"/>
    <w:rsid w:val="00FD6276"/>
    <w:rsid w:val="00FD6C9F"/>
    <w:rsid w:val="00FD7AC9"/>
    <w:rsid w:val="00FE0571"/>
    <w:rsid w:val="00FE0C5C"/>
    <w:rsid w:val="00FE204B"/>
    <w:rsid w:val="00FE23E1"/>
    <w:rsid w:val="00FE2771"/>
    <w:rsid w:val="00FE27AA"/>
    <w:rsid w:val="00FE31AD"/>
    <w:rsid w:val="00FE3AEB"/>
    <w:rsid w:val="00FE3AF4"/>
    <w:rsid w:val="00FE44A5"/>
    <w:rsid w:val="00FE4970"/>
    <w:rsid w:val="00FE6528"/>
    <w:rsid w:val="00FE770D"/>
    <w:rsid w:val="00FE7B43"/>
    <w:rsid w:val="00FF00BB"/>
    <w:rsid w:val="00FF05D6"/>
    <w:rsid w:val="00FF0D24"/>
    <w:rsid w:val="00FF0F0A"/>
    <w:rsid w:val="00FF0F68"/>
    <w:rsid w:val="00FF1358"/>
    <w:rsid w:val="00FF1469"/>
    <w:rsid w:val="00FF1A24"/>
    <w:rsid w:val="00FF2778"/>
    <w:rsid w:val="00FF2E8E"/>
    <w:rsid w:val="00FF35F0"/>
    <w:rsid w:val="00FF371E"/>
    <w:rsid w:val="00FF3A2F"/>
    <w:rsid w:val="00FF5309"/>
    <w:rsid w:val="00FF5689"/>
    <w:rsid w:val="00FF5B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AB8E8"/>
  <w15:chartTrackingRefBased/>
  <w15:docId w15:val="{24F51845-1429-450B-A45E-5B8389332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6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384A"/>
    <w:pPr>
      <w:spacing w:before="240" w:after="120" w:line="360" w:lineRule="auto"/>
      <w:jc w:val="both"/>
    </w:pPr>
    <w:rPr>
      <w:rFonts w:ascii="Arial" w:hAnsi="Arial" w:cs="Arial"/>
    </w:rPr>
  </w:style>
  <w:style w:type="paragraph" w:styleId="Ttulo1">
    <w:name w:val="heading 1"/>
    <w:basedOn w:val="TITULODEINICIO"/>
    <w:next w:val="Normal"/>
    <w:link w:val="Ttulo1Car"/>
    <w:uiPriority w:val="9"/>
    <w:qFormat/>
    <w:rsid w:val="0003508A"/>
    <w:pPr>
      <w:spacing w:after="360"/>
      <w:outlineLvl w:val="0"/>
    </w:pPr>
    <w:rPr>
      <w:lang w:val="en-GB"/>
    </w:rPr>
  </w:style>
  <w:style w:type="paragraph" w:styleId="Ttulo2">
    <w:name w:val="heading 2"/>
    <w:basedOn w:val="LADILLO1"/>
    <w:next w:val="Normal"/>
    <w:link w:val="Ttulo2Car"/>
    <w:uiPriority w:val="9"/>
    <w:unhideWhenUsed/>
    <w:qFormat/>
    <w:rsid w:val="0003508A"/>
    <w:pPr>
      <w:outlineLvl w:val="1"/>
    </w:pPr>
  </w:style>
  <w:style w:type="paragraph" w:styleId="Ttulo3">
    <w:name w:val="heading 3"/>
    <w:basedOn w:val="LADILLO2"/>
    <w:next w:val="Normal"/>
    <w:link w:val="Ttulo3Car"/>
    <w:uiPriority w:val="9"/>
    <w:unhideWhenUsed/>
    <w:qFormat/>
    <w:rsid w:val="0003508A"/>
    <w:pPr>
      <w:outlineLvl w:val="2"/>
    </w:pPr>
  </w:style>
  <w:style w:type="paragraph" w:styleId="Ttulo4">
    <w:name w:val="heading 4"/>
    <w:basedOn w:val="Normal"/>
    <w:next w:val="Normal"/>
    <w:link w:val="Ttulo4Car"/>
    <w:uiPriority w:val="9"/>
    <w:unhideWhenUsed/>
    <w:qFormat/>
    <w:rsid w:val="00FD1AF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1E766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DEINICIO">
    <w:name w:val="TITULO DE INICIO"/>
    <w:basedOn w:val="Normal"/>
    <w:link w:val="TITULODEINICIOCar"/>
    <w:qFormat/>
    <w:rsid w:val="003B7F87"/>
    <w:pPr>
      <w:spacing w:line="240" w:lineRule="auto"/>
    </w:pPr>
    <w:rPr>
      <w:rFonts w:ascii="Arial Narrow" w:hAnsi="Arial Narrow" w:cs="Times New Roman (Títulos en alf"/>
      <w:color w:val="4A4F96"/>
      <w:spacing w:val="-10"/>
      <w:kern w:val="28"/>
      <w:sz w:val="56"/>
      <w:szCs w:val="56"/>
    </w:rPr>
  </w:style>
  <w:style w:type="character" w:customStyle="1" w:styleId="TITULODEINICIOCar">
    <w:name w:val="TITULO DE INICIO Car"/>
    <w:basedOn w:val="Fuentedeprrafopredeter"/>
    <w:link w:val="TITULODEINICIO"/>
    <w:rsid w:val="003B7F87"/>
    <w:rPr>
      <w:rFonts w:ascii="Arial Narrow" w:hAnsi="Arial Narrow" w:cs="Times New Roman (Títulos en alf"/>
      <w:color w:val="4A4F96"/>
      <w:spacing w:val="-10"/>
      <w:kern w:val="28"/>
      <w:sz w:val="56"/>
      <w:szCs w:val="56"/>
    </w:rPr>
  </w:style>
  <w:style w:type="character" w:customStyle="1" w:styleId="Ttulo1Car">
    <w:name w:val="Título 1 Car"/>
    <w:basedOn w:val="Fuentedeprrafopredeter"/>
    <w:link w:val="Ttulo1"/>
    <w:uiPriority w:val="9"/>
    <w:rsid w:val="0003508A"/>
    <w:rPr>
      <w:rFonts w:ascii="Arial Narrow" w:hAnsi="Arial Narrow" w:cs="Times New Roman (Títulos en alf"/>
      <w:color w:val="4A4F96"/>
      <w:spacing w:val="-10"/>
      <w:kern w:val="28"/>
      <w:sz w:val="56"/>
      <w:szCs w:val="56"/>
      <w:lang w:val="en-GB"/>
    </w:rPr>
  </w:style>
  <w:style w:type="character" w:customStyle="1" w:styleId="Ttulo2Car">
    <w:name w:val="Título 2 Car"/>
    <w:basedOn w:val="Fuentedeprrafopredeter"/>
    <w:link w:val="Ttulo2"/>
    <w:uiPriority w:val="9"/>
    <w:rsid w:val="0003508A"/>
    <w:rPr>
      <w:rFonts w:ascii="Arial Narrow" w:eastAsiaTheme="majorEastAsia" w:hAnsi="Arial Narrow" w:cstheme="majorBidi"/>
      <w:smallCaps/>
      <w:color w:val="4A4F96"/>
      <w:spacing w:val="5"/>
      <w:sz w:val="32"/>
      <w:szCs w:val="60"/>
      <w:lang w:val="es-ES_tradnl"/>
    </w:rPr>
  </w:style>
  <w:style w:type="character" w:customStyle="1" w:styleId="Ttulo3Car">
    <w:name w:val="Título 3 Car"/>
    <w:basedOn w:val="Fuentedeprrafopredeter"/>
    <w:link w:val="Ttulo3"/>
    <w:uiPriority w:val="9"/>
    <w:rsid w:val="0003508A"/>
    <w:rPr>
      <w:rFonts w:ascii="Arial Narrow" w:eastAsiaTheme="majorEastAsia" w:hAnsi="Arial Narrow" w:cstheme="majorBidi"/>
      <w:smallCaps/>
      <w:color w:val="4A4F96"/>
      <w:spacing w:val="5"/>
      <w:sz w:val="28"/>
      <w:szCs w:val="60"/>
      <w:lang w:val="es-ES_tradnl"/>
    </w:rPr>
  </w:style>
  <w:style w:type="character" w:customStyle="1" w:styleId="Ttulo4Car">
    <w:name w:val="Título 4 Car"/>
    <w:basedOn w:val="Fuentedeprrafopredeter"/>
    <w:link w:val="Ttulo4"/>
    <w:uiPriority w:val="9"/>
    <w:rsid w:val="00FD1AFB"/>
    <w:rPr>
      <w:rFonts w:asciiTheme="majorHAnsi" w:eastAsiaTheme="majorEastAsia" w:hAnsiTheme="majorHAnsi" w:cstheme="majorBidi"/>
      <w:i/>
      <w:iCs/>
      <w:color w:val="2F5496" w:themeColor="accent1" w:themeShade="BF"/>
    </w:rPr>
  </w:style>
  <w:style w:type="paragraph" w:styleId="Sinespaciado">
    <w:name w:val="No Spacing"/>
    <w:uiPriority w:val="1"/>
    <w:qFormat/>
    <w:rsid w:val="00774FC5"/>
    <w:pPr>
      <w:spacing w:after="0" w:line="240" w:lineRule="auto"/>
    </w:pPr>
  </w:style>
  <w:style w:type="paragraph" w:styleId="Prrafodelista">
    <w:name w:val="List Paragraph"/>
    <w:basedOn w:val="Normal"/>
    <w:uiPriority w:val="34"/>
    <w:qFormat/>
    <w:rsid w:val="00F17592"/>
    <w:pPr>
      <w:ind w:left="720"/>
      <w:contextualSpacing/>
    </w:pPr>
  </w:style>
  <w:style w:type="paragraph" w:styleId="Descripcin">
    <w:name w:val="caption"/>
    <w:aliases w:val="Fuente,Table caption,Caption Char Char Char,Caption Char Char Char Char Char Char,Caption Char Char Char Char Char Char Char Char Char Char Char Char Char Char Char Char Char Char Char Char Char Char Char Char Char Char,Caption 3,c,appendix"/>
    <w:basedOn w:val="Normal"/>
    <w:next w:val="Normal"/>
    <w:link w:val="DescripcinCar"/>
    <w:uiPriority w:val="68"/>
    <w:unhideWhenUsed/>
    <w:qFormat/>
    <w:rsid w:val="00AD5324"/>
    <w:pPr>
      <w:pBdr>
        <w:bottom w:val="single" w:sz="4" w:space="1" w:color="auto"/>
      </w:pBdr>
      <w:shd w:val="clear" w:color="auto" w:fill="F0F2FF"/>
      <w:spacing w:after="200" w:line="240" w:lineRule="auto"/>
    </w:pPr>
    <w:rPr>
      <w:sz w:val="18"/>
      <w:szCs w:val="18"/>
    </w:rPr>
  </w:style>
  <w:style w:type="paragraph" w:styleId="Bibliografa">
    <w:name w:val="Bibliography"/>
    <w:basedOn w:val="Normal"/>
    <w:next w:val="Normal"/>
    <w:uiPriority w:val="37"/>
    <w:unhideWhenUsed/>
    <w:rsid w:val="005715D1"/>
    <w:pPr>
      <w:spacing w:after="240" w:line="240" w:lineRule="auto"/>
    </w:pPr>
  </w:style>
  <w:style w:type="table" w:styleId="Tabladelista4-nfasis6">
    <w:name w:val="List Table 4 Accent 6"/>
    <w:basedOn w:val="Tablanormal"/>
    <w:uiPriority w:val="49"/>
    <w:rsid w:val="00D9392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extodeglobo">
    <w:name w:val="Balloon Text"/>
    <w:basedOn w:val="Normal"/>
    <w:link w:val="TextodegloboCar"/>
    <w:uiPriority w:val="99"/>
    <w:semiHidden/>
    <w:unhideWhenUsed/>
    <w:rsid w:val="0068224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224A"/>
    <w:rPr>
      <w:rFonts w:ascii="Segoe UI" w:hAnsi="Segoe UI" w:cs="Segoe UI"/>
      <w:sz w:val="18"/>
      <w:szCs w:val="18"/>
    </w:rPr>
  </w:style>
  <w:style w:type="paragraph" w:styleId="Encabezado">
    <w:name w:val="header"/>
    <w:basedOn w:val="Normal"/>
    <w:link w:val="EncabezadoCar"/>
    <w:uiPriority w:val="99"/>
    <w:unhideWhenUsed/>
    <w:rsid w:val="00F27D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27DE8"/>
  </w:style>
  <w:style w:type="paragraph" w:styleId="Piedepgina">
    <w:name w:val="footer"/>
    <w:basedOn w:val="Normal"/>
    <w:link w:val="PiedepginaCar"/>
    <w:uiPriority w:val="99"/>
    <w:unhideWhenUsed/>
    <w:rsid w:val="00F27D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27DE8"/>
  </w:style>
  <w:style w:type="paragraph" w:customStyle="1" w:styleId="parrafo">
    <w:name w:val="parrafo"/>
    <w:basedOn w:val="Normal"/>
    <w:rsid w:val="0042475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rafo2">
    <w:name w:val="parrafo_2"/>
    <w:basedOn w:val="Normal"/>
    <w:rsid w:val="0042475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uiPriority w:val="99"/>
    <w:semiHidden/>
    <w:unhideWhenUsed/>
    <w:rsid w:val="00F7496C"/>
    <w:rPr>
      <w:rFonts w:ascii="Times New Roman" w:hAnsi="Times New Roman" w:cs="Times New Roman"/>
      <w:sz w:val="24"/>
      <w:szCs w:val="24"/>
    </w:rPr>
  </w:style>
  <w:style w:type="character" w:styleId="Hipervnculo">
    <w:name w:val="Hyperlink"/>
    <w:basedOn w:val="Fuentedeprrafopredeter"/>
    <w:uiPriority w:val="99"/>
    <w:unhideWhenUsed/>
    <w:rsid w:val="008133C6"/>
    <w:rPr>
      <w:color w:val="0000FF"/>
      <w:u w:val="single"/>
    </w:rPr>
  </w:style>
  <w:style w:type="paragraph" w:customStyle="1" w:styleId="Default">
    <w:name w:val="Default"/>
    <w:rsid w:val="009D3B86"/>
    <w:pPr>
      <w:autoSpaceDE w:val="0"/>
      <w:autoSpaceDN w:val="0"/>
      <w:adjustRightInd w:val="0"/>
      <w:spacing w:after="0" w:line="240" w:lineRule="auto"/>
    </w:pPr>
    <w:rPr>
      <w:rFonts w:ascii="Calibri" w:eastAsiaTheme="majorEastAsia" w:hAnsi="Calibri" w:cs="Calibri"/>
      <w:color w:val="000000"/>
      <w:sz w:val="24"/>
      <w:szCs w:val="24"/>
    </w:rPr>
  </w:style>
  <w:style w:type="character" w:styleId="Nmerodepgina">
    <w:name w:val="page number"/>
    <w:basedOn w:val="Fuentedeprrafopredeter"/>
    <w:uiPriority w:val="99"/>
    <w:semiHidden/>
    <w:unhideWhenUsed/>
    <w:rsid w:val="009D3B86"/>
  </w:style>
  <w:style w:type="character" w:styleId="Textoennegrita">
    <w:name w:val="Strong"/>
    <w:basedOn w:val="Fuentedeprrafopredeter"/>
    <w:uiPriority w:val="22"/>
    <w:qFormat/>
    <w:rsid w:val="006A1168"/>
    <w:rPr>
      <w:b/>
      <w:bCs/>
    </w:rPr>
  </w:style>
  <w:style w:type="paragraph" w:customStyle="1" w:styleId="selectionshareable">
    <w:name w:val="selectionshareable"/>
    <w:basedOn w:val="Normal"/>
    <w:rsid w:val="00FD1AF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dice1">
    <w:name w:val="index 1"/>
    <w:basedOn w:val="Normal"/>
    <w:next w:val="Normal"/>
    <w:autoRedefine/>
    <w:uiPriority w:val="99"/>
    <w:unhideWhenUsed/>
    <w:rsid w:val="00B40B69"/>
    <w:pPr>
      <w:spacing w:before="0" w:after="0"/>
      <w:ind w:left="220" w:hanging="220"/>
      <w:jc w:val="left"/>
    </w:pPr>
    <w:rPr>
      <w:rFonts w:asciiTheme="minorHAnsi" w:hAnsiTheme="minorHAnsi" w:cstheme="minorHAnsi"/>
      <w:sz w:val="18"/>
      <w:szCs w:val="18"/>
    </w:rPr>
  </w:style>
  <w:style w:type="paragraph" w:styleId="ndice2">
    <w:name w:val="index 2"/>
    <w:basedOn w:val="Normal"/>
    <w:next w:val="Normal"/>
    <w:autoRedefine/>
    <w:uiPriority w:val="99"/>
    <w:unhideWhenUsed/>
    <w:rsid w:val="00B40B69"/>
    <w:pPr>
      <w:spacing w:before="0" w:after="0"/>
      <w:ind w:left="440" w:hanging="220"/>
      <w:jc w:val="left"/>
    </w:pPr>
    <w:rPr>
      <w:rFonts w:asciiTheme="minorHAnsi" w:hAnsiTheme="minorHAnsi" w:cstheme="minorHAnsi"/>
      <w:sz w:val="18"/>
      <w:szCs w:val="18"/>
    </w:rPr>
  </w:style>
  <w:style w:type="paragraph" w:styleId="ndice3">
    <w:name w:val="index 3"/>
    <w:basedOn w:val="Normal"/>
    <w:next w:val="Normal"/>
    <w:autoRedefine/>
    <w:uiPriority w:val="99"/>
    <w:unhideWhenUsed/>
    <w:rsid w:val="00B40B69"/>
    <w:pPr>
      <w:spacing w:before="0" w:after="0"/>
      <w:ind w:left="660" w:hanging="220"/>
      <w:jc w:val="left"/>
    </w:pPr>
    <w:rPr>
      <w:rFonts w:asciiTheme="minorHAnsi" w:hAnsiTheme="minorHAnsi" w:cstheme="minorHAnsi"/>
      <w:sz w:val="18"/>
      <w:szCs w:val="18"/>
    </w:rPr>
  </w:style>
  <w:style w:type="paragraph" w:styleId="ndice4">
    <w:name w:val="index 4"/>
    <w:basedOn w:val="Normal"/>
    <w:next w:val="Normal"/>
    <w:autoRedefine/>
    <w:uiPriority w:val="99"/>
    <w:unhideWhenUsed/>
    <w:rsid w:val="00B40B69"/>
    <w:pPr>
      <w:spacing w:before="0" w:after="0"/>
      <w:ind w:left="880" w:hanging="220"/>
      <w:jc w:val="left"/>
    </w:pPr>
    <w:rPr>
      <w:rFonts w:asciiTheme="minorHAnsi" w:hAnsiTheme="minorHAnsi" w:cstheme="minorHAnsi"/>
      <w:sz w:val="18"/>
      <w:szCs w:val="18"/>
    </w:rPr>
  </w:style>
  <w:style w:type="paragraph" w:styleId="ndice5">
    <w:name w:val="index 5"/>
    <w:basedOn w:val="Normal"/>
    <w:next w:val="Normal"/>
    <w:autoRedefine/>
    <w:uiPriority w:val="99"/>
    <w:unhideWhenUsed/>
    <w:rsid w:val="00B40B69"/>
    <w:pPr>
      <w:spacing w:before="0" w:after="0"/>
      <w:ind w:left="1100" w:hanging="220"/>
      <w:jc w:val="left"/>
    </w:pPr>
    <w:rPr>
      <w:rFonts w:asciiTheme="minorHAnsi" w:hAnsiTheme="minorHAnsi" w:cstheme="minorHAnsi"/>
      <w:sz w:val="18"/>
      <w:szCs w:val="18"/>
    </w:rPr>
  </w:style>
  <w:style w:type="paragraph" w:styleId="ndice6">
    <w:name w:val="index 6"/>
    <w:basedOn w:val="Normal"/>
    <w:next w:val="Normal"/>
    <w:autoRedefine/>
    <w:uiPriority w:val="99"/>
    <w:unhideWhenUsed/>
    <w:rsid w:val="00B40B69"/>
    <w:pPr>
      <w:spacing w:before="0" w:after="0"/>
      <w:ind w:left="1320" w:hanging="220"/>
      <w:jc w:val="left"/>
    </w:pPr>
    <w:rPr>
      <w:rFonts w:asciiTheme="minorHAnsi" w:hAnsiTheme="minorHAnsi" w:cstheme="minorHAnsi"/>
      <w:sz w:val="18"/>
      <w:szCs w:val="18"/>
    </w:rPr>
  </w:style>
  <w:style w:type="paragraph" w:styleId="ndice7">
    <w:name w:val="index 7"/>
    <w:basedOn w:val="Normal"/>
    <w:next w:val="Normal"/>
    <w:autoRedefine/>
    <w:uiPriority w:val="99"/>
    <w:unhideWhenUsed/>
    <w:rsid w:val="00B40B69"/>
    <w:pPr>
      <w:spacing w:before="0" w:after="0"/>
      <w:ind w:left="1540" w:hanging="220"/>
      <w:jc w:val="left"/>
    </w:pPr>
    <w:rPr>
      <w:rFonts w:asciiTheme="minorHAnsi" w:hAnsiTheme="minorHAnsi" w:cstheme="minorHAnsi"/>
      <w:sz w:val="18"/>
      <w:szCs w:val="18"/>
    </w:rPr>
  </w:style>
  <w:style w:type="paragraph" w:styleId="ndice8">
    <w:name w:val="index 8"/>
    <w:basedOn w:val="Normal"/>
    <w:next w:val="Normal"/>
    <w:autoRedefine/>
    <w:uiPriority w:val="99"/>
    <w:unhideWhenUsed/>
    <w:rsid w:val="00B40B69"/>
    <w:pPr>
      <w:spacing w:before="0" w:after="0"/>
      <w:ind w:left="1760" w:hanging="220"/>
      <w:jc w:val="left"/>
    </w:pPr>
    <w:rPr>
      <w:rFonts w:asciiTheme="minorHAnsi" w:hAnsiTheme="minorHAnsi" w:cstheme="minorHAnsi"/>
      <w:sz w:val="18"/>
      <w:szCs w:val="18"/>
    </w:rPr>
  </w:style>
  <w:style w:type="paragraph" w:styleId="ndice9">
    <w:name w:val="index 9"/>
    <w:basedOn w:val="Normal"/>
    <w:next w:val="Normal"/>
    <w:autoRedefine/>
    <w:uiPriority w:val="99"/>
    <w:unhideWhenUsed/>
    <w:rsid w:val="00B40B69"/>
    <w:pPr>
      <w:spacing w:before="0" w:after="0"/>
      <w:ind w:left="1980" w:hanging="220"/>
      <w:jc w:val="left"/>
    </w:pPr>
    <w:rPr>
      <w:rFonts w:asciiTheme="minorHAnsi" w:hAnsiTheme="minorHAnsi" w:cstheme="minorHAnsi"/>
      <w:sz w:val="18"/>
      <w:szCs w:val="18"/>
    </w:rPr>
  </w:style>
  <w:style w:type="paragraph" w:styleId="Ttulodendice">
    <w:name w:val="index heading"/>
    <w:basedOn w:val="Normal"/>
    <w:next w:val="ndice1"/>
    <w:uiPriority w:val="99"/>
    <w:unhideWhenUsed/>
    <w:rsid w:val="00B40B69"/>
    <w:pPr>
      <w:ind w:left="140"/>
      <w:jc w:val="left"/>
    </w:pPr>
    <w:rPr>
      <w:rFonts w:asciiTheme="majorHAnsi" w:hAnsiTheme="majorHAnsi" w:cstheme="majorHAnsi"/>
      <w:b/>
      <w:bCs/>
      <w:sz w:val="28"/>
      <w:szCs w:val="28"/>
    </w:rPr>
  </w:style>
  <w:style w:type="table" w:styleId="Tablaconcuadrcula">
    <w:name w:val="Table Grid"/>
    <w:basedOn w:val="Tablanormal"/>
    <w:uiPriority w:val="39"/>
    <w:rsid w:val="00013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GENERAL">
    <w:name w:val="TEXTO GENERAL"/>
    <w:link w:val="TEXTOGENERALCar"/>
    <w:qFormat/>
    <w:rsid w:val="00933602"/>
    <w:pPr>
      <w:spacing w:after="120" w:line="360" w:lineRule="auto"/>
      <w:jc w:val="both"/>
    </w:pPr>
    <w:rPr>
      <w:rFonts w:ascii="Arial" w:hAnsi="Arial" w:cs="Times New Roman (Cuerpo en alfa"/>
      <w:color w:val="000000" w:themeColor="text1"/>
      <w:sz w:val="24"/>
    </w:rPr>
  </w:style>
  <w:style w:type="character" w:customStyle="1" w:styleId="TEXTOGENERALCar">
    <w:name w:val="TEXTO GENERAL Car"/>
    <w:basedOn w:val="Fuentedeprrafopredeter"/>
    <w:link w:val="TEXTOGENERAL"/>
    <w:rsid w:val="00933602"/>
    <w:rPr>
      <w:rFonts w:ascii="Arial" w:hAnsi="Arial" w:cs="Times New Roman (Cuerpo en alfa"/>
      <w:color w:val="000000" w:themeColor="text1"/>
      <w:sz w:val="24"/>
    </w:rPr>
  </w:style>
  <w:style w:type="paragraph" w:styleId="Ttulo">
    <w:name w:val="Title"/>
    <w:basedOn w:val="Normal"/>
    <w:next w:val="Normal"/>
    <w:link w:val="TtuloCar"/>
    <w:uiPriority w:val="10"/>
    <w:qFormat/>
    <w:rsid w:val="00933602"/>
    <w:pPr>
      <w:spacing w:after="0" w:line="240" w:lineRule="auto"/>
      <w:contextualSpacing/>
      <w:jc w:val="center"/>
    </w:pPr>
    <w:rPr>
      <w:rFonts w:ascii="Arial Narrow" w:eastAsiaTheme="majorEastAsia" w:hAnsi="Arial Narrow" w:cs="Times New Roman (Títulos en alf"/>
      <w:smallCaps/>
      <w:color w:val="7030A0"/>
      <w:spacing w:val="-10"/>
      <w:kern w:val="28"/>
      <w:sz w:val="60"/>
      <w:szCs w:val="56"/>
    </w:rPr>
  </w:style>
  <w:style w:type="character" w:customStyle="1" w:styleId="TtuloCar">
    <w:name w:val="Título Car"/>
    <w:basedOn w:val="Fuentedeprrafopredeter"/>
    <w:link w:val="Ttulo"/>
    <w:uiPriority w:val="10"/>
    <w:rsid w:val="00933602"/>
    <w:rPr>
      <w:rFonts w:ascii="Arial Narrow" w:eastAsiaTheme="majorEastAsia" w:hAnsi="Arial Narrow" w:cs="Times New Roman (Títulos en alf"/>
      <w:smallCaps/>
      <w:color w:val="7030A0"/>
      <w:spacing w:val="-10"/>
      <w:kern w:val="28"/>
      <w:sz w:val="60"/>
      <w:szCs w:val="56"/>
    </w:rPr>
  </w:style>
  <w:style w:type="paragraph" w:styleId="TtuloTDC">
    <w:name w:val="TOC Heading"/>
    <w:basedOn w:val="Ttulo1"/>
    <w:next w:val="Normal"/>
    <w:uiPriority w:val="39"/>
    <w:unhideWhenUsed/>
    <w:qFormat/>
    <w:rsid w:val="00916937"/>
    <w:pPr>
      <w:keepNext/>
      <w:keepLines/>
      <w:spacing w:after="0" w:line="259" w:lineRule="auto"/>
      <w:outlineLvl w:val="9"/>
    </w:pPr>
    <w:rPr>
      <w:rFonts w:asciiTheme="majorHAnsi" w:eastAsiaTheme="majorEastAsia" w:hAnsiTheme="majorHAnsi" w:cstheme="majorBidi"/>
      <w:color w:val="2F5496" w:themeColor="accent1" w:themeShade="BF"/>
      <w:spacing w:val="0"/>
      <w:kern w:val="0"/>
      <w:sz w:val="32"/>
      <w:szCs w:val="32"/>
      <w:lang w:val="es-ES" w:eastAsia="es-ES"/>
    </w:rPr>
  </w:style>
  <w:style w:type="paragraph" w:styleId="TDC1">
    <w:name w:val="toc 1"/>
    <w:basedOn w:val="Normal"/>
    <w:next w:val="Normal"/>
    <w:autoRedefine/>
    <w:uiPriority w:val="39"/>
    <w:unhideWhenUsed/>
    <w:rsid w:val="007B1B77"/>
    <w:pPr>
      <w:tabs>
        <w:tab w:val="right" w:leader="underscore" w:pos="15628"/>
      </w:tabs>
      <w:spacing w:before="60" w:after="60" w:line="276" w:lineRule="auto"/>
      <w:jc w:val="left"/>
    </w:pPr>
    <w:rPr>
      <w:rFonts w:ascii="Times New Roman" w:hAnsi="Times New Roman" w:cstheme="minorHAnsi"/>
      <w:b/>
      <w:bCs/>
      <w:i/>
      <w:iCs/>
      <w:sz w:val="24"/>
      <w:szCs w:val="24"/>
    </w:rPr>
  </w:style>
  <w:style w:type="paragraph" w:styleId="TDC2">
    <w:name w:val="toc 2"/>
    <w:next w:val="Normal"/>
    <w:autoRedefine/>
    <w:uiPriority w:val="39"/>
    <w:unhideWhenUsed/>
    <w:rsid w:val="007B1B77"/>
    <w:pPr>
      <w:spacing w:before="60" w:after="60" w:line="276" w:lineRule="auto"/>
      <w:ind w:left="221"/>
    </w:pPr>
    <w:rPr>
      <w:rFonts w:ascii="Times New Roman" w:hAnsi="Times New Roman" w:cstheme="minorHAnsi"/>
      <w:bCs/>
    </w:rPr>
  </w:style>
  <w:style w:type="paragraph" w:styleId="TDC3">
    <w:name w:val="toc 3"/>
    <w:basedOn w:val="Normal"/>
    <w:next w:val="Normal"/>
    <w:autoRedefine/>
    <w:uiPriority w:val="39"/>
    <w:unhideWhenUsed/>
    <w:rsid w:val="00916937"/>
    <w:pPr>
      <w:spacing w:before="0" w:after="0"/>
      <w:ind w:left="440"/>
      <w:jc w:val="left"/>
    </w:pPr>
    <w:rPr>
      <w:rFonts w:asciiTheme="minorHAnsi" w:hAnsiTheme="minorHAnsi" w:cstheme="minorHAnsi"/>
      <w:sz w:val="20"/>
      <w:szCs w:val="20"/>
    </w:rPr>
  </w:style>
  <w:style w:type="character" w:styleId="Refdecomentario">
    <w:name w:val="annotation reference"/>
    <w:basedOn w:val="Fuentedeprrafopredeter"/>
    <w:uiPriority w:val="99"/>
    <w:semiHidden/>
    <w:unhideWhenUsed/>
    <w:rsid w:val="0045685F"/>
    <w:rPr>
      <w:sz w:val="16"/>
      <w:szCs w:val="16"/>
    </w:rPr>
  </w:style>
  <w:style w:type="paragraph" w:styleId="Textocomentario">
    <w:name w:val="annotation text"/>
    <w:basedOn w:val="Normal"/>
    <w:link w:val="TextocomentarioCar"/>
    <w:uiPriority w:val="99"/>
    <w:unhideWhenUsed/>
    <w:rsid w:val="0045685F"/>
    <w:pPr>
      <w:spacing w:line="240" w:lineRule="auto"/>
    </w:pPr>
    <w:rPr>
      <w:sz w:val="20"/>
      <w:szCs w:val="20"/>
    </w:rPr>
  </w:style>
  <w:style w:type="character" w:customStyle="1" w:styleId="TextocomentarioCar">
    <w:name w:val="Texto comentario Car"/>
    <w:basedOn w:val="Fuentedeprrafopredeter"/>
    <w:link w:val="Textocomentario"/>
    <w:uiPriority w:val="99"/>
    <w:rsid w:val="0045685F"/>
    <w:rPr>
      <w:sz w:val="20"/>
      <w:szCs w:val="20"/>
    </w:rPr>
  </w:style>
  <w:style w:type="paragraph" w:styleId="Asuntodelcomentario">
    <w:name w:val="annotation subject"/>
    <w:basedOn w:val="Textocomentario"/>
    <w:next w:val="Textocomentario"/>
    <w:link w:val="AsuntodelcomentarioCar"/>
    <w:uiPriority w:val="99"/>
    <w:semiHidden/>
    <w:unhideWhenUsed/>
    <w:rsid w:val="0045685F"/>
    <w:rPr>
      <w:b/>
      <w:bCs/>
    </w:rPr>
  </w:style>
  <w:style w:type="character" w:customStyle="1" w:styleId="AsuntodelcomentarioCar">
    <w:name w:val="Asunto del comentario Car"/>
    <w:basedOn w:val="TextocomentarioCar"/>
    <w:link w:val="Asuntodelcomentario"/>
    <w:uiPriority w:val="99"/>
    <w:semiHidden/>
    <w:rsid w:val="0045685F"/>
    <w:rPr>
      <w:b/>
      <w:bCs/>
      <w:sz w:val="20"/>
      <w:szCs w:val="20"/>
    </w:rPr>
  </w:style>
  <w:style w:type="paragraph" w:customStyle="1" w:styleId="msonormal0">
    <w:name w:val="msonormal"/>
    <w:basedOn w:val="Normal"/>
    <w:rsid w:val="007B013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l65">
    <w:name w:val="xl65"/>
    <w:basedOn w:val="Normal"/>
    <w:rsid w:val="007B0136"/>
    <w:pPr>
      <w:spacing w:before="100" w:beforeAutospacing="1" w:after="100" w:afterAutospacing="1" w:line="240" w:lineRule="auto"/>
    </w:pPr>
    <w:rPr>
      <w:rFonts w:ascii="Times New Roman" w:eastAsia="Times New Roman" w:hAnsi="Times New Roman" w:cs="Times New Roman"/>
      <w:sz w:val="16"/>
      <w:szCs w:val="16"/>
      <w:lang w:eastAsia="es-ES"/>
    </w:rPr>
  </w:style>
  <w:style w:type="paragraph" w:customStyle="1" w:styleId="xl66">
    <w:name w:val="xl66"/>
    <w:basedOn w:val="Normal"/>
    <w:rsid w:val="007B0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es-ES"/>
    </w:rPr>
  </w:style>
  <w:style w:type="paragraph" w:customStyle="1" w:styleId="xl67">
    <w:name w:val="xl67"/>
    <w:basedOn w:val="Normal"/>
    <w:rsid w:val="007B0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es-ES"/>
    </w:rPr>
  </w:style>
  <w:style w:type="paragraph" w:customStyle="1" w:styleId="xl68">
    <w:name w:val="xl68"/>
    <w:basedOn w:val="Normal"/>
    <w:rsid w:val="007B0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es-ES"/>
    </w:rPr>
  </w:style>
  <w:style w:type="paragraph" w:styleId="Revisin">
    <w:name w:val="Revision"/>
    <w:hidden/>
    <w:uiPriority w:val="99"/>
    <w:semiHidden/>
    <w:rsid w:val="005275D6"/>
    <w:pPr>
      <w:spacing w:after="0" w:line="240" w:lineRule="auto"/>
    </w:pPr>
  </w:style>
  <w:style w:type="paragraph" w:styleId="Textonotapie">
    <w:name w:val="footnote text"/>
    <w:basedOn w:val="Normal"/>
    <w:link w:val="TextonotapieCar"/>
    <w:uiPriority w:val="99"/>
    <w:semiHidden/>
    <w:unhideWhenUsed/>
    <w:rsid w:val="00CD233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D2337"/>
    <w:rPr>
      <w:sz w:val="20"/>
      <w:szCs w:val="20"/>
    </w:rPr>
  </w:style>
  <w:style w:type="character" w:styleId="Refdenotaalpie">
    <w:name w:val="footnote reference"/>
    <w:basedOn w:val="Fuentedeprrafopredeter"/>
    <w:uiPriority w:val="99"/>
    <w:semiHidden/>
    <w:unhideWhenUsed/>
    <w:rsid w:val="00CD2337"/>
    <w:rPr>
      <w:vertAlign w:val="superscript"/>
    </w:rPr>
  </w:style>
  <w:style w:type="character" w:styleId="Refdenotaalfinal">
    <w:name w:val="endnote reference"/>
    <w:basedOn w:val="Fuentedeprrafopredeter"/>
    <w:uiPriority w:val="99"/>
    <w:semiHidden/>
    <w:unhideWhenUsed/>
    <w:rsid w:val="00F010E2"/>
    <w:rPr>
      <w:vertAlign w:val="superscript"/>
    </w:rPr>
  </w:style>
  <w:style w:type="character" w:styleId="nfasis">
    <w:name w:val="Emphasis"/>
    <w:aliases w:val="Título tabla"/>
    <w:uiPriority w:val="20"/>
    <w:rsid w:val="00AD5324"/>
    <w:rPr>
      <w:rFonts w:asciiTheme="minorHAnsi" w:hAnsiTheme="minorHAnsi"/>
      <w:b/>
      <w:i w:val="0"/>
      <w:iCs/>
      <w:caps w:val="0"/>
      <w:smallCaps w:val="0"/>
      <w:color w:val="4A489B"/>
      <w:sz w:val="22"/>
    </w:rPr>
  </w:style>
  <w:style w:type="paragraph" w:customStyle="1" w:styleId="TextoFUENTE">
    <w:name w:val="Texto FUENTE"/>
    <w:basedOn w:val="Sinespaciado"/>
    <w:qFormat/>
    <w:rsid w:val="00FD1FCE"/>
    <w:pPr>
      <w:pBdr>
        <w:bottom w:val="single" w:sz="4" w:space="1" w:color="auto"/>
      </w:pBdr>
      <w:shd w:val="clear" w:color="auto" w:fill="F0F2FF"/>
      <w:spacing w:before="60" w:after="120"/>
      <w:contextualSpacing/>
      <w:jc w:val="both"/>
    </w:pPr>
    <w:rPr>
      <w:rFonts w:ascii="Arial Narrow" w:hAnsi="Arial Narrow" w:cs="Times New Roman (Cuerpo en alfa"/>
      <w:color w:val="000000" w:themeColor="text1"/>
      <w:sz w:val="18"/>
    </w:rPr>
  </w:style>
  <w:style w:type="paragraph" w:customStyle="1" w:styleId="TITULOTABLASYFIGURAS">
    <w:name w:val="TITULO TABLAS Y FIGURAS"/>
    <w:basedOn w:val="Normal"/>
    <w:qFormat/>
    <w:rsid w:val="00E70986"/>
    <w:pPr>
      <w:pBdr>
        <w:bottom w:val="single" w:sz="4" w:space="1" w:color="auto"/>
      </w:pBdr>
      <w:spacing w:line="240" w:lineRule="auto"/>
    </w:pPr>
    <w:rPr>
      <w:rFonts w:ascii="Arial Narrow" w:eastAsiaTheme="majorEastAsia" w:hAnsi="Arial Narrow" w:cstheme="majorBidi"/>
      <w:smallCaps/>
      <w:color w:val="4A4F96"/>
      <w:spacing w:val="5"/>
      <w:sz w:val="24"/>
      <w:szCs w:val="60"/>
      <w:lang w:val="es-ES_tradnl"/>
    </w:rPr>
  </w:style>
  <w:style w:type="paragraph" w:customStyle="1" w:styleId="LADILLO1">
    <w:name w:val="LADILLO 1"/>
    <w:link w:val="LADILLO1Car"/>
    <w:rsid w:val="0003508A"/>
    <w:pPr>
      <w:spacing w:before="240" w:after="120" w:line="360" w:lineRule="auto"/>
    </w:pPr>
    <w:rPr>
      <w:rFonts w:ascii="Arial Narrow" w:eastAsiaTheme="majorEastAsia" w:hAnsi="Arial Narrow" w:cstheme="majorBidi"/>
      <w:smallCaps/>
      <w:color w:val="4A4F96"/>
      <w:spacing w:val="5"/>
      <w:sz w:val="32"/>
      <w:szCs w:val="60"/>
      <w:lang w:val="es-ES_tradnl"/>
    </w:rPr>
  </w:style>
  <w:style w:type="paragraph" w:customStyle="1" w:styleId="LADILLO2">
    <w:name w:val="LADILLO 2"/>
    <w:basedOn w:val="LADILLO1"/>
    <w:link w:val="LADILLO2Car"/>
    <w:rsid w:val="0003508A"/>
    <w:rPr>
      <w:sz w:val="28"/>
    </w:rPr>
  </w:style>
  <w:style w:type="character" w:customStyle="1" w:styleId="LADILLO1Car">
    <w:name w:val="LADILLO 1 Car"/>
    <w:basedOn w:val="Fuentedeprrafopredeter"/>
    <w:link w:val="LADILLO1"/>
    <w:rsid w:val="0003508A"/>
    <w:rPr>
      <w:rFonts w:ascii="Arial Narrow" w:eastAsiaTheme="majorEastAsia" w:hAnsi="Arial Narrow" w:cstheme="majorBidi"/>
      <w:smallCaps/>
      <w:color w:val="4A4F96"/>
      <w:spacing w:val="5"/>
      <w:sz w:val="32"/>
      <w:szCs w:val="60"/>
      <w:lang w:val="es-ES_tradnl"/>
    </w:rPr>
  </w:style>
  <w:style w:type="paragraph" w:customStyle="1" w:styleId="LADILLO3">
    <w:name w:val="LADILLO 3"/>
    <w:basedOn w:val="LADILLO1"/>
    <w:link w:val="LADILLO3Car"/>
    <w:rsid w:val="0003508A"/>
    <w:rPr>
      <w:sz w:val="24"/>
    </w:rPr>
  </w:style>
  <w:style w:type="character" w:customStyle="1" w:styleId="LADILLO3Car">
    <w:name w:val="LADILLO 3 Car"/>
    <w:basedOn w:val="LADILLO1Car"/>
    <w:link w:val="LADILLO3"/>
    <w:rsid w:val="0003508A"/>
    <w:rPr>
      <w:rFonts w:ascii="Arial Narrow" w:eastAsiaTheme="majorEastAsia" w:hAnsi="Arial Narrow" w:cstheme="majorBidi"/>
      <w:smallCaps/>
      <w:color w:val="4A4F96"/>
      <w:spacing w:val="5"/>
      <w:sz w:val="24"/>
      <w:szCs w:val="60"/>
      <w:lang w:val="es-ES_tradnl"/>
    </w:rPr>
  </w:style>
  <w:style w:type="character" w:customStyle="1" w:styleId="LADILLO2Car">
    <w:name w:val="LADILLO 2 Car"/>
    <w:basedOn w:val="LADILLO1Car"/>
    <w:link w:val="LADILLO2"/>
    <w:rsid w:val="0003508A"/>
    <w:rPr>
      <w:rFonts w:ascii="Arial Narrow" w:eastAsiaTheme="majorEastAsia" w:hAnsi="Arial Narrow" w:cstheme="majorBidi"/>
      <w:smallCaps/>
      <w:color w:val="4A4F96"/>
      <w:spacing w:val="5"/>
      <w:sz w:val="28"/>
      <w:szCs w:val="60"/>
      <w:lang w:val="es-ES_tradnl"/>
    </w:rPr>
  </w:style>
  <w:style w:type="character" w:styleId="nfasissutil">
    <w:name w:val="Subtle Emphasis"/>
    <w:basedOn w:val="Fuentedeprrafopredeter"/>
    <w:uiPriority w:val="19"/>
    <w:qFormat/>
    <w:rsid w:val="00A53E5A"/>
    <w:rPr>
      <w:i/>
      <w:iCs/>
      <w:color w:val="404040" w:themeColor="text1" w:themeTint="BF"/>
    </w:rPr>
  </w:style>
  <w:style w:type="paragraph" w:styleId="TDC4">
    <w:name w:val="toc 4"/>
    <w:basedOn w:val="Normal"/>
    <w:next w:val="Normal"/>
    <w:autoRedefine/>
    <w:uiPriority w:val="39"/>
    <w:unhideWhenUsed/>
    <w:rsid w:val="00CF2B98"/>
    <w:pPr>
      <w:spacing w:before="0" w:after="0"/>
      <w:ind w:left="66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CF2B98"/>
    <w:pPr>
      <w:spacing w:before="0" w:after="0"/>
      <w:ind w:left="88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CF2B98"/>
    <w:pPr>
      <w:spacing w:before="0" w:after="0"/>
      <w:ind w:left="110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CF2B98"/>
    <w:pPr>
      <w:spacing w:before="0" w:after="0"/>
      <w:ind w:left="132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CF2B98"/>
    <w:pPr>
      <w:spacing w:before="0" w:after="0"/>
      <w:ind w:left="154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CF2B98"/>
    <w:pPr>
      <w:spacing w:before="0" w:after="0"/>
      <w:ind w:left="1760"/>
      <w:jc w:val="left"/>
    </w:pPr>
    <w:rPr>
      <w:rFonts w:asciiTheme="minorHAnsi" w:hAnsiTheme="minorHAnsi" w:cstheme="minorHAnsi"/>
      <w:sz w:val="20"/>
      <w:szCs w:val="20"/>
    </w:rPr>
  </w:style>
  <w:style w:type="table" w:styleId="Tabladelista3-nfasis1">
    <w:name w:val="List Table 3 Accent 1"/>
    <w:basedOn w:val="Tablanormal"/>
    <w:uiPriority w:val="48"/>
    <w:rsid w:val="00F43B27"/>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Tablafigurattulo">
    <w:name w:val="Tabla/figura: título"/>
    <w:basedOn w:val="Normal"/>
    <w:qFormat/>
    <w:rsid w:val="00C01DD5"/>
    <w:pPr>
      <w:ind w:left="284" w:right="28"/>
      <w:jc w:val="left"/>
    </w:pPr>
    <w:rPr>
      <w:rFonts w:asciiTheme="minorHAnsi" w:eastAsia="Times New Roman" w:hAnsiTheme="minorHAnsi" w:cs="Calibri"/>
      <w:b/>
      <w:color w:val="44546A"/>
      <w:sz w:val="18"/>
      <w:szCs w:val="20"/>
    </w:rPr>
  </w:style>
  <w:style w:type="table" w:styleId="Tablaconcuadrcula4-nfasis1">
    <w:name w:val="Grid Table 4 Accent 1"/>
    <w:basedOn w:val="Tablanormal"/>
    <w:uiPriority w:val="49"/>
    <w:rsid w:val="00C01DD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4-nfasis1">
    <w:name w:val="List Table 4 Accent 1"/>
    <w:basedOn w:val="Tablanormal"/>
    <w:uiPriority w:val="49"/>
    <w:rsid w:val="009C6E8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4-nfasis2">
    <w:name w:val="Grid Table 4 Accent 2"/>
    <w:basedOn w:val="Tablanormal"/>
    <w:uiPriority w:val="49"/>
    <w:rsid w:val="001D5140"/>
    <w:pPr>
      <w:spacing w:after="0" w:line="240" w:lineRule="auto"/>
    </w:pPr>
    <w:rPr>
      <w:rFonts w:eastAsia="Batang"/>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1clara-nfasis4">
    <w:name w:val="Grid Table 1 Light Accent 4"/>
    <w:basedOn w:val="Tablanormal"/>
    <w:uiPriority w:val="46"/>
    <w:rsid w:val="00FB418B"/>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styleId="Mencinsinresolver">
    <w:name w:val="Unresolved Mention"/>
    <w:basedOn w:val="Fuentedeprrafopredeter"/>
    <w:uiPriority w:val="99"/>
    <w:semiHidden/>
    <w:unhideWhenUsed/>
    <w:rsid w:val="00392EED"/>
    <w:rPr>
      <w:color w:val="605E5C"/>
      <w:shd w:val="clear" w:color="auto" w:fill="E1DFDD"/>
    </w:rPr>
  </w:style>
  <w:style w:type="paragraph" w:styleId="Tabladeilustraciones">
    <w:name w:val="table of figures"/>
    <w:basedOn w:val="Normal"/>
    <w:next w:val="Normal"/>
    <w:uiPriority w:val="99"/>
    <w:unhideWhenUsed/>
    <w:rsid w:val="004B5573"/>
    <w:pPr>
      <w:spacing w:before="60" w:after="60"/>
      <w:jc w:val="left"/>
    </w:pPr>
    <w:rPr>
      <w:rFonts w:ascii="Times New Roman" w:hAnsi="Times New Roman" w:cstheme="minorHAnsi"/>
      <w:b/>
      <w:i/>
      <w:iCs/>
      <w:szCs w:val="20"/>
    </w:rPr>
  </w:style>
  <w:style w:type="character" w:customStyle="1" w:styleId="Ttulo5Car">
    <w:name w:val="Título 5 Car"/>
    <w:basedOn w:val="Fuentedeprrafopredeter"/>
    <w:link w:val="Ttulo5"/>
    <w:uiPriority w:val="9"/>
    <w:rsid w:val="001E7667"/>
    <w:rPr>
      <w:rFonts w:asciiTheme="majorHAnsi" w:eastAsiaTheme="majorEastAsia" w:hAnsiTheme="majorHAnsi" w:cstheme="majorBidi"/>
      <w:color w:val="2F5496" w:themeColor="accent1" w:themeShade="BF"/>
    </w:rPr>
  </w:style>
  <w:style w:type="table" w:styleId="Tablaconcuadrcula4-nfasis6">
    <w:name w:val="Grid Table 4 Accent 6"/>
    <w:basedOn w:val="Tablanormal"/>
    <w:uiPriority w:val="49"/>
    <w:rsid w:val="00A12DB5"/>
    <w:pPr>
      <w:spacing w:after="0" w:line="240" w:lineRule="auto"/>
    </w:pPr>
    <w:rPr>
      <w:rFonts w:eastAsiaTheme="minorEastAsia"/>
      <w:sz w:val="21"/>
      <w:szCs w:val="21"/>
      <w:lang w:val="en-US" w:eastAsia="ja-JP"/>
    </w:rPr>
    <w:tblPr>
      <w:tblStyleRowBandSize w:val="1"/>
      <w:tblStyleCol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Pr>
    <w:tcPr>
      <w:shd w:val="clear" w:color="auto" w:fill="auto"/>
      <w:vAlign w:val="center"/>
    </w:tc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3-nfasis5">
    <w:name w:val="List Table 3 Accent 5"/>
    <w:basedOn w:val="Tablanormal"/>
    <w:uiPriority w:val="48"/>
    <w:rsid w:val="00770DCA"/>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character" w:styleId="Textodelmarcadordeposicin">
    <w:name w:val="Placeholder Text"/>
    <w:basedOn w:val="Fuentedeprrafopredeter"/>
    <w:uiPriority w:val="99"/>
    <w:semiHidden/>
    <w:rsid w:val="003830C3"/>
    <w:rPr>
      <w:color w:val="808080"/>
    </w:rPr>
  </w:style>
  <w:style w:type="paragraph" w:styleId="Textonotaalfinal">
    <w:name w:val="endnote text"/>
    <w:basedOn w:val="Normal"/>
    <w:link w:val="TextonotaalfinalCar"/>
    <w:uiPriority w:val="99"/>
    <w:semiHidden/>
    <w:unhideWhenUsed/>
    <w:rsid w:val="00115C50"/>
    <w:pPr>
      <w:spacing w:before="0"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15C50"/>
    <w:rPr>
      <w:rFonts w:ascii="Arial" w:hAnsi="Arial" w:cs="Arial"/>
      <w:sz w:val="20"/>
      <w:szCs w:val="20"/>
    </w:rPr>
  </w:style>
  <w:style w:type="character" w:customStyle="1" w:styleId="DescripcinCar">
    <w:name w:val="Descripción Car"/>
    <w:aliases w:val="Fuente Car,Table caption Car,Caption Char Char Char Car,Caption Char Char Char Char Char Char Car,Caption 3 Car,c Car,appendix Car"/>
    <w:link w:val="Descripcin"/>
    <w:uiPriority w:val="68"/>
    <w:locked/>
    <w:rsid w:val="003D43D6"/>
    <w:rPr>
      <w:rFonts w:ascii="Arial" w:hAnsi="Arial" w:cs="Arial"/>
      <w:sz w:val="18"/>
      <w:szCs w:val="18"/>
      <w:shd w:val="clear" w:color="auto" w:fill="F0F2FF"/>
    </w:rPr>
  </w:style>
  <w:style w:type="table" w:styleId="Tabladelista3">
    <w:name w:val="List Table 3"/>
    <w:basedOn w:val="Tablanormal"/>
    <w:uiPriority w:val="48"/>
    <w:rsid w:val="008846A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jlqj4b">
    <w:name w:val="jlqj4b"/>
    <w:basedOn w:val="Fuentedeprrafopredeter"/>
    <w:rsid w:val="009A20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6090">
      <w:bodyDiv w:val="1"/>
      <w:marLeft w:val="0"/>
      <w:marRight w:val="0"/>
      <w:marTop w:val="0"/>
      <w:marBottom w:val="0"/>
      <w:divBdr>
        <w:top w:val="none" w:sz="0" w:space="0" w:color="auto"/>
        <w:left w:val="none" w:sz="0" w:space="0" w:color="auto"/>
        <w:bottom w:val="none" w:sz="0" w:space="0" w:color="auto"/>
        <w:right w:val="none" w:sz="0" w:space="0" w:color="auto"/>
      </w:divBdr>
      <w:divsChild>
        <w:div w:id="479348771">
          <w:marLeft w:val="547"/>
          <w:marRight w:val="0"/>
          <w:marTop w:val="0"/>
          <w:marBottom w:val="0"/>
          <w:divBdr>
            <w:top w:val="none" w:sz="0" w:space="0" w:color="auto"/>
            <w:left w:val="none" w:sz="0" w:space="0" w:color="auto"/>
            <w:bottom w:val="none" w:sz="0" w:space="0" w:color="auto"/>
            <w:right w:val="none" w:sz="0" w:space="0" w:color="auto"/>
          </w:divBdr>
        </w:div>
      </w:divsChild>
    </w:div>
    <w:div w:id="34162212">
      <w:bodyDiv w:val="1"/>
      <w:marLeft w:val="0"/>
      <w:marRight w:val="0"/>
      <w:marTop w:val="0"/>
      <w:marBottom w:val="0"/>
      <w:divBdr>
        <w:top w:val="none" w:sz="0" w:space="0" w:color="auto"/>
        <w:left w:val="none" w:sz="0" w:space="0" w:color="auto"/>
        <w:bottom w:val="none" w:sz="0" w:space="0" w:color="auto"/>
        <w:right w:val="none" w:sz="0" w:space="0" w:color="auto"/>
      </w:divBdr>
      <w:divsChild>
        <w:div w:id="1552573614">
          <w:marLeft w:val="1440"/>
          <w:marRight w:val="0"/>
          <w:marTop w:val="0"/>
          <w:marBottom w:val="0"/>
          <w:divBdr>
            <w:top w:val="none" w:sz="0" w:space="0" w:color="auto"/>
            <w:left w:val="none" w:sz="0" w:space="0" w:color="auto"/>
            <w:bottom w:val="none" w:sz="0" w:space="0" w:color="auto"/>
            <w:right w:val="none" w:sz="0" w:space="0" w:color="auto"/>
          </w:divBdr>
        </w:div>
      </w:divsChild>
    </w:div>
    <w:div w:id="39717163">
      <w:bodyDiv w:val="1"/>
      <w:marLeft w:val="0"/>
      <w:marRight w:val="0"/>
      <w:marTop w:val="0"/>
      <w:marBottom w:val="0"/>
      <w:divBdr>
        <w:top w:val="none" w:sz="0" w:space="0" w:color="auto"/>
        <w:left w:val="none" w:sz="0" w:space="0" w:color="auto"/>
        <w:bottom w:val="none" w:sz="0" w:space="0" w:color="auto"/>
        <w:right w:val="none" w:sz="0" w:space="0" w:color="auto"/>
      </w:divBdr>
      <w:divsChild>
        <w:div w:id="143352010">
          <w:marLeft w:val="547"/>
          <w:marRight w:val="0"/>
          <w:marTop w:val="0"/>
          <w:marBottom w:val="0"/>
          <w:divBdr>
            <w:top w:val="none" w:sz="0" w:space="0" w:color="auto"/>
            <w:left w:val="none" w:sz="0" w:space="0" w:color="auto"/>
            <w:bottom w:val="none" w:sz="0" w:space="0" w:color="auto"/>
            <w:right w:val="none" w:sz="0" w:space="0" w:color="auto"/>
          </w:divBdr>
        </w:div>
        <w:div w:id="1395007965">
          <w:marLeft w:val="547"/>
          <w:marRight w:val="0"/>
          <w:marTop w:val="0"/>
          <w:marBottom w:val="0"/>
          <w:divBdr>
            <w:top w:val="none" w:sz="0" w:space="0" w:color="auto"/>
            <w:left w:val="none" w:sz="0" w:space="0" w:color="auto"/>
            <w:bottom w:val="none" w:sz="0" w:space="0" w:color="auto"/>
            <w:right w:val="none" w:sz="0" w:space="0" w:color="auto"/>
          </w:divBdr>
        </w:div>
        <w:div w:id="1404764525">
          <w:marLeft w:val="1440"/>
          <w:marRight w:val="0"/>
          <w:marTop w:val="0"/>
          <w:marBottom w:val="0"/>
          <w:divBdr>
            <w:top w:val="none" w:sz="0" w:space="0" w:color="auto"/>
            <w:left w:val="none" w:sz="0" w:space="0" w:color="auto"/>
            <w:bottom w:val="none" w:sz="0" w:space="0" w:color="auto"/>
            <w:right w:val="none" w:sz="0" w:space="0" w:color="auto"/>
          </w:divBdr>
        </w:div>
        <w:div w:id="1580099039">
          <w:marLeft w:val="547"/>
          <w:marRight w:val="0"/>
          <w:marTop w:val="0"/>
          <w:marBottom w:val="0"/>
          <w:divBdr>
            <w:top w:val="none" w:sz="0" w:space="0" w:color="auto"/>
            <w:left w:val="none" w:sz="0" w:space="0" w:color="auto"/>
            <w:bottom w:val="none" w:sz="0" w:space="0" w:color="auto"/>
            <w:right w:val="none" w:sz="0" w:space="0" w:color="auto"/>
          </w:divBdr>
        </w:div>
        <w:div w:id="1651522594">
          <w:marLeft w:val="1440"/>
          <w:marRight w:val="0"/>
          <w:marTop w:val="0"/>
          <w:marBottom w:val="0"/>
          <w:divBdr>
            <w:top w:val="none" w:sz="0" w:space="0" w:color="auto"/>
            <w:left w:val="none" w:sz="0" w:space="0" w:color="auto"/>
            <w:bottom w:val="none" w:sz="0" w:space="0" w:color="auto"/>
            <w:right w:val="none" w:sz="0" w:space="0" w:color="auto"/>
          </w:divBdr>
        </w:div>
      </w:divsChild>
    </w:div>
    <w:div w:id="64424477">
      <w:bodyDiv w:val="1"/>
      <w:marLeft w:val="0"/>
      <w:marRight w:val="0"/>
      <w:marTop w:val="0"/>
      <w:marBottom w:val="0"/>
      <w:divBdr>
        <w:top w:val="none" w:sz="0" w:space="0" w:color="auto"/>
        <w:left w:val="none" w:sz="0" w:space="0" w:color="auto"/>
        <w:bottom w:val="none" w:sz="0" w:space="0" w:color="auto"/>
        <w:right w:val="none" w:sz="0" w:space="0" w:color="auto"/>
      </w:divBdr>
    </w:div>
    <w:div w:id="72239093">
      <w:bodyDiv w:val="1"/>
      <w:marLeft w:val="0"/>
      <w:marRight w:val="0"/>
      <w:marTop w:val="0"/>
      <w:marBottom w:val="0"/>
      <w:divBdr>
        <w:top w:val="none" w:sz="0" w:space="0" w:color="auto"/>
        <w:left w:val="none" w:sz="0" w:space="0" w:color="auto"/>
        <w:bottom w:val="none" w:sz="0" w:space="0" w:color="auto"/>
        <w:right w:val="none" w:sz="0" w:space="0" w:color="auto"/>
      </w:divBdr>
    </w:div>
    <w:div w:id="75445573">
      <w:bodyDiv w:val="1"/>
      <w:marLeft w:val="0"/>
      <w:marRight w:val="0"/>
      <w:marTop w:val="0"/>
      <w:marBottom w:val="0"/>
      <w:divBdr>
        <w:top w:val="none" w:sz="0" w:space="0" w:color="auto"/>
        <w:left w:val="none" w:sz="0" w:space="0" w:color="auto"/>
        <w:bottom w:val="none" w:sz="0" w:space="0" w:color="auto"/>
        <w:right w:val="none" w:sz="0" w:space="0" w:color="auto"/>
      </w:divBdr>
      <w:divsChild>
        <w:div w:id="1384980385">
          <w:marLeft w:val="446"/>
          <w:marRight w:val="0"/>
          <w:marTop w:val="0"/>
          <w:marBottom w:val="0"/>
          <w:divBdr>
            <w:top w:val="none" w:sz="0" w:space="0" w:color="auto"/>
            <w:left w:val="none" w:sz="0" w:space="0" w:color="auto"/>
            <w:bottom w:val="none" w:sz="0" w:space="0" w:color="auto"/>
            <w:right w:val="none" w:sz="0" w:space="0" w:color="auto"/>
          </w:divBdr>
        </w:div>
      </w:divsChild>
    </w:div>
    <w:div w:id="91510374">
      <w:bodyDiv w:val="1"/>
      <w:marLeft w:val="0"/>
      <w:marRight w:val="0"/>
      <w:marTop w:val="0"/>
      <w:marBottom w:val="0"/>
      <w:divBdr>
        <w:top w:val="none" w:sz="0" w:space="0" w:color="auto"/>
        <w:left w:val="none" w:sz="0" w:space="0" w:color="auto"/>
        <w:bottom w:val="none" w:sz="0" w:space="0" w:color="auto"/>
        <w:right w:val="none" w:sz="0" w:space="0" w:color="auto"/>
      </w:divBdr>
    </w:div>
    <w:div w:id="106196523">
      <w:bodyDiv w:val="1"/>
      <w:marLeft w:val="0"/>
      <w:marRight w:val="0"/>
      <w:marTop w:val="0"/>
      <w:marBottom w:val="0"/>
      <w:divBdr>
        <w:top w:val="none" w:sz="0" w:space="0" w:color="auto"/>
        <w:left w:val="none" w:sz="0" w:space="0" w:color="auto"/>
        <w:bottom w:val="none" w:sz="0" w:space="0" w:color="auto"/>
        <w:right w:val="none" w:sz="0" w:space="0" w:color="auto"/>
      </w:divBdr>
    </w:div>
    <w:div w:id="106823718">
      <w:bodyDiv w:val="1"/>
      <w:marLeft w:val="0"/>
      <w:marRight w:val="0"/>
      <w:marTop w:val="0"/>
      <w:marBottom w:val="0"/>
      <w:divBdr>
        <w:top w:val="none" w:sz="0" w:space="0" w:color="auto"/>
        <w:left w:val="none" w:sz="0" w:space="0" w:color="auto"/>
        <w:bottom w:val="none" w:sz="0" w:space="0" w:color="auto"/>
        <w:right w:val="none" w:sz="0" w:space="0" w:color="auto"/>
      </w:divBdr>
      <w:divsChild>
        <w:div w:id="127550462">
          <w:marLeft w:val="1440"/>
          <w:marRight w:val="0"/>
          <w:marTop w:val="0"/>
          <w:marBottom w:val="0"/>
          <w:divBdr>
            <w:top w:val="none" w:sz="0" w:space="0" w:color="auto"/>
            <w:left w:val="none" w:sz="0" w:space="0" w:color="auto"/>
            <w:bottom w:val="none" w:sz="0" w:space="0" w:color="auto"/>
            <w:right w:val="none" w:sz="0" w:space="0" w:color="auto"/>
          </w:divBdr>
        </w:div>
        <w:div w:id="262610311">
          <w:marLeft w:val="1440"/>
          <w:marRight w:val="0"/>
          <w:marTop w:val="0"/>
          <w:marBottom w:val="0"/>
          <w:divBdr>
            <w:top w:val="none" w:sz="0" w:space="0" w:color="auto"/>
            <w:left w:val="none" w:sz="0" w:space="0" w:color="auto"/>
            <w:bottom w:val="none" w:sz="0" w:space="0" w:color="auto"/>
            <w:right w:val="none" w:sz="0" w:space="0" w:color="auto"/>
          </w:divBdr>
        </w:div>
        <w:div w:id="635989244">
          <w:marLeft w:val="1440"/>
          <w:marRight w:val="0"/>
          <w:marTop w:val="0"/>
          <w:marBottom w:val="0"/>
          <w:divBdr>
            <w:top w:val="none" w:sz="0" w:space="0" w:color="auto"/>
            <w:left w:val="none" w:sz="0" w:space="0" w:color="auto"/>
            <w:bottom w:val="none" w:sz="0" w:space="0" w:color="auto"/>
            <w:right w:val="none" w:sz="0" w:space="0" w:color="auto"/>
          </w:divBdr>
        </w:div>
        <w:div w:id="1592352781">
          <w:marLeft w:val="547"/>
          <w:marRight w:val="0"/>
          <w:marTop w:val="0"/>
          <w:marBottom w:val="0"/>
          <w:divBdr>
            <w:top w:val="none" w:sz="0" w:space="0" w:color="auto"/>
            <w:left w:val="none" w:sz="0" w:space="0" w:color="auto"/>
            <w:bottom w:val="none" w:sz="0" w:space="0" w:color="auto"/>
            <w:right w:val="none" w:sz="0" w:space="0" w:color="auto"/>
          </w:divBdr>
        </w:div>
        <w:div w:id="2036105109">
          <w:marLeft w:val="547"/>
          <w:marRight w:val="0"/>
          <w:marTop w:val="0"/>
          <w:marBottom w:val="0"/>
          <w:divBdr>
            <w:top w:val="none" w:sz="0" w:space="0" w:color="auto"/>
            <w:left w:val="none" w:sz="0" w:space="0" w:color="auto"/>
            <w:bottom w:val="none" w:sz="0" w:space="0" w:color="auto"/>
            <w:right w:val="none" w:sz="0" w:space="0" w:color="auto"/>
          </w:divBdr>
        </w:div>
      </w:divsChild>
    </w:div>
    <w:div w:id="117382286">
      <w:bodyDiv w:val="1"/>
      <w:marLeft w:val="0"/>
      <w:marRight w:val="0"/>
      <w:marTop w:val="0"/>
      <w:marBottom w:val="0"/>
      <w:divBdr>
        <w:top w:val="none" w:sz="0" w:space="0" w:color="auto"/>
        <w:left w:val="none" w:sz="0" w:space="0" w:color="auto"/>
        <w:bottom w:val="none" w:sz="0" w:space="0" w:color="auto"/>
        <w:right w:val="none" w:sz="0" w:space="0" w:color="auto"/>
      </w:divBdr>
      <w:divsChild>
        <w:div w:id="171802503">
          <w:marLeft w:val="547"/>
          <w:marRight w:val="0"/>
          <w:marTop w:val="0"/>
          <w:marBottom w:val="0"/>
          <w:divBdr>
            <w:top w:val="none" w:sz="0" w:space="0" w:color="auto"/>
            <w:left w:val="none" w:sz="0" w:space="0" w:color="auto"/>
            <w:bottom w:val="none" w:sz="0" w:space="0" w:color="auto"/>
            <w:right w:val="none" w:sz="0" w:space="0" w:color="auto"/>
          </w:divBdr>
        </w:div>
      </w:divsChild>
    </w:div>
    <w:div w:id="127169623">
      <w:bodyDiv w:val="1"/>
      <w:marLeft w:val="0"/>
      <w:marRight w:val="0"/>
      <w:marTop w:val="0"/>
      <w:marBottom w:val="0"/>
      <w:divBdr>
        <w:top w:val="none" w:sz="0" w:space="0" w:color="auto"/>
        <w:left w:val="none" w:sz="0" w:space="0" w:color="auto"/>
        <w:bottom w:val="none" w:sz="0" w:space="0" w:color="auto"/>
        <w:right w:val="none" w:sz="0" w:space="0" w:color="auto"/>
      </w:divBdr>
    </w:div>
    <w:div w:id="129592951">
      <w:bodyDiv w:val="1"/>
      <w:marLeft w:val="0"/>
      <w:marRight w:val="0"/>
      <w:marTop w:val="0"/>
      <w:marBottom w:val="0"/>
      <w:divBdr>
        <w:top w:val="none" w:sz="0" w:space="0" w:color="auto"/>
        <w:left w:val="none" w:sz="0" w:space="0" w:color="auto"/>
        <w:bottom w:val="none" w:sz="0" w:space="0" w:color="auto"/>
        <w:right w:val="none" w:sz="0" w:space="0" w:color="auto"/>
      </w:divBdr>
    </w:div>
    <w:div w:id="132797555">
      <w:bodyDiv w:val="1"/>
      <w:marLeft w:val="0"/>
      <w:marRight w:val="0"/>
      <w:marTop w:val="0"/>
      <w:marBottom w:val="0"/>
      <w:divBdr>
        <w:top w:val="none" w:sz="0" w:space="0" w:color="auto"/>
        <w:left w:val="none" w:sz="0" w:space="0" w:color="auto"/>
        <w:bottom w:val="none" w:sz="0" w:space="0" w:color="auto"/>
        <w:right w:val="none" w:sz="0" w:space="0" w:color="auto"/>
      </w:divBdr>
    </w:div>
    <w:div w:id="145588107">
      <w:bodyDiv w:val="1"/>
      <w:marLeft w:val="0"/>
      <w:marRight w:val="0"/>
      <w:marTop w:val="0"/>
      <w:marBottom w:val="0"/>
      <w:divBdr>
        <w:top w:val="none" w:sz="0" w:space="0" w:color="auto"/>
        <w:left w:val="none" w:sz="0" w:space="0" w:color="auto"/>
        <w:bottom w:val="none" w:sz="0" w:space="0" w:color="auto"/>
        <w:right w:val="none" w:sz="0" w:space="0" w:color="auto"/>
      </w:divBdr>
    </w:div>
    <w:div w:id="148786186">
      <w:bodyDiv w:val="1"/>
      <w:marLeft w:val="0"/>
      <w:marRight w:val="0"/>
      <w:marTop w:val="0"/>
      <w:marBottom w:val="0"/>
      <w:divBdr>
        <w:top w:val="none" w:sz="0" w:space="0" w:color="auto"/>
        <w:left w:val="none" w:sz="0" w:space="0" w:color="auto"/>
        <w:bottom w:val="none" w:sz="0" w:space="0" w:color="auto"/>
        <w:right w:val="none" w:sz="0" w:space="0" w:color="auto"/>
      </w:divBdr>
      <w:divsChild>
        <w:div w:id="358971811">
          <w:marLeft w:val="418"/>
          <w:marRight w:val="0"/>
          <w:marTop w:val="120"/>
          <w:marBottom w:val="0"/>
          <w:divBdr>
            <w:top w:val="none" w:sz="0" w:space="0" w:color="auto"/>
            <w:left w:val="none" w:sz="0" w:space="0" w:color="auto"/>
            <w:bottom w:val="none" w:sz="0" w:space="0" w:color="auto"/>
            <w:right w:val="none" w:sz="0" w:space="0" w:color="auto"/>
          </w:divBdr>
        </w:div>
        <w:div w:id="1365985890">
          <w:marLeft w:val="418"/>
          <w:marRight w:val="0"/>
          <w:marTop w:val="0"/>
          <w:marBottom w:val="0"/>
          <w:divBdr>
            <w:top w:val="none" w:sz="0" w:space="0" w:color="auto"/>
            <w:left w:val="none" w:sz="0" w:space="0" w:color="auto"/>
            <w:bottom w:val="none" w:sz="0" w:space="0" w:color="auto"/>
            <w:right w:val="none" w:sz="0" w:space="0" w:color="auto"/>
          </w:divBdr>
        </w:div>
        <w:div w:id="1863084639">
          <w:marLeft w:val="418"/>
          <w:marRight w:val="0"/>
          <w:marTop w:val="120"/>
          <w:marBottom w:val="0"/>
          <w:divBdr>
            <w:top w:val="none" w:sz="0" w:space="0" w:color="auto"/>
            <w:left w:val="none" w:sz="0" w:space="0" w:color="auto"/>
            <w:bottom w:val="none" w:sz="0" w:space="0" w:color="auto"/>
            <w:right w:val="none" w:sz="0" w:space="0" w:color="auto"/>
          </w:divBdr>
        </w:div>
      </w:divsChild>
    </w:div>
    <w:div w:id="153882858">
      <w:bodyDiv w:val="1"/>
      <w:marLeft w:val="0"/>
      <w:marRight w:val="0"/>
      <w:marTop w:val="0"/>
      <w:marBottom w:val="0"/>
      <w:divBdr>
        <w:top w:val="none" w:sz="0" w:space="0" w:color="auto"/>
        <w:left w:val="none" w:sz="0" w:space="0" w:color="auto"/>
        <w:bottom w:val="none" w:sz="0" w:space="0" w:color="auto"/>
        <w:right w:val="none" w:sz="0" w:space="0" w:color="auto"/>
      </w:divBdr>
    </w:div>
    <w:div w:id="160900098">
      <w:bodyDiv w:val="1"/>
      <w:marLeft w:val="0"/>
      <w:marRight w:val="0"/>
      <w:marTop w:val="0"/>
      <w:marBottom w:val="0"/>
      <w:divBdr>
        <w:top w:val="none" w:sz="0" w:space="0" w:color="auto"/>
        <w:left w:val="none" w:sz="0" w:space="0" w:color="auto"/>
        <w:bottom w:val="none" w:sz="0" w:space="0" w:color="auto"/>
        <w:right w:val="none" w:sz="0" w:space="0" w:color="auto"/>
      </w:divBdr>
    </w:div>
    <w:div w:id="163595137">
      <w:bodyDiv w:val="1"/>
      <w:marLeft w:val="0"/>
      <w:marRight w:val="0"/>
      <w:marTop w:val="0"/>
      <w:marBottom w:val="0"/>
      <w:divBdr>
        <w:top w:val="none" w:sz="0" w:space="0" w:color="auto"/>
        <w:left w:val="none" w:sz="0" w:space="0" w:color="auto"/>
        <w:bottom w:val="none" w:sz="0" w:space="0" w:color="auto"/>
        <w:right w:val="none" w:sz="0" w:space="0" w:color="auto"/>
      </w:divBdr>
      <w:divsChild>
        <w:div w:id="135728196">
          <w:marLeft w:val="446"/>
          <w:marRight w:val="0"/>
          <w:marTop w:val="0"/>
          <w:marBottom w:val="0"/>
          <w:divBdr>
            <w:top w:val="none" w:sz="0" w:space="0" w:color="auto"/>
            <w:left w:val="none" w:sz="0" w:space="0" w:color="auto"/>
            <w:bottom w:val="none" w:sz="0" w:space="0" w:color="auto"/>
            <w:right w:val="none" w:sz="0" w:space="0" w:color="auto"/>
          </w:divBdr>
        </w:div>
        <w:div w:id="378939404">
          <w:marLeft w:val="446"/>
          <w:marRight w:val="0"/>
          <w:marTop w:val="0"/>
          <w:marBottom w:val="0"/>
          <w:divBdr>
            <w:top w:val="none" w:sz="0" w:space="0" w:color="auto"/>
            <w:left w:val="none" w:sz="0" w:space="0" w:color="auto"/>
            <w:bottom w:val="none" w:sz="0" w:space="0" w:color="auto"/>
            <w:right w:val="none" w:sz="0" w:space="0" w:color="auto"/>
          </w:divBdr>
        </w:div>
        <w:div w:id="523248820">
          <w:marLeft w:val="446"/>
          <w:marRight w:val="0"/>
          <w:marTop w:val="0"/>
          <w:marBottom w:val="0"/>
          <w:divBdr>
            <w:top w:val="none" w:sz="0" w:space="0" w:color="auto"/>
            <w:left w:val="none" w:sz="0" w:space="0" w:color="auto"/>
            <w:bottom w:val="none" w:sz="0" w:space="0" w:color="auto"/>
            <w:right w:val="none" w:sz="0" w:space="0" w:color="auto"/>
          </w:divBdr>
        </w:div>
        <w:div w:id="734741198">
          <w:marLeft w:val="446"/>
          <w:marRight w:val="0"/>
          <w:marTop w:val="0"/>
          <w:marBottom w:val="0"/>
          <w:divBdr>
            <w:top w:val="none" w:sz="0" w:space="0" w:color="auto"/>
            <w:left w:val="none" w:sz="0" w:space="0" w:color="auto"/>
            <w:bottom w:val="none" w:sz="0" w:space="0" w:color="auto"/>
            <w:right w:val="none" w:sz="0" w:space="0" w:color="auto"/>
          </w:divBdr>
        </w:div>
        <w:div w:id="760415459">
          <w:marLeft w:val="446"/>
          <w:marRight w:val="0"/>
          <w:marTop w:val="0"/>
          <w:marBottom w:val="0"/>
          <w:divBdr>
            <w:top w:val="none" w:sz="0" w:space="0" w:color="auto"/>
            <w:left w:val="none" w:sz="0" w:space="0" w:color="auto"/>
            <w:bottom w:val="none" w:sz="0" w:space="0" w:color="auto"/>
            <w:right w:val="none" w:sz="0" w:space="0" w:color="auto"/>
          </w:divBdr>
        </w:div>
        <w:div w:id="954872166">
          <w:marLeft w:val="446"/>
          <w:marRight w:val="0"/>
          <w:marTop w:val="0"/>
          <w:marBottom w:val="0"/>
          <w:divBdr>
            <w:top w:val="none" w:sz="0" w:space="0" w:color="auto"/>
            <w:left w:val="none" w:sz="0" w:space="0" w:color="auto"/>
            <w:bottom w:val="none" w:sz="0" w:space="0" w:color="auto"/>
            <w:right w:val="none" w:sz="0" w:space="0" w:color="auto"/>
          </w:divBdr>
        </w:div>
        <w:div w:id="1454137133">
          <w:marLeft w:val="446"/>
          <w:marRight w:val="0"/>
          <w:marTop w:val="0"/>
          <w:marBottom w:val="0"/>
          <w:divBdr>
            <w:top w:val="none" w:sz="0" w:space="0" w:color="auto"/>
            <w:left w:val="none" w:sz="0" w:space="0" w:color="auto"/>
            <w:bottom w:val="none" w:sz="0" w:space="0" w:color="auto"/>
            <w:right w:val="none" w:sz="0" w:space="0" w:color="auto"/>
          </w:divBdr>
        </w:div>
        <w:div w:id="1559512626">
          <w:marLeft w:val="446"/>
          <w:marRight w:val="0"/>
          <w:marTop w:val="0"/>
          <w:marBottom w:val="0"/>
          <w:divBdr>
            <w:top w:val="none" w:sz="0" w:space="0" w:color="auto"/>
            <w:left w:val="none" w:sz="0" w:space="0" w:color="auto"/>
            <w:bottom w:val="none" w:sz="0" w:space="0" w:color="auto"/>
            <w:right w:val="none" w:sz="0" w:space="0" w:color="auto"/>
          </w:divBdr>
        </w:div>
        <w:div w:id="1756854365">
          <w:marLeft w:val="446"/>
          <w:marRight w:val="0"/>
          <w:marTop w:val="0"/>
          <w:marBottom w:val="0"/>
          <w:divBdr>
            <w:top w:val="none" w:sz="0" w:space="0" w:color="auto"/>
            <w:left w:val="none" w:sz="0" w:space="0" w:color="auto"/>
            <w:bottom w:val="none" w:sz="0" w:space="0" w:color="auto"/>
            <w:right w:val="none" w:sz="0" w:space="0" w:color="auto"/>
          </w:divBdr>
        </w:div>
      </w:divsChild>
    </w:div>
    <w:div w:id="181095373">
      <w:bodyDiv w:val="1"/>
      <w:marLeft w:val="0"/>
      <w:marRight w:val="0"/>
      <w:marTop w:val="0"/>
      <w:marBottom w:val="0"/>
      <w:divBdr>
        <w:top w:val="none" w:sz="0" w:space="0" w:color="auto"/>
        <w:left w:val="none" w:sz="0" w:space="0" w:color="auto"/>
        <w:bottom w:val="none" w:sz="0" w:space="0" w:color="auto"/>
        <w:right w:val="none" w:sz="0" w:space="0" w:color="auto"/>
      </w:divBdr>
    </w:div>
    <w:div w:id="223294153">
      <w:bodyDiv w:val="1"/>
      <w:marLeft w:val="0"/>
      <w:marRight w:val="0"/>
      <w:marTop w:val="0"/>
      <w:marBottom w:val="0"/>
      <w:divBdr>
        <w:top w:val="none" w:sz="0" w:space="0" w:color="auto"/>
        <w:left w:val="none" w:sz="0" w:space="0" w:color="auto"/>
        <w:bottom w:val="none" w:sz="0" w:space="0" w:color="auto"/>
        <w:right w:val="none" w:sz="0" w:space="0" w:color="auto"/>
      </w:divBdr>
      <w:divsChild>
        <w:div w:id="480973939">
          <w:marLeft w:val="547"/>
          <w:marRight w:val="0"/>
          <w:marTop w:val="0"/>
          <w:marBottom w:val="0"/>
          <w:divBdr>
            <w:top w:val="none" w:sz="0" w:space="0" w:color="auto"/>
            <w:left w:val="none" w:sz="0" w:space="0" w:color="auto"/>
            <w:bottom w:val="none" w:sz="0" w:space="0" w:color="auto"/>
            <w:right w:val="none" w:sz="0" w:space="0" w:color="auto"/>
          </w:divBdr>
        </w:div>
      </w:divsChild>
    </w:div>
    <w:div w:id="225721113">
      <w:bodyDiv w:val="1"/>
      <w:marLeft w:val="0"/>
      <w:marRight w:val="0"/>
      <w:marTop w:val="0"/>
      <w:marBottom w:val="0"/>
      <w:divBdr>
        <w:top w:val="none" w:sz="0" w:space="0" w:color="auto"/>
        <w:left w:val="none" w:sz="0" w:space="0" w:color="auto"/>
        <w:bottom w:val="none" w:sz="0" w:space="0" w:color="auto"/>
        <w:right w:val="none" w:sz="0" w:space="0" w:color="auto"/>
      </w:divBdr>
    </w:div>
    <w:div w:id="265970425">
      <w:bodyDiv w:val="1"/>
      <w:marLeft w:val="0"/>
      <w:marRight w:val="0"/>
      <w:marTop w:val="0"/>
      <w:marBottom w:val="0"/>
      <w:divBdr>
        <w:top w:val="none" w:sz="0" w:space="0" w:color="auto"/>
        <w:left w:val="none" w:sz="0" w:space="0" w:color="auto"/>
        <w:bottom w:val="none" w:sz="0" w:space="0" w:color="auto"/>
        <w:right w:val="none" w:sz="0" w:space="0" w:color="auto"/>
      </w:divBdr>
      <w:divsChild>
        <w:div w:id="2111926283">
          <w:marLeft w:val="446"/>
          <w:marRight w:val="0"/>
          <w:marTop w:val="0"/>
          <w:marBottom w:val="0"/>
          <w:divBdr>
            <w:top w:val="none" w:sz="0" w:space="0" w:color="auto"/>
            <w:left w:val="none" w:sz="0" w:space="0" w:color="auto"/>
            <w:bottom w:val="none" w:sz="0" w:space="0" w:color="auto"/>
            <w:right w:val="none" w:sz="0" w:space="0" w:color="auto"/>
          </w:divBdr>
        </w:div>
      </w:divsChild>
    </w:div>
    <w:div w:id="299111668">
      <w:bodyDiv w:val="1"/>
      <w:marLeft w:val="0"/>
      <w:marRight w:val="0"/>
      <w:marTop w:val="0"/>
      <w:marBottom w:val="0"/>
      <w:divBdr>
        <w:top w:val="none" w:sz="0" w:space="0" w:color="auto"/>
        <w:left w:val="none" w:sz="0" w:space="0" w:color="auto"/>
        <w:bottom w:val="none" w:sz="0" w:space="0" w:color="auto"/>
        <w:right w:val="none" w:sz="0" w:space="0" w:color="auto"/>
      </w:divBdr>
    </w:div>
    <w:div w:id="332539050">
      <w:bodyDiv w:val="1"/>
      <w:marLeft w:val="0"/>
      <w:marRight w:val="0"/>
      <w:marTop w:val="0"/>
      <w:marBottom w:val="0"/>
      <w:divBdr>
        <w:top w:val="none" w:sz="0" w:space="0" w:color="auto"/>
        <w:left w:val="none" w:sz="0" w:space="0" w:color="auto"/>
        <w:bottom w:val="none" w:sz="0" w:space="0" w:color="auto"/>
        <w:right w:val="none" w:sz="0" w:space="0" w:color="auto"/>
      </w:divBdr>
    </w:div>
    <w:div w:id="368645858">
      <w:bodyDiv w:val="1"/>
      <w:marLeft w:val="0"/>
      <w:marRight w:val="0"/>
      <w:marTop w:val="0"/>
      <w:marBottom w:val="0"/>
      <w:divBdr>
        <w:top w:val="none" w:sz="0" w:space="0" w:color="auto"/>
        <w:left w:val="none" w:sz="0" w:space="0" w:color="auto"/>
        <w:bottom w:val="none" w:sz="0" w:space="0" w:color="auto"/>
        <w:right w:val="none" w:sz="0" w:space="0" w:color="auto"/>
      </w:divBdr>
    </w:div>
    <w:div w:id="372967800">
      <w:bodyDiv w:val="1"/>
      <w:marLeft w:val="0"/>
      <w:marRight w:val="0"/>
      <w:marTop w:val="0"/>
      <w:marBottom w:val="0"/>
      <w:divBdr>
        <w:top w:val="none" w:sz="0" w:space="0" w:color="auto"/>
        <w:left w:val="none" w:sz="0" w:space="0" w:color="auto"/>
        <w:bottom w:val="none" w:sz="0" w:space="0" w:color="auto"/>
        <w:right w:val="none" w:sz="0" w:space="0" w:color="auto"/>
      </w:divBdr>
    </w:div>
    <w:div w:id="385641653">
      <w:bodyDiv w:val="1"/>
      <w:marLeft w:val="0"/>
      <w:marRight w:val="0"/>
      <w:marTop w:val="0"/>
      <w:marBottom w:val="0"/>
      <w:divBdr>
        <w:top w:val="none" w:sz="0" w:space="0" w:color="auto"/>
        <w:left w:val="none" w:sz="0" w:space="0" w:color="auto"/>
        <w:bottom w:val="none" w:sz="0" w:space="0" w:color="auto"/>
        <w:right w:val="none" w:sz="0" w:space="0" w:color="auto"/>
      </w:divBdr>
    </w:div>
    <w:div w:id="423233492">
      <w:bodyDiv w:val="1"/>
      <w:marLeft w:val="0"/>
      <w:marRight w:val="0"/>
      <w:marTop w:val="0"/>
      <w:marBottom w:val="0"/>
      <w:divBdr>
        <w:top w:val="none" w:sz="0" w:space="0" w:color="auto"/>
        <w:left w:val="none" w:sz="0" w:space="0" w:color="auto"/>
        <w:bottom w:val="none" w:sz="0" w:space="0" w:color="auto"/>
        <w:right w:val="none" w:sz="0" w:space="0" w:color="auto"/>
      </w:divBdr>
      <w:divsChild>
        <w:div w:id="899243729">
          <w:marLeft w:val="547"/>
          <w:marRight w:val="0"/>
          <w:marTop w:val="0"/>
          <w:marBottom w:val="0"/>
          <w:divBdr>
            <w:top w:val="none" w:sz="0" w:space="0" w:color="auto"/>
            <w:left w:val="none" w:sz="0" w:space="0" w:color="auto"/>
            <w:bottom w:val="none" w:sz="0" w:space="0" w:color="auto"/>
            <w:right w:val="none" w:sz="0" w:space="0" w:color="auto"/>
          </w:divBdr>
        </w:div>
      </w:divsChild>
    </w:div>
    <w:div w:id="431169443">
      <w:bodyDiv w:val="1"/>
      <w:marLeft w:val="0"/>
      <w:marRight w:val="0"/>
      <w:marTop w:val="0"/>
      <w:marBottom w:val="0"/>
      <w:divBdr>
        <w:top w:val="none" w:sz="0" w:space="0" w:color="auto"/>
        <w:left w:val="none" w:sz="0" w:space="0" w:color="auto"/>
        <w:bottom w:val="none" w:sz="0" w:space="0" w:color="auto"/>
        <w:right w:val="none" w:sz="0" w:space="0" w:color="auto"/>
      </w:divBdr>
      <w:divsChild>
        <w:div w:id="1965455419">
          <w:marLeft w:val="446"/>
          <w:marRight w:val="0"/>
          <w:marTop w:val="0"/>
          <w:marBottom w:val="0"/>
          <w:divBdr>
            <w:top w:val="none" w:sz="0" w:space="0" w:color="auto"/>
            <w:left w:val="none" w:sz="0" w:space="0" w:color="auto"/>
            <w:bottom w:val="none" w:sz="0" w:space="0" w:color="auto"/>
            <w:right w:val="none" w:sz="0" w:space="0" w:color="auto"/>
          </w:divBdr>
        </w:div>
        <w:div w:id="1130368238">
          <w:marLeft w:val="446"/>
          <w:marRight w:val="0"/>
          <w:marTop w:val="0"/>
          <w:marBottom w:val="0"/>
          <w:divBdr>
            <w:top w:val="none" w:sz="0" w:space="0" w:color="auto"/>
            <w:left w:val="none" w:sz="0" w:space="0" w:color="auto"/>
            <w:bottom w:val="none" w:sz="0" w:space="0" w:color="auto"/>
            <w:right w:val="none" w:sz="0" w:space="0" w:color="auto"/>
          </w:divBdr>
        </w:div>
      </w:divsChild>
    </w:div>
    <w:div w:id="432668768">
      <w:bodyDiv w:val="1"/>
      <w:marLeft w:val="0"/>
      <w:marRight w:val="0"/>
      <w:marTop w:val="0"/>
      <w:marBottom w:val="0"/>
      <w:divBdr>
        <w:top w:val="none" w:sz="0" w:space="0" w:color="auto"/>
        <w:left w:val="none" w:sz="0" w:space="0" w:color="auto"/>
        <w:bottom w:val="none" w:sz="0" w:space="0" w:color="auto"/>
        <w:right w:val="none" w:sz="0" w:space="0" w:color="auto"/>
      </w:divBdr>
    </w:div>
    <w:div w:id="443305617">
      <w:bodyDiv w:val="1"/>
      <w:marLeft w:val="0"/>
      <w:marRight w:val="0"/>
      <w:marTop w:val="0"/>
      <w:marBottom w:val="0"/>
      <w:divBdr>
        <w:top w:val="none" w:sz="0" w:space="0" w:color="auto"/>
        <w:left w:val="none" w:sz="0" w:space="0" w:color="auto"/>
        <w:bottom w:val="none" w:sz="0" w:space="0" w:color="auto"/>
        <w:right w:val="none" w:sz="0" w:space="0" w:color="auto"/>
      </w:divBdr>
    </w:div>
    <w:div w:id="455758215">
      <w:bodyDiv w:val="1"/>
      <w:marLeft w:val="0"/>
      <w:marRight w:val="0"/>
      <w:marTop w:val="0"/>
      <w:marBottom w:val="0"/>
      <w:divBdr>
        <w:top w:val="none" w:sz="0" w:space="0" w:color="auto"/>
        <w:left w:val="none" w:sz="0" w:space="0" w:color="auto"/>
        <w:bottom w:val="none" w:sz="0" w:space="0" w:color="auto"/>
        <w:right w:val="none" w:sz="0" w:space="0" w:color="auto"/>
      </w:divBdr>
    </w:div>
    <w:div w:id="465048841">
      <w:bodyDiv w:val="1"/>
      <w:marLeft w:val="0"/>
      <w:marRight w:val="0"/>
      <w:marTop w:val="0"/>
      <w:marBottom w:val="0"/>
      <w:divBdr>
        <w:top w:val="none" w:sz="0" w:space="0" w:color="auto"/>
        <w:left w:val="none" w:sz="0" w:space="0" w:color="auto"/>
        <w:bottom w:val="none" w:sz="0" w:space="0" w:color="auto"/>
        <w:right w:val="none" w:sz="0" w:space="0" w:color="auto"/>
      </w:divBdr>
    </w:div>
    <w:div w:id="467212039">
      <w:bodyDiv w:val="1"/>
      <w:marLeft w:val="0"/>
      <w:marRight w:val="0"/>
      <w:marTop w:val="0"/>
      <w:marBottom w:val="0"/>
      <w:divBdr>
        <w:top w:val="none" w:sz="0" w:space="0" w:color="auto"/>
        <w:left w:val="none" w:sz="0" w:space="0" w:color="auto"/>
        <w:bottom w:val="none" w:sz="0" w:space="0" w:color="auto"/>
        <w:right w:val="none" w:sz="0" w:space="0" w:color="auto"/>
      </w:divBdr>
    </w:div>
    <w:div w:id="479079940">
      <w:bodyDiv w:val="1"/>
      <w:marLeft w:val="0"/>
      <w:marRight w:val="0"/>
      <w:marTop w:val="0"/>
      <w:marBottom w:val="0"/>
      <w:divBdr>
        <w:top w:val="none" w:sz="0" w:space="0" w:color="auto"/>
        <w:left w:val="none" w:sz="0" w:space="0" w:color="auto"/>
        <w:bottom w:val="none" w:sz="0" w:space="0" w:color="auto"/>
        <w:right w:val="none" w:sz="0" w:space="0" w:color="auto"/>
      </w:divBdr>
    </w:div>
    <w:div w:id="500854642">
      <w:bodyDiv w:val="1"/>
      <w:marLeft w:val="0"/>
      <w:marRight w:val="0"/>
      <w:marTop w:val="0"/>
      <w:marBottom w:val="0"/>
      <w:divBdr>
        <w:top w:val="none" w:sz="0" w:space="0" w:color="auto"/>
        <w:left w:val="none" w:sz="0" w:space="0" w:color="auto"/>
        <w:bottom w:val="none" w:sz="0" w:space="0" w:color="auto"/>
        <w:right w:val="none" w:sz="0" w:space="0" w:color="auto"/>
      </w:divBdr>
      <w:divsChild>
        <w:div w:id="641275669">
          <w:marLeft w:val="274"/>
          <w:marRight w:val="0"/>
          <w:marTop w:val="0"/>
          <w:marBottom w:val="0"/>
          <w:divBdr>
            <w:top w:val="none" w:sz="0" w:space="0" w:color="auto"/>
            <w:left w:val="none" w:sz="0" w:space="0" w:color="auto"/>
            <w:bottom w:val="none" w:sz="0" w:space="0" w:color="auto"/>
            <w:right w:val="none" w:sz="0" w:space="0" w:color="auto"/>
          </w:divBdr>
        </w:div>
      </w:divsChild>
    </w:div>
    <w:div w:id="512499922">
      <w:bodyDiv w:val="1"/>
      <w:marLeft w:val="0"/>
      <w:marRight w:val="0"/>
      <w:marTop w:val="0"/>
      <w:marBottom w:val="0"/>
      <w:divBdr>
        <w:top w:val="none" w:sz="0" w:space="0" w:color="auto"/>
        <w:left w:val="none" w:sz="0" w:space="0" w:color="auto"/>
        <w:bottom w:val="none" w:sz="0" w:space="0" w:color="auto"/>
        <w:right w:val="none" w:sz="0" w:space="0" w:color="auto"/>
      </w:divBdr>
      <w:divsChild>
        <w:div w:id="242221359">
          <w:marLeft w:val="1166"/>
          <w:marRight w:val="0"/>
          <w:marTop w:val="0"/>
          <w:marBottom w:val="0"/>
          <w:divBdr>
            <w:top w:val="none" w:sz="0" w:space="0" w:color="auto"/>
            <w:left w:val="none" w:sz="0" w:space="0" w:color="auto"/>
            <w:bottom w:val="none" w:sz="0" w:space="0" w:color="auto"/>
            <w:right w:val="none" w:sz="0" w:space="0" w:color="auto"/>
          </w:divBdr>
        </w:div>
        <w:div w:id="506403803">
          <w:marLeft w:val="1166"/>
          <w:marRight w:val="0"/>
          <w:marTop w:val="0"/>
          <w:marBottom w:val="0"/>
          <w:divBdr>
            <w:top w:val="none" w:sz="0" w:space="0" w:color="auto"/>
            <w:left w:val="none" w:sz="0" w:space="0" w:color="auto"/>
            <w:bottom w:val="none" w:sz="0" w:space="0" w:color="auto"/>
            <w:right w:val="none" w:sz="0" w:space="0" w:color="auto"/>
          </w:divBdr>
        </w:div>
      </w:divsChild>
    </w:div>
    <w:div w:id="521431980">
      <w:bodyDiv w:val="1"/>
      <w:marLeft w:val="0"/>
      <w:marRight w:val="0"/>
      <w:marTop w:val="0"/>
      <w:marBottom w:val="0"/>
      <w:divBdr>
        <w:top w:val="none" w:sz="0" w:space="0" w:color="auto"/>
        <w:left w:val="none" w:sz="0" w:space="0" w:color="auto"/>
        <w:bottom w:val="none" w:sz="0" w:space="0" w:color="auto"/>
        <w:right w:val="none" w:sz="0" w:space="0" w:color="auto"/>
      </w:divBdr>
      <w:divsChild>
        <w:div w:id="1640183702">
          <w:marLeft w:val="360"/>
          <w:marRight w:val="0"/>
          <w:marTop w:val="0"/>
          <w:marBottom w:val="72"/>
          <w:divBdr>
            <w:top w:val="none" w:sz="0" w:space="0" w:color="auto"/>
            <w:left w:val="none" w:sz="0" w:space="0" w:color="auto"/>
            <w:bottom w:val="none" w:sz="0" w:space="0" w:color="auto"/>
            <w:right w:val="none" w:sz="0" w:space="0" w:color="auto"/>
          </w:divBdr>
        </w:div>
      </w:divsChild>
    </w:div>
    <w:div w:id="568004472">
      <w:bodyDiv w:val="1"/>
      <w:marLeft w:val="0"/>
      <w:marRight w:val="0"/>
      <w:marTop w:val="0"/>
      <w:marBottom w:val="0"/>
      <w:divBdr>
        <w:top w:val="none" w:sz="0" w:space="0" w:color="auto"/>
        <w:left w:val="none" w:sz="0" w:space="0" w:color="auto"/>
        <w:bottom w:val="none" w:sz="0" w:space="0" w:color="auto"/>
        <w:right w:val="none" w:sz="0" w:space="0" w:color="auto"/>
      </w:divBdr>
      <w:divsChild>
        <w:div w:id="1413162191">
          <w:marLeft w:val="547"/>
          <w:marRight w:val="0"/>
          <w:marTop w:val="0"/>
          <w:marBottom w:val="0"/>
          <w:divBdr>
            <w:top w:val="none" w:sz="0" w:space="0" w:color="auto"/>
            <w:left w:val="none" w:sz="0" w:space="0" w:color="auto"/>
            <w:bottom w:val="none" w:sz="0" w:space="0" w:color="auto"/>
            <w:right w:val="none" w:sz="0" w:space="0" w:color="auto"/>
          </w:divBdr>
        </w:div>
      </w:divsChild>
    </w:div>
    <w:div w:id="588347413">
      <w:bodyDiv w:val="1"/>
      <w:marLeft w:val="0"/>
      <w:marRight w:val="0"/>
      <w:marTop w:val="0"/>
      <w:marBottom w:val="0"/>
      <w:divBdr>
        <w:top w:val="none" w:sz="0" w:space="0" w:color="auto"/>
        <w:left w:val="none" w:sz="0" w:space="0" w:color="auto"/>
        <w:bottom w:val="none" w:sz="0" w:space="0" w:color="auto"/>
        <w:right w:val="none" w:sz="0" w:space="0" w:color="auto"/>
      </w:divBdr>
    </w:div>
    <w:div w:id="604187930">
      <w:bodyDiv w:val="1"/>
      <w:marLeft w:val="0"/>
      <w:marRight w:val="0"/>
      <w:marTop w:val="0"/>
      <w:marBottom w:val="0"/>
      <w:divBdr>
        <w:top w:val="none" w:sz="0" w:space="0" w:color="auto"/>
        <w:left w:val="none" w:sz="0" w:space="0" w:color="auto"/>
        <w:bottom w:val="none" w:sz="0" w:space="0" w:color="auto"/>
        <w:right w:val="none" w:sz="0" w:space="0" w:color="auto"/>
      </w:divBdr>
    </w:div>
    <w:div w:id="613171404">
      <w:bodyDiv w:val="1"/>
      <w:marLeft w:val="0"/>
      <w:marRight w:val="0"/>
      <w:marTop w:val="0"/>
      <w:marBottom w:val="0"/>
      <w:divBdr>
        <w:top w:val="none" w:sz="0" w:space="0" w:color="auto"/>
        <w:left w:val="none" w:sz="0" w:space="0" w:color="auto"/>
        <w:bottom w:val="none" w:sz="0" w:space="0" w:color="auto"/>
        <w:right w:val="none" w:sz="0" w:space="0" w:color="auto"/>
      </w:divBdr>
    </w:div>
    <w:div w:id="616449390">
      <w:bodyDiv w:val="1"/>
      <w:marLeft w:val="0"/>
      <w:marRight w:val="0"/>
      <w:marTop w:val="0"/>
      <w:marBottom w:val="0"/>
      <w:divBdr>
        <w:top w:val="none" w:sz="0" w:space="0" w:color="auto"/>
        <w:left w:val="none" w:sz="0" w:space="0" w:color="auto"/>
        <w:bottom w:val="none" w:sz="0" w:space="0" w:color="auto"/>
        <w:right w:val="none" w:sz="0" w:space="0" w:color="auto"/>
      </w:divBdr>
    </w:div>
    <w:div w:id="643513426">
      <w:bodyDiv w:val="1"/>
      <w:marLeft w:val="0"/>
      <w:marRight w:val="0"/>
      <w:marTop w:val="0"/>
      <w:marBottom w:val="0"/>
      <w:divBdr>
        <w:top w:val="none" w:sz="0" w:space="0" w:color="auto"/>
        <w:left w:val="none" w:sz="0" w:space="0" w:color="auto"/>
        <w:bottom w:val="none" w:sz="0" w:space="0" w:color="auto"/>
        <w:right w:val="none" w:sz="0" w:space="0" w:color="auto"/>
      </w:divBdr>
    </w:div>
    <w:div w:id="694235087">
      <w:bodyDiv w:val="1"/>
      <w:marLeft w:val="0"/>
      <w:marRight w:val="0"/>
      <w:marTop w:val="0"/>
      <w:marBottom w:val="0"/>
      <w:divBdr>
        <w:top w:val="none" w:sz="0" w:space="0" w:color="auto"/>
        <w:left w:val="none" w:sz="0" w:space="0" w:color="auto"/>
        <w:bottom w:val="none" w:sz="0" w:space="0" w:color="auto"/>
        <w:right w:val="none" w:sz="0" w:space="0" w:color="auto"/>
      </w:divBdr>
    </w:div>
    <w:div w:id="706686604">
      <w:bodyDiv w:val="1"/>
      <w:marLeft w:val="0"/>
      <w:marRight w:val="0"/>
      <w:marTop w:val="0"/>
      <w:marBottom w:val="0"/>
      <w:divBdr>
        <w:top w:val="none" w:sz="0" w:space="0" w:color="auto"/>
        <w:left w:val="none" w:sz="0" w:space="0" w:color="auto"/>
        <w:bottom w:val="none" w:sz="0" w:space="0" w:color="auto"/>
        <w:right w:val="none" w:sz="0" w:space="0" w:color="auto"/>
      </w:divBdr>
    </w:div>
    <w:div w:id="715593396">
      <w:bodyDiv w:val="1"/>
      <w:marLeft w:val="0"/>
      <w:marRight w:val="0"/>
      <w:marTop w:val="0"/>
      <w:marBottom w:val="0"/>
      <w:divBdr>
        <w:top w:val="none" w:sz="0" w:space="0" w:color="auto"/>
        <w:left w:val="none" w:sz="0" w:space="0" w:color="auto"/>
        <w:bottom w:val="none" w:sz="0" w:space="0" w:color="auto"/>
        <w:right w:val="none" w:sz="0" w:space="0" w:color="auto"/>
      </w:divBdr>
      <w:divsChild>
        <w:div w:id="535654112">
          <w:marLeft w:val="1166"/>
          <w:marRight w:val="0"/>
          <w:marTop w:val="0"/>
          <w:marBottom w:val="0"/>
          <w:divBdr>
            <w:top w:val="none" w:sz="0" w:space="0" w:color="auto"/>
            <w:left w:val="none" w:sz="0" w:space="0" w:color="auto"/>
            <w:bottom w:val="none" w:sz="0" w:space="0" w:color="auto"/>
            <w:right w:val="none" w:sz="0" w:space="0" w:color="auto"/>
          </w:divBdr>
        </w:div>
        <w:div w:id="689330914">
          <w:marLeft w:val="1166"/>
          <w:marRight w:val="0"/>
          <w:marTop w:val="0"/>
          <w:marBottom w:val="0"/>
          <w:divBdr>
            <w:top w:val="none" w:sz="0" w:space="0" w:color="auto"/>
            <w:left w:val="none" w:sz="0" w:space="0" w:color="auto"/>
            <w:bottom w:val="none" w:sz="0" w:space="0" w:color="auto"/>
            <w:right w:val="none" w:sz="0" w:space="0" w:color="auto"/>
          </w:divBdr>
        </w:div>
        <w:div w:id="1285503298">
          <w:marLeft w:val="1166"/>
          <w:marRight w:val="0"/>
          <w:marTop w:val="0"/>
          <w:marBottom w:val="0"/>
          <w:divBdr>
            <w:top w:val="none" w:sz="0" w:space="0" w:color="auto"/>
            <w:left w:val="none" w:sz="0" w:space="0" w:color="auto"/>
            <w:bottom w:val="none" w:sz="0" w:space="0" w:color="auto"/>
            <w:right w:val="none" w:sz="0" w:space="0" w:color="auto"/>
          </w:divBdr>
        </w:div>
      </w:divsChild>
    </w:div>
    <w:div w:id="735471851">
      <w:bodyDiv w:val="1"/>
      <w:marLeft w:val="0"/>
      <w:marRight w:val="0"/>
      <w:marTop w:val="0"/>
      <w:marBottom w:val="0"/>
      <w:divBdr>
        <w:top w:val="none" w:sz="0" w:space="0" w:color="auto"/>
        <w:left w:val="none" w:sz="0" w:space="0" w:color="auto"/>
        <w:bottom w:val="none" w:sz="0" w:space="0" w:color="auto"/>
        <w:right w:val="none" w:sz="0" w:space="0" w:color="auto"/>
      </w:divBdr>
      <w:divsChild>
        <w:div w:id="87388970">
          <w:marLeft w:val="547"/>
          <w:marRight w:val="0"/>
          <w:marTop w:val="0"/>
          <w:marBottom w:val="0"/>
          <w:divBdr>
            <w:top w:val="none" w:sz="0" w:space="0" w:color="auto"/>
            <w:left w:val="none" w:sz="0" w:space="0" w:color="auto"/>
            <w:bottom w:val="none" w:sz="0" w:space="0" w:color="auto"/>
            <w:right w:val="none" w:sz="0" w:space="0" w:color="auto"/>
          </w:divBdr>
        </w:div>
      </w:divsChild>
    </w:div>
    <w:div w:id="774251772">
      <w:bodyDiv w:val="1"/>
      <w:marLeft w:val="0"/>
      <w:marRight w:val="0"/>
      <w:marTop w:val="0"/>
      <w:marBottom w:val="0"/>
      <w:divBdr>
        <w:top w:val="none" w:sz="0" w:space="0" w:color="auto"/>
        <w:left w:val="none" w:sz="0" w:space="0" w:color="auto"/>
        <w:bottom w:val="none" w:sz="0" w:space="0" w:color="auto"/>
        <w:right w:val="none" w:sz="0" w:space="0" w:color="auto"/>
      </w:divBdr>
    </w:div>
    <w:div w:id="795375606">
      <w:bodyDiv w:val="1"/>
      <w:marLeft w:val="0"/>
      <w:marRight w:val="0"/>
      <w:marTop w:val="0"/>
      <w:marBottom w:val="0"/>
      <w:divBdr>
        <w:top w:val="none" w:sz="0" w:space="0" w:color="auto"/>
        <w:left w:val="none" w:sz="0" w:space="0" w:color="auto"/>
        <w:bottom w:val="none" w:sz="0" w:space="0" w:color="auto"/>
        <w:right w:val="none" w:sz="0" w:space="0" w:color="auto"/>
      </w:divBdr>
      <w:divsChild>
        <w:div w:id="2142575799">
          <w:marLeft w:val="446"/>
          <w:marRight w:val="0"/>
          <w:marTop w:val="0"/>
          <w:marBottom w:val="0"/>
          <w:divBdr>
            <w:top w:val="none" w:sz="0" w:space="0" w:color="auto"/>
            <w:left w:val="none" w:sz="0" w:space="0" w:color="auto"/>
            <w:bottom w:val="none" w:sz="0" w:space="0" w:color="auto"/>
            <w:right w:val="none" w:sz="0" w:space="0" w:color="auto"/>
          </w:divBdr>
        </w:div>
      </w:divsChild>
    </w:div>
    <w:div w:id="797914896">
      <w:bodyDiv w:val="1"/>
      <w:marLeft w:val="0"/>
      <w:marRight w:val="0"/>
      <w:marTop w:val="0"/>
      <w:marBottom w:val="0"/>
      <w:divBdr>
        <w:top w:val="none" w:sz="0" w:space="0" w:color="auto"/>
        <w:left w:val="none" w:sz="0" w:space="0" w:color="auto"/>
        <w:bottom w:val="none" w:sz="0" w:space="0" w:color="auto"/>
        <w:right w:val="none" w:sz="0" w:space="0" w:color="auto"/>
      </w:divBdr>
    </w:div>
    <w:div w:id="810050650">
      <w:bodyDiv w:val="1"/>
      <w:marLeft w:val="0"/>
      <w:marRight w:val="0"/>
      <w:marTop w:val="0"/>
      <w:marBottom w:val="0"/>
      <w:divBdr>
        <w:top w:val="none" w:sz="0" w:space="0" w:color="auto"/>
        <w:left w:val="none" w:sz="0" w:space="0" w:color="auto"/>
        <w:bottom w:val="none" w:sz="0" w:space="0" w:color="auto"/>
        <w:right w:val="none" w:sz="0" w:space="0" w:color="auto"/>
      </w:divBdr>
    </w:div>
    <w:div w:id="811797725">
      <w:bodyDiv w:val="1"/>
      <w:marLeft w:val="0"/>
      <w:marRight w:val="0"/>
      <w:marTop w:val="0"/>
      <w:marBottom w:val="0"/>
      <w:divBdr>
        <w:top w:val="none" w:sz="0" w:space="0" w:color="auto"/>
        <w:left w:val="none" w:sz="0" w:space="0" w:color="auto"/>
        <w:bottom w:val="none" w:sz="0" w:space="0" w:color="auto"/>
        <w:right w:val="none" w:sz="0" w:space="0" w:color="auto"/>
      </w:divBdr>
      <w:divsChild>
        <w:div w:id="77794856">
          <w:marLeft w:val="547"/>
          <w:marRight w:val="0"/>
          <w:marTop w:val="0"/>
          <w:marBottom w:val="0"/>
          <w:divBdr>
            <w:top w:val="none" w:sz="0" w:space="0" w:color="auto"/>
            <w:left w:val="none" w:sz="0" w:space="0" w:color="auto"/>
            <w:bottom w:val="none" w:sz="0" w:space="0" w:color="auto"/>
            <w:right w:val="none" w:sz="0" w:space="0" w:color="auto"/>
          </w:divBdr>
        </w:div>
      </w:divsChild>
    </w:div>
    <w:div w:id="831524176">
      <w:bodyDiv w:val="1"/>
      <w:marLeft w:val="0"/>
      <w:marRight w:val="0"/>
      <w:marTop w:val="0"/>
      <w:marBottom w:val="0"/>
      <w:divBdr>
        <w:top w:val="none" w:sz="0" w:space="0" w:color="auto"/>
        <w:left w:val="none" w:sz="0" w:space="0" w:color="auto"/>
        <w:bottom w:val="none" w:sz="0" w:space="0" w:color="auto"/>
        <w:right w:val="none" w:sz="0" w:space="0" w:color="auto"/>
      </w:divBdr>
    </w:div>
    <w:div w:id="832768104">
      <w:bodyDiv w:val="1"/>
      <w:marLeft w:val="0"/>
      <w:marRight w:val="0"/>
      <w:marTop w:val="0"/>
      <w:marBottom w:val="0"/>
      <w:divBdr>
        <w:top w:val="none" w:sz="0" w:space="0" w:color="auto"/>
        <w:left w:val="none" w:sz="0" w:space="0" w:color="auto"/>
        <w:bottom w:val="none" w:sz="0" w:space="0" w:color="auto"/>
        <w:right w:val="none" w:sz="0" w:space="0" w:color="auto"/>
      </w:divBdr>
      <w:divsChild>
        <w:div w:id="1047417850">
          <w:marLeft w:val="547"/>
          <w:marRight w:val="0"/>
          <w:marTop w:val="0"/>
          <w:marBottom w:val="0"/>
          <w:divBdr>
            <w:top w:val="none" w:sz="0" w:space="0" w:color="auto"/>
            <w:left w:val="none" w:sz="0" w:space="0" w:color="auto"/>
            <w:bottom w:val="none" w:sz="0" w:space="0" w:color="auto"/>
            <w:right w:val="none" w:sz="0" w:space="0" w:color="auto"/>
          </w:divBdr>
        </w:div>
      </w:divsChild>
    </w:div>
    <w:div w:id="841776777">
      <w:bodyDiv w:val="1"/>
      <w:marLeft w:val="0"/>
      <w:marRight w:val="0"/>
      <w:marTop w:val="0"/>
      <w:marBottom w:val="0"/>
      <w:divBdr>
        <w:top w:val="none" w:sz="0" w:space="0" w:color="auto"/>
        <w:left w:val="none" w:sz="0" w:space="0" w:color="auto"/>
        <w:bottom w:val="none" w:sz="0" w:space="0" w:color="auto"/>
        <w:right w:val="none" w:sz="0" w:space="0" w:color="auto"/>
      </w:divBdr>
    </w:div>
    <w:div w:id="849412703">
      <w:bodyDiv w:val="1"/>
      <w:marLeft w:val="0"/>
      <w:marRight w:val="0"/>
      <w:marTop w:val="0"/>
      <w:marBottom w:val="0"/>
      <w:divBdr>
        <w:top w:val="none" w:sz="0" w:space="0" w:color="auto"/>
        <w:left w:val="none" w:sz="0" w:space="0" w:color="auto"/>
        <w:bottom w:val="none" w:sz="0" w:space="0" w:color="auto"/>
        <w:right w:val="none" w:sz="0" w:space="0" w:color="auto"/>
      </w:divBdr>
    </w:div>
    <w:div w:id="862936340">
      <w:bodyDiv w:val="1"/>
      <w:marLeft w:val="0"/>
      <w:marRight w:val="0"/>
      <w:marTop w:val="0"/>
      <w:marBottom w:val="0"/>
      <w:divBdr>
        <w:top w:val="none" w:sz="0" w:space="0" w:color="auto"/>
        <w:left w:val="none" w:sz="0" w:space="0" w:color="auto"/>
        <w:bottom w:val="none" w:sz="0" w:space="0" w:color="auto"/>
        <w:right w:val="none" w:sz="0" w:space="0" w:color="auto"/>
      </w:divBdr>
    </w:div>
    <w:div w:id="864102564">
      <w:bodyDiv w:val="1"/>
      <w:marLeft w:val="0"/>
      <w:marRight w:val="0"/>
      <w:marTop w:val="0"/>
      <w:marBottom w:val="0"/>
      <w:divBdr>
        <w:top w:val="none" w:sz="0" w:space="0" w:color="auto"/>
        <w:left w:val="none" w:sz="0" w:space="0" w:color="auto"/>
        <w:bottom w:val="none" w:sz="0" w:space="0" w:color="auto"/>
        <w:right w:val="none" w:sz="0" w:space="0" w:color="auto"/>
      </w:divBdr>
    </w:div>
    <w:div w:id="875888663">
      <w:bodyDiv w:val="1"/>
      <w:marLeft w:val="0"/>
      <w:marRight w:val="0"/>
      <w:marTop w:val="0"/>
      <w:marBottom w:val="0"/>
      <w:divBdr>
        <w:top w:val="none" w:sz="0" w:space="0" w:color="auto"/>
        <w:left w:val="none" w:sz="0" w:space="0" w:color="auto"/>
        <w:bottom w:val="none" w:sz="0" w:space="0" w:color="auto"/>
        <w:right w:val="none" w:sz="0" w:space="0" w:color="auto"/>
      </w:divBdr>
    </w:div>
    <w:div w:id="879558775">
      <w:bodyDiv w:val="1"/>
      <w:marLeft w:val="0"/>
      <w:marRight w:val="0"/>
      <w:marTop w:val="0"/>
      <w:marBottom w:val="0"/>
      <w:divBdr>
        <w:top w:val="none" w:sz="0" w:space="0" w:color="auto"/>
        <w:left w:val="none" w:sz="0" w:space="0" w:color="auto"/>
        <w:bottom w:val="none" w:sz="0" w:space="0" w:color="auto"/>
        <w:right w:val="none" w:sz="0" w:space="0" w:color="auto"/>
      </w:divBdr>
      <w:divsChild>
        <w:div w:id="648362223">
          <w:marLeft w:val="360"/>
          <w:marRight w:val="0"/>
          <w:marTop w:val="0"/>
          <w:marBottom w:val="72"/>
          <w:divBdr>
            <w:top w:val="none" w:sz="0" w:space="0" w:color="auto"/>
            <w:left w:val="none" w:sz="0" w:space="0" w:color="auto"/>
            <w:bottom w:val="none" w:sz="0" w:space="0" w:color="auto"/>
            <w:right w:val="none" w:sz="0" w:space="0" w:color="auto"/>
          </w:divBdr>
        </w:div>
      </w:divsChild>
    </w:div>
    <w:div w:id="883832572">
      <w:bodyDiv w:val="1"/>
      <w:marLeft w:val="0"/>
      <w:marRight w:val="0"/>
      <w:marTop w:val="0"/>
      <w:marBottom w:val="0"/>
      <w:divBdr>
        <w:top w:val="none" w:sz="0" w:space="0" w:color="auto"/>
        <w:left w:val="none" w:sz="0" w:space="0" w:color="auto"/>
        <w:bottom w:val="none" w:sz="0" w:space="0" w:color="auto"/>
        <w:right w:val="none" w:sz="0" w:space="0" w:color="auto"/>
      </w:divBdr>
    </w:div>
    <w:div w:id="892083806">
      <w:bodyDiv w:val="1"/>
      <w:marLeft w:val="0"/>
      <w:marRight w:val="0"/>
      <w:marTop w:val="0"/>
      <w:marBottom w:val="0"/>
      <w:divBdr>
        <w:top w:val="none" w:sz="0" w:space="0" w:color="auto"/>
        <w:left w:val="none" w:sz="0" w:space="0" w:color="auto"/>
        <w:bottom w:val="none" w:sz="0" w:space="0" w:color="auto"/>
        <w:right w:val="none" w:sz="0" w:space="0" w:color="auto"/>
      </w:divBdr>
      <w:divsChild>
        <w:div w:id="1231621176">
          <w:marLeft w:val="547"/>
          <w:marRight w:val="475"/>
          <w:marTop w:val="120"/>
          <w:marBottom w:val="0"/>
          <w:divBdr>
            <w:top w:val="none" w:sz="0" w:space="0" w:color="auto"/>
            <w:left w:val="none" w:sz="0" w:space="0" w:color="auto"/>
            <w:bottom w:val="none" w:sz="0" w:space="0" w:color="auto"/>
            <w:right w:val="none" w:sz="0" w:space="0" w:color="auto"/>
          </w:divBdr>
        </w:div>
        <w:div w:id="1970745972">
          <w:marLeft w:val="547"/>
          <w:marRight w:val="475"/>
          <w:marTop w:val="120"/>
          <w:marBottom w:val="0"/>
          <w:divBdr>
            <w:top w:val="none" w:sz="0" w:space="0" w:color="auto"/>
            <w:left w:val="none" w:sz="0" w:space="0" w:color="auto"/>
            <w:bottom w:val="none" w:sz="0" w:space="0" w:color="auto"/>
            <w:right w:val="none" w:sz="0" w:space="0" w:color="auto"/>
          </w:divBdr>
        </w:div>
      </w:divsChild>
    </w:div>
    <w:div w:id="896479318">
      <w:bodyDiv w:val="1"/>
      <w:marLeft w:val="0"/>
      <w:marRight w:val="0"/>
      <w:marTop w:val="0"/>
      <w:marBottom w:val="0"/>
      <w:divBdr>
        <w:top w:val="none" w:sz="0" w:space="0" w:color="auto"/>
        <w:left w:val="none" w:sz="0" w:space="0" w:color="auto"/>
        <w:bottom w:val="none" w:sz="0" w:space="0" w:color="auto"/>
        <w:right w:val="none" w:sz="0" w:space="0" w:color="auto"/>
      </w:divBdr>
      <w:divsChild>
        <w:div w:id="407462273">
          <w:marLeft w:val="547"/>
          <w:marRight w:val="0"/>
          <w:marTop w:val="0"/>
          <w:marBottom w:val="0"/>
          <w:divBdr>
            <w:top w:val="none" w:sz="0" w:space="0" w:color="auto"/>
            <w:left w:val="none" w:sz="0" w:space="0" w:color="auto"/>
            <w:bottom w:val="none" w:sz="0" w:space="0" w:color="auto"/>
            <w:right w:val="none" w:sz="0" w:space="0" w:color="auto"/>
          </w:divBdr>
        </w:div>
      </w:divsChild>
    </w:div>
    <w:div w:id="901453765">
      <w:bodyDiv w:val="1"/>
      <w:marLeft w:val="0"/>
      <w:marRight w:val="0"/>
      <w:marTop w:val="0"/>
      <w:marBottom w:val="0"/>
      <w:divBdr>
        <w:top w:val="none" w:sz="0" w:space="0" w:color="auto"/>
        <w:left w:val="none" w:sz="0" w:space="0" w:color="auto"/>
        <w:bottom w:val="none" w:sz="0" w:space="0" w:color="auto"/>
        <w:right w:val="none" w:sz="0" w:space="0" w:color="auto"/>
      </w:divBdr>
    </w:div>
    <w:div w:id="902527730">
      <w:bodyDiv w:val="1"/>
      <w:marLeft w:val="0"/>
      <w:marRight w:val="0"/>
      <w:marTop w:val="0"/>
      <w:marBottom w:val="0"/>
      <w:divBdr>
        <w:top w:val="none" w:sz="0" w:space="0" w:color="auto"/>
        <w:left w:val="none" w:sz="0" w:space="0" w:color="auto"/>
        <w:bottom w:val="none" w:sz="0" w:space="0" w:color="auto"/>
        <w:right w:val="none" w:sz="0" w:space="0" w:color="auto"/>
      </w:divBdr>
    </w:div>
    <w:div w:id="907111413">
      <w:bodyDiv w:val="1"/>
      <w:marLeft w:val="0"/>
      <w:marRight w:val="0"/>
      <w:marTop w:val="0"/>
      <w:marBottom w:val="0"/>
      <w:divBdr>
        <w:top w:val="none" w:sz="0" w:space="0" w:color="auto"/>
        <w:left w:val="none" w:sz="0" w:space="0" w:color="auto"/>
        <w:bottom w:val="none" w:sz="0" w:space="0" w:color="auto"/>
        <w:right w:val="none" w:sz="0" w:space="0" w:color="auto"/>
      </w:divBdr>
    </w:div>
    <w:div w:id="917590234">
      <w:bodyDiv w:val="1"/>
      <w:marLeft w:val="0"/>
      <w:marRight w:val="0"/>
      <w:marTop w:val="0"/>
      <w:marBottom w:val="0"/>
      <w:divBdr>
        <w:top w:val="none" w:sz="0" w:space="0" w:color="auto"/>
        <w:left w:val="none" w:sz="0" w:space="0" w:color="auto"/>
        <w:bottom w:val="none" w:sz="0" w:space="0" w:color="auto"/>
        <w:right w:val="none" w:sz="0" w:space="0" w:color="auto"/>
      </w:divBdr>
    </w:div>
    <w:div w:id="918756092">
      <w:bodyDiv w:val="1"/>
      <w:marLeft w:val="0"/>
      <w:marRight w:val="0"/>
      <w:marTop w:val="0"/>
      <w:marBottom w:val="0"/>
      <w:divBdr>
        <w:top w:val="none" w:sz="0" w:space="0" w:color="auto"/>
        <w:left w:val="none" w:sz="0" w:space="0" w:color="auto"/>
        <w:bottom w:val="none" w:sz="0" w:space="0" w:color="auto"/>
        <w:right w:val="none" w:sz="0" w:space="0" w:color="auto"/>
      </w:divBdr>
      <w:divsChild>
        <w:div w:id="1704357851">
          <w:marLeft w:val="446"/>
          <w:marRight w:val="0"/>
          <w:marTop w:val="0"/>
          <w:marBottom w:val="0"/>
          <w:divBdr>
            <w:top w:val="none" w:sz="0" w:space="0" w:color="auto"/>
            <w:left w:val="none" w:sz="0" w:space="0" w:color="auto"/>
            <w:bottom w:val="none" w:sz="0" w:space="0" w:color="auto"/>
            <w:right w:val="none" w:sz="0" w:space="0" w:color="auto"/>
          </w:divBdr>
        </w:div>
        <w:div w:id="1998683233">
          <w:marLeft w:val="446"/>
          <w:marRight w:val="0"/>
          <w:marTop w:val="0"/>
          <w:marBottom w:val="0"/>
          <w:divBdr>
            <w:top w:val="none" w:sz="0" w:space="0" w:color="auto"/>
            <w:left w:val="none" w:sz="0" w:space="0" w:color="auto"/>
            <w:bottom w:val="none" w:sz="0" w:space="0" w:color="auto"/>
            <w:right w:val="none" w:sz="0" w:space="0" w:color="auto"/>
          </w:divBdr>
        </w:div>
        <w:div w:id="1138304784">
          <w:marLeft w:val="446"/>
          <w:marRight w:val="0"/>
          <w:marTop w:val="0"/>
          <w:marBottom w:val="0"/>
          <w:divBdr>
            <w:top w:val="none" w:sz="0" w:space="0" w:color="auto"/>
            <w:left w:val="none" w:sz="0" w:space="0" w:color="auto"/>
            <w:bottom w:val="none" w:sz="0" w:space="0" w:color="auto"/>
            <w:right w:val="none" w:sz="0" w:space="0" w:color="auto"/>
          </w:divBdr>
        </w:div>
      </w:divsChild>
    </w:div>
    <w:div w:id="930432554">
      <w:bodyDiv w:val="1"/>
      <w:marLeft w:val="0"/>
      <w:marRight w:val="0"/>
      <w:marTop w:val="0"/>
      <w:marBottom w:val="0"/>
      <w:divBdr>
        <w:top w:val="none" w:sz="0" w:space="0" w:color="auto"/>
        <w:left w:val="none" w:sz="0" w:space="0" w:color="auto"/>
        <w:bottom w:val="none" w:sz="0" w:space="0" w:color="auto"/>
        <w:right w:val="none" w:sz="0" w:space="0" w:color="auto"/>
      </w:divBdr>
    </w:div>
    <w:div w:id="943078536">
      <w:bodyDiv w:val="1"/>
      <w:marLeft w:val="0"/>
      <w:marRight w:val="0"/>
      <w:marTop w:val="0"/>
      <w:marBottom w:val="0"/>
      <w:divBdr>
        <w:top w:val="none" w:sz="0" w:space="0" w:color="auto"/>
        <w:left w:val="none" w:sz="0" w:space="0" w:color="auto"/>
        <w:bottom w:val="none" w:sz="0" w:space="0" w:color="auto"/>
        <w:right w:val="none" w:sz="0" w:space="0" w:color="auto"/>
      </w:divBdr>
    </w:div>
    <w:div w:id="997077791">
      <w:bodyDiv w:val="1"/>
      <w:marLeft w:val="0"/>
      <w:marRight w:val="0"/>
      <w:marTop w:val="0"/>
      <w:marBottom w:val="0"/>
      <w:divBdr>
        <w:top w:val="none" w:sz="0" w:space="0" w:color="auto"/>
        <w:left w:val="none" w:sz="0" w:space="0" w:color="auto"/>
        <w:bottom w:val="none" w:sz="0" w:space="0" w:color="auto"/>
        <w:right w:val="none" w:sz="0" w:space="0" w:color="auto"/>
      </w:divBdr>
      <w:divsChild>
        <w:div w:id="1097680749">
          <w:marLeft w:val="360"/>
          <w:marRight w:val="0"/>
          <w:marTop w:val="0"/>
          <w:marBottom w:val="0"/>
          <w:divBdr>
            <w:top w:val="none" w:sz="0" w:space="0" w:color="auto"/>
            <w:left w:val="none" w:sz="0" w:space="0" w:color="auto"/>
            <w:bottom w:val="none" w:sz="0" w:space="0" w:color="auto"/>
            <w:right w:val="none" w:sz="0" w:space="0" w:color="auto"/>
          </w:divBdr>
        </w:div>
      </w:divsChild>
    </w:div>
    <w:div w:id="1019625317">
      <w:bodyDiv w:val="1"/>
      <w:marLeft w:val="0"/>
      <w:marRight w:val="0"/>
      <w:marTop w:val="0"/>
      <w:marBottom w:val="0"/>
      <w:divBdr>
        <w:top w:val="none" w:sz="0" w:space="0" w:color="auto"/>
        <w:left w:val="none" w:sz="0" w:space="0" w:color="auto"/>
        <w:bottom w:val="none" w:sz="0" w:space="0" w:color="auto"/>
        <w:right w:val="none" w:sz="0" w:space="0" w:color="auto"/>
      </w:divBdr>
    </w:div>
    <w:div w:id="1042557503">
      <w:bodyDiv w:val="1"/>
      <w:marLeft w:val="0"/>
      <w:marRight w:val="0"/>
      <w:marTop w:val="0"/>
      <w:marBottom w:val="0"/>
      <w:divBdr>
        <w:top w:val="none" w:sz="0" w:space="0" w:color="auto"/>
        <w:left w:val="none" w:sz="0" w:space="0" w:color="auto"/>
        <w:bottom w:val="none" w:sz="0" w:space="0" w:color="auto"/>
        <w:right w:val="none" w:sz="0" w:space="0" w:color="auto"/>
      </w:divBdr>
    </w:div>
    <w:div w:id="1045443541">
      <w:bodyDiv w:val="1"/>
      <w:marLeft w:val="0"/>
      <w:marRight w:val="0"/>
      <w:marTop w:val="0"/>
      <w:marBottom w:val="0"/>
      <w:divBdr>
        <w:top w:val="none" w:sz="0" w:space="0" w:color="auto"/>
        <w:left w:val="none" w:sz="0" w:space="0" w:color="auto"/>
        <w:bottom w:val="none" w:sz="0" w:space="0" w:color="auto"/>
        <w:right w:val="none" w:sz="0" w:space="0" w:color="auto"/>
      </w:divBdr>
    </w:div>
    <w:div w:id="1045761911">
      <w:bodyDiv w:val="1"/>
      <w:marLeft w:val="0"/>
      <w:marRight w:val="0"/>
      <w:marTop w:val="0"/>
      <w:marBottom w:val="0"/>
      <w:divBdr>
        <w:top w:val="none" w:sz="0" w:space="0" w:color="auto"/>
        <w:left w:val="none" w:sz="0" w:space="0" w:color="auto"/>
        <w:bottom w:val="none" w:sz="0" w:space="0" w:color="auto"/>
        <w:right w:val="none" w:sz="0" w:space="0" w:color="auto"/>
      </w:divBdr>
    </w:div>
    <w:div w:id="1051463433">
      <w:bodyDiv w:val="1"/>
      <w:marLeft w:val="0"/>
      <w:marRight w:val="0"/>
      <w:marTop w:val="0"/>
      <w:marBottom w:val="0"/>
      <w:divBdr>
        <w:top w:val="none" w:sz="0" w:space="0" w:color="auto"/>
        <w:left w:val="none" w:sz="0" w:space="0" w:color="auto"/>
        <w:bottom w:val="none" w:sz="0" w:space="0" w:color="auto"/>
        <w:right w:val="none" w:sz="0" w:space="0" w:color="auto"/>
      </w:divBdr>
    </w:div>
    <w:div w:id="1058938234">
      <w:bodyDiv w:val="1"/>
      <w:marLeft w:val="0"/>
      <w:marRight w:val="0"/>
      <w:marTop w:val="0"/>
      <w:marBottom w:val="0"/>
      <w:divBdr>
        <w:top w:val="none" w:sz="0" w:space="0" w:color="auto"/>
        <w:left w:val="none" w:sz="0" w:space="0" w:color="auto"/>
        <w:bottom w:val="none" w:sz="0" w:space="0" w:color="auto"/>
        <w:right w:val="none" w:sz="0" w:space="0" w:color="auto"/>
      </w:divBdr>
    </w:div>
    <w:div w:id="1061443813">
      <w:bodyDiv w:val="1"/>
      <w:marLeft w:val="0"/>
      <w:marRight w:val="0"/>
      <w:marTop w:val="0"/>
      <w:marBottom w:val="0"/>
      <w:divBdr>
        <w:top w:val="none" w:sz="0" w:space="0" w:color="auto"/>
        <w:left w:val="none" w:sz="0" w:space="0" w:color="auto"/>
        <w:bottom w:val="none" w:sz="0" w:space="0" w:color="auto"/>
        <w:right w:val="none" w:sz="0" w:space="0" w:color="auto"/>
      </w:divBdr>
      <w:divsChild>
        <w:div w:id="1599749840">
          <w:marLeft w:val="446"/>
          <w:marRight w:val="0"/>
          <w:marTop w:val="0"/>
          <w:marBottom w:val="0"/>
          <w:divBdr>
            <w:top w:val="none" w:sz="0" w:space="0" w:color="auto"/>
            <w:left w:val="none" w:sz="0" w:space="0" w:color="auto"/>
            <w:bottom w:val="none" w:sz="0" w:space="0" w:color="auto"/>
            <w:right w:val="none" w:sz="0" w:space="0" w:color="auto"/>
          </w:divBdr>
        </w:div>
      </w:divsChild>
    </w:div>
    <w:div w:id="1079788524">
      <w:bodyDiv w:val="1"/>
      <w:marLeft w:val="0"/>
      <w:marRight w:val="0"/>
      <w:marTop w:val="0"/>
      <w:marBottom w:val="0"/>
      <w:divBdr>
        <w:top w:val="none" w:sz="0" w:space="0" w:color="auto"/>
        <w:left w:val="none" w:sz="0" w:space="0" w:color="auto"/>
        <w:bottom w:val="none" w:sz="0" w:space="0" w:color="auto"/>
        <w:right w:val="none" w:sz="0" w:space="0" w:color="auto"/>
      </w:divBdr>
      <w:divsChild>
        <w:div w:id="1943144710">
          <w:marLeft w:val="446"/>
          <w:marRight w:val="0"/>
          <w:marTop w:val="0"/>
          <w:marBottom w:val="0"/>
          <w:divBdr>
            <w:top w:val="none" w:sz="0" w:space="0" w:color="auto"/>
            <w:left w:val="none" w:sz="0" w:space="0" w:color="auto"/>
            <w:bottom w:val="none" w:sz="0" w:space="0" w:color="auto"/>
            <w:right w:val="none" w:sz="0" w:space="0" w:color="auto"/>
          </w:divBdr>
        </w:div>
      </w:divsChild>
    </w:div>
    <w:div w:id="1094203406">
      <w:bodyDiv w:val="1"/>
      <w:marLeft w:val="0"/>
      <w:marRight w:val="0"/>
      <w:marTop w:val="0"/>
      <w:marBottom w:val="0"/>
      <w:divBdr>
        <w:top w:val="none" w:sz="0" w:space="0" w:color="auto"/>
        <w:left w:val="none" w:sz="0" w:space="0" w:color="auto"/>
        <w:bottom w:val="none" w:sz="0" w:space="0" w:color="auto"/>
        <w:right w:val="none" w:sz="0" w:space="0" w:color="auto"/>
      </w:divBdr>
    </w:div>
    <w:div w:id="1094982102">
      <w:bodyDiv w:val="1"/>
      <w:marLeft w:val="0"/>
      <w:marRight w:val="0"/>
      <w:marTop w:val="0"/>
      <w:marBottom w:val="0"/>
      <w:divBdr>
        <w:top w:val="none" w:sz="0" w:space="0" w:color="auto"/>
        <w:left w:val="none" w:sz="0" w:space="0" w:color="auto"/>
        <w:bottom w:val="none" w:sz="0" w:space="0" w:color="auto"/>
        <w:right w:val="none" w:sz="0" w:space="0" w:color="auto"/>
      </w:divBdr>
    </w:div>
    <w:div w:id="1136754583">
      <w:bodyDiv w:val="1"/>
      <w:marLeft w:val="0"/>
      <w:marRight w:val="0"/>
      <w:marTop w:val="0"/>
      <w:marBottom w:val="0"/>
      <w:divBdr>
        <w:top w:val="none" w:sz="0" w:space="0" w:color="auto"/>
        <w:left w:val="none" w:sz="0" w:space="0" w:color="auto"/>
        <w:bottom w:val="none" w:sz="0" w:space="0" w:color="auto"/>
        <w:right w:val="none" w:sz="0" w:space="0" w:color="auto"/>
      </w:divBdr>
    </w:div>
    <w:div w:id="1138569928">
      <w:bodyDiv w:val="1"/>
      <w:marLeft w:val="0"/>
      <w:marRight w:val="0"/>
      <w:marTop w:val="0"/>
      <w:marBottom w:val="0"/>
      <w:divBdr>
        <w:top w:val="none" w:sz="0" w:space="0" w:color="auto"/>
        <w:left w:val="none" w:sz="0" w:space="0" w:color="auto"/>
        <w:bottom w:val="none" w:sz="0" w:space="0" w:color="auto"/>
        <w:right w:val="none" w:sz="0" w:space="0" w:color="auto"/>
      </w:divBdr>
      <w:divsChild>
        <w:div w:id="710039787">
          <w:marLeft w:val="547"/>
          <w:marRight w:val="475"/>
          <w:marTop w:val="0"/>
          <w:marBottom w:val="240"/>
          <w:divBdr>
            <w:top w:val="none" w:sz="0" w:space="0" w:color="auto"/>
            <w:left w:val="none" w:sz="0" w:space="0" w:color="auto"/>
            <w:bottom w:val="none" w:sz="0" w:space="0" w:color="auto"/>
            <w:right w:val="none" w:sz="0" w:space="0" w:color="auto"/>
          </w:divBdr>
        </w:div>
        <w:div w:id="929387585">
          <w:marLeft w:val="547"/>
          <w:marRight w:val="475"/>
          <w:marTop w:val="0"/>
          <w:marBottom w:val="240"/>
          <w:divBdr>
            <w:top w:val="none" w:sz="0" w:space="0" w:color="auto"/>
            <w:left w:val="none" w:sz="0" w:space="0" w:color="auto"/>
            <w:bottom w:val="none" w:sz="0" w:space="0" w:color="auto"/>
            <w:right w:val="none" w:sz="0" w:space="0" w:color="auto"/>
          </w:divBdr>
        </w:div>
        <w:div w:id="1629050252">
          <w:marLeft w:val="547"/>
          <w:marRight w:val="475"/>
          <w:marTop w:val="0"/>
          <w:marBottom w:val="240"/>
          <w:divBdr>
            <w:top w:val="none" w:sz="0" w:space="0" w:color="auto"/>
            <w:left w:val="none" w:sz="0" w:space="0" w:color="auto"/>
            <w:bottom w:val="none" w:sz="0" w:space="0" w:color="auto"/>
            <w:right w:val="none" w:sz="0" w:space="0" w:color="auto"/>
          </w:divBdr>
        </w:div>
        <w:div w:id="1850868900">
          <w:marLeft w:val="547"/>
          <w:marRight w:val="475"/>
          <w:marTop w:val="0"/>
          <w:marBottom w:val="240"/>
          <w:divBdr>
            <w:top w:val="none" w:sz="0" w:space="0" w:color="auto"/>
            <w:left w:val="none" w:sz="0" w:space="0" w:color="auto"/>
            <w:bottom w:val="none" w:sz="0" w:space="0" w:color="auto"/>
            <w:right w:val="none" w:sz="0" w:space="0" w:color="auto"/>
          </w:divBdr>
        </w:div>
      </w:divsChild>
    </w:div>
    <w:div w:id="1159883774">
      <w:bodyDiv w:val="1"/>
      <w:marLeft w:val="0"/>
      <w:marRight w:val="0"/>
      <w:marTop w:val="0"/>
      <w:marBottom w:val="0"/>
      <w:divBdr>
        <w:top w:val="none" w:sz="0" w:space="0" w:color="auto"/>
        <w:left w:val="none" w:sz="0" w:space="0" w:color="auto"/>
        <w:bottom w:val="none" w:sz="0" w:space="0" w:color="auto"/>
        <w:right w:val="none" w:sz="0" w:space="0" w:color="auto"/>
      </w:divBdr>
    </w:div>
    <w:div w:id="1170365990">
      <w:bodyDiv w:val="1"/>
      <w:marLeft w:val="0"/>
      <w:marRight w:val="0"/>
      <w:marTop w:val="0"/>
      <w:marBottom w:val="0"/>
      <w:divBdr>
        <w:top w:val="none" w:sz="0" w:space="0" w:color="auto"/>
        <w:left w:val="none" w:sz="0" w:space="0" w:color="auto"/>
        <w:bottom w:val="none" w:sz="0" w:space="0" w:color="auto"/>
        <w:right w:val="none" w:sz="0" w:space="0" w:color="auto"/>
      </w:divBdr>
    </w:div>
    <w:div w:id="1176727235">
      <w:bodyDiv w:val="1"/>
      <w:marLeft w:val="0"/>
      <w:marRight w:val="0"/>
      <w:marTop w:val="0"/>
      <w:marBottom w:val="0"/>
      <w:divBdr>
        <w:top w:val="none" w:sz="0" w:space="0" w:color="auto"/>
        <w:left w:val="none" w:sz="0" w:space="0" w:color="auto"/>
        <w:bottom w:val="none" w:sz="0" w:space="0" w:color="auto"/>
        <w:right w:val="none" w:sz="0" w:space="0" w:color="auto"/>
      </w:divBdr>
    </w:div>
    <w:div w:id="1191645027">
      <w:bodyDiv w:val="1"/>
      <w:marLeft w:val="0"/>
      <w:marRight w:val="0"/>
      <w:marTop w:val="0"/>
      <w:marBottom w:val="0"/>
      <w:divBdr>
        <w:top w:val="none" w:sz="0" w:space="0" w:color="auto"/>
        <w:left w:val="none" w:sz="0" w:space="0" w:color="auto"/>
        <w:bottom w:val="none" w:sz="0" w:space="0" w:color="auto"/>
        <w:right w:val="none" w:sz="0" w:space="0" w:color="auto"/>
      </w:divBdr>
    </w:div>
    <w:div w:id="1193500008">
      <w:bodyDiv w:val="1"/>
      <w:marLeft w:val="0"/>
      <w:marRight w:val="0"/>
      <w:marTop w:val="0"/>
      <w:marBottom w:val="0"/>
      <w:divBdr>
        <w:top w:val="none" w:sz="0" w:space="0" w:color="auto"/>
        <w:left w:val="none" w:sz="0" w:space="0" w:color="auto"/>
        <w:bottom w:val="none" w:sz="0" w:space="0" w:color="auto"/>
        <w:right w:val="none" w:sz="0" w:space="0" w:color="auto"/>
      </w:divBdr>
    </w:div>
    <w:div w:id="1199783706">
      <w:bodyDiv w:val="1"/>
      <w:marLeft w:val="0"/>
      <w:marRight w:val="0"/>
      <w:marTop w:val="0"/>
      <w:marBottom w:val="0"/>
      <w:divBdr>
        <w:top w:val="none" w:sz="0" w:space="0" w:color="auto"/>
        <w:left w:val="none" w:sz="0" w:space="0" w:color="auto"/>
        <w:bottom w:val="none" w:sz="0" w:space="0" w:color="auto"/>
        <w:right w:val="none" w:sz="0" w:space="0" w:color="auto"/>
      </w:divBdr>
      <w:divsChild>
        <w:div w:id="737826444">
          <w:marLeft w:val="446"/>
          <w:marRight w:val="0"/>
          <w:marTop w:val="0"/>
          <w:marBottom w:val="0"/>
          <w:divBdr>
            <w:top w:val="none" w:sz="0" w:space="0" w:color="auto"/>
            <w:left w:val="none" w:sz="0" w:space="0" w:color="auto"/>
            <w:bottom w:val="none" w:sz="0" w:space="0" w:color="auto"/>
            <w:right w:val="none" w:sz="0" w:space="0" w:color="auto"/>
          </w:divBdr>
        </w:div>
        <w:div w:id="1199582700">
          <w:marLeft w:val="446"/>
          <w:marRight w:val="0"/>
          <w:marTop w:val="0"/>
          <w:marBottom w:val="0"/>
          <w:divBdr>
            <w:top w:val="none" w:sz="0" w:space="0" w:color="auto"/>
            <w:left w:val="none" w:sz="0" w:space="0" w:color="auto"/>
            <w:bottom w:val="none" w:sz="0" w:space="0" w:color="auto"/>
            <w:right w:val="none" w:sz="0" w:space="0" w:color="auto"/>
          </w:divBdr>
        </w:div>
      </w:divsChild>
    </w:div>
    <w:div w:id="1225409344">
      <w:bodyDiv w:val="1"/>
      <w:marLeft w:val="0"/>
      <w:marRight w:val="0"/>
      <w:marTop w:val="0"/>
      <w:marBottom w:val="0"/>
      <w:divBdr>
        <w:top w:val="none" w:sz="0" w:space="0" w:color="auto"/>
        <w:left w:val="none" w:sz="0" w:space="0" w:color="auto"/>
        <w:bottom w:val="none" w:sz="0" w:space="0" w:color="auto"/>
        <w:right w:val="none" w:sz="0" w:space="0" w:color="auto"/>
      </w:divBdr>
      <w:divsChild>
        <w:div w:id="1958179106">
          <w:marLeft w:val="446"/>
          <w:marRight w:val="0"/>
          <w:marTop w:val="0"/>
          <w:marBottom w:val="0"/>
          <w:divBdr>
            <w:top w:val="none" w:sz="0" w:space="0" w:color="auto"/>
            <w:left w:val="none" w:sz="0" w:space="0" w:color="auto"/>
            <w:bottom w:val="none" w:sz="0" w:space="0" w:color="auto"/>
            <w:right w:val="none" w:sz="0" w:space="0" w:color="auto"/>
          </w:divBdr>
        </w:div>
        <w:div w:id="511728355">
          <w:marLeft w:val="446"/>
          <w:marRight w:val="0"/>
          <w:marTop w:val="0"/>
          <w:marBottom w:val="0"/>
          <w:divBdr>
            <w:top w:val="none" w:sz="0" w:space="0" w:color="auto"/>
            <w:left w:val="none" w:sz="0" w:space="0" w:color="auto"/>
            <w:bottom w:val="none" w:sz="0" w:space="0" w:color="auto"/>
            <w:right w:val="none" w:sz="0" w:space="0" w:color="auto"/>
          </w:divBdr>
        </w:div>
      </w:divsChild>
    </w:div>
    <w:div w:id="1248460812">
      <w:bodyDiv w:val="1"/>
      <w:marLeft w:val="0"/>
      <w:marRight w:val="0"/>
      <w:marTop w:val="0"/>
      <w:marBottom w:val="0"/>
      <w:divBdr>
        <w:top w:val="none" w:sz="0" w:space="0" w:color="auto"/>
        <w:left w:val="none" w:sz="0" w:space="0" w:color="auto"/>
        <w:bottom w:val="none" w:sz="0" w:space="0" w:color="auto"/>
        <w:right w:val="none" w:sz="0" w:space="0" w:color="auto"/>
      </w:divBdr>
    </w:div>
    <w:div w:id="1265728763">
      <w:bodyDiv w:val="1"/>
      <w:marLeft w:val="0"/>
      <w:marRight w:val="0"/>
      <w:marTop w:val="0"/>
      <w:marBottom w:val="0"/>
      <w:divBdr>
        <w:top w:val="none" w:sz="0" w:space="0" w:color="auto"/>
        <w:left w:val="none" w:sz="0" w:space="0" w:color="auto"/>
        <w:bottom w:val="none" w:sz="0" w:space="0" w:color="auto"/>
        <w:right w:val="none" w:sz="0" w:space="0" w:color="auto"/>
      </w:divBdr>
    </w:div>
    <w:div w:id="1272400418">
      <w:bodyDiv w:val="1"/>
      <w:marLeft w:val="0"/>
      <w:marRight w:val="0"/>
      <w:marTop w:val="0"/>
      <w:marBottom w:val="0"/>
      <w:divBdr>
        <w:top w:val="none" w:sz="0" w:space="0" w:color="auto"/>
        <w:left w:val="none" w:sz="0" w:space="0" w:color="auto"/>
        <w:bottom w:val="none" w:sz="0" w:space="0" w:color="auto"/>
        <w:right w:val="none" w:sz="0" w:space="0" w:color="auto"/>
      </w:divBdr>
    </w:div>
    <w:div w:id="1281841262">
      <w:bodyDiv w:val="1"/>
      <w:marLeft w:val="0"/>
      <w:marRight w:val="0"/>
      <w:marTop w:val="0"/>
      <w:marBottom w:val="0"/>
      <w:divBdr>
        <w:top w:val="none" w:sz="0" w:space="0" w:color="auto"/>
        <w:left w:val="none" w:sz="0" w:space="0" w:color="auto"/>
        <w:bottom w:val="none" w:sz="0" w:space="0" w:color="auto"/>
        <w:right w:val="none" w:sz="0" w:space="0" w:color="auto"/>
      </w:divBdr>
      <w:divsChild>
        <w:div w:id="338506814">
          <w:marLeft w:val="1354"/>
          <w:marRight w:val="0"/>
          <w:marTop w:val="18"/>
          <w:marBottom w:val="140"/>
          <w:divBdr>
            <w:top w:val="none" w:sz="0" w:space="0" w:color="auto"/>
            <w:left w:val="none" w:sz="0" w:space="0" w:color="auto"/>
            <w:bottom w:val="none" w:sz="0" w:space="0" w:color="auto"/>
            <w:right w:val="none" w:sz="0" w:space="0" w:color="auto"/>
          </w:divBdr>
        </w:div>
        <w:div w:id="1643073712">
          <w:marLeft w:val="1354"/>
          <w:marRight w:val="0"/>
          <w:marTop w:val="18"/>
          <w:marBottom w:val="140"/>
          <w:divBdr>
            <w:top w:val="none" w:sz="0" w:space="0" w:color="auto"/>
            <w:left w:val="none" w:sz="0" w:space="0" w:color="auto"/>
            <w:bottom w:val="none" w:sz="0" w:space="0" w:color="auto"/>
            <w:right w:val="none" w:sz="0" w:space="0" w:color="auto"/>
          </w:divBdr>
        </w:div>
      </w:divsChild>
    </w:div>
    <w:div w:id="1282565169">
      <w:bodyDiv w:val="1"/>
      <w:marLeft w:val="0"/>
      <w:marRight w:val="0"/>
      <w:marTop w:val="0"/>
      <w:marBottom w:val="0"/>
      <w:divBdr>
        <w:top w:val="none" w:sz="0" w:space="0" w:color="auto"/>
        <w:left w:val="none" w:sz="0" w:space="0" w:color="auto"/>
        <w:bottom w:val="none" w:sz="0" w:space="0" w:color="auto"/>
        <w:right w:val="none" w:sz="0" w:space="0" w:color="auto"/>
      </w:divBdr>
    </w:div>
    <w:div w:id="1284531591">
      <w:bodyDiv w:val="1"/>
      <w:marLeft w:val="0"/>
      <w:marRight w:val="0"/>
      <w:marTop w:val="0"/>
      <w:marBottom w:val="0"/>
      <w:divBdr>
        <w:top w:val="none" w:sz="0" w:space="0" w:color="auto"/>
        <w:left w:val="none" w:sz="0" w:space="0" w:color="auto"/>
        <w:bottom w:val="none" w:sz="0" w:space="0" w:color="auto"/>
        <w:right w:val="none" w:sz="0" w:space="0" w:color="auto"/>
      </w:divBdr>
      <w:divsChild>
        <w:div w:id="386880253">
          <w:marLeft w:val="446"/>
          <w:marRight w:val="0"/>
          <w:marTop w:val="0"/>
          <w:marBottom w:val="0"/>
          <w:divBdr>
            <w:top w:val="none" w:sz="0" w:space="0" w:color="auto"/>
            <w:left w:val="none" w:sz="0" w:space="0" w:color="auto"/>
            <w:bottom w:val="none" w:sz="0" w:space="0" w:color="auto"/>
            <w:right w:val="none" w:sz="0" w:space="0" w:color="auto"/>
          </w:divBdr>
        </w:div>
      </w:divsChild>
    </w:div>
    <w:div w:id="1287353369">
      <w:bodyDiv w:val="1"/>
      <w:marLeft w:val="0"/>
      <w:marRight w:val="0"/>
      <w:marTop w:val="0"/>
      <w:marBottom w:val="0"/>
      <w:divBdr>
        <w:top w:val="none" w:sz="0" w:space="0" w:color="auto"/>
        <w:left w:val="none" w:sz="0" w:space="0" w:color="auto"/>
        <w:bottom w:val="none" w:sz="0" w:space="0" w:color="auto"/>
        <w:right w:val="none" w:sz="0" w:space="0" w:color="auto"/>
      </w:divBdr>
    </w:div>
    <w:div w:id="1288201197">
      <w:bodyDiv w:val="1"/>
      <w:marLeft w:val="0"/>
      <w:marRight w:val="0"/>
      <w:marTop w:val="0"/>
      <w:marBottom w:val="0"/>
      <w:divBdr>
        <w:top w:val="none" w:sz="0" w:space="0" w:color="auto"/>
        <w:left w:val="none" w:sz="0" w:space="0" w:color="auto"/>
        <w:bottom w:val="none" w:sz="0" w:space="0" w:color="auto"/>
        <w:right w:val="none" w:sz="0" w:space="0" w:color="auto"/>
      </w:divBdr>
      <w:divsChild>
        <w:div w:id="495534940">
          <w:marLeft w:val="446"/>
          <w:marRight w:val="0"/>
          <w:marTop w:val="0"/>
          <w:marBottom w:val="0"/>
          <w:divBdr>
            <w:top w:val="none" w:sz="0" w:space="0" w:color="auto"/>
            <w:left w:val="none" w:sz="0" w:space="0" w:color="auto"/>
            <w:bottom w:val="none" w:sz="0" w:space="0" w:color="auto"/>
            <w:right w:val="none" w:sz="0" w:space="0" w:color="auto"/>
          </w:divBdr>
        </w:div>
      </w:divsChild>
    </w:div>
    <w:div w:id="1292131662">
      <w:bodyDiv w:val="1"/>
      <w:marLeft w:val="0"/>
      <w:marRight w:val="0"/>
      <w:marTop w:val="0"/>
      <w:marBottom w:val="0"/>
      <w:divBdr>
        <w:top w:val="none" w:sz="0" w:space="0" w:color="auto"/>
        <w:left w:val="none" w:sz="0" w:space="0" w:color="auto"/>
        <w:bottom w:val="none" w:sz="0" w:space="0" w:color="auto"/>
        <w:right w:val="none" w:sz="0" w:space="0" w:color="auto"/>
      </w:divBdr>
    </w:div>
    <w:div w:id="1296720208">
      <w:bodyDiv w:val="1"/>
      <w:marLeft w:val="0"/>
      <w:marRight w:val="0"/>
      <w:marTop w:val="0"/>
      <w:marBottom w:val="0"/>
      <w:divBdr>
        <w:top w:val="none" w:sz="0" w:space="0" w:color="auto"/>
        <w:left w:val="none" w:sz="0" w:space="0" w:color="auto"/>
        <w:bottom w:val="none" w:sz="0" w:space="0" w:color="auto"/>
        <w:right w:val="none" w:sz="0" w:space="0" w:color="auto"/>
      </w:divBdr>
    </w:div>
    <w:div w:id="1309940651">
      <w:bodyDiv w:val="1"/>
      <w:marLeft w:val="0"/>
      <w:marRight w:val="0"/>
      <w:marTop w:val="0"/>
      <w:marBottom w:val="0"/>
      <w:divBdr>
        <w:top w:val="none" w:sz="0" w:space="0" w:color="auto"/>
        <w:left w:val="none" w:sz="0" w:space="0" w:color="auto"/>
        <w:bottom w:val="none" w:sz="0" w:space="0" w:color="auto"/>
        <w:right w:val="none" w:sz="0" w:space="0" w:color="auto"/>
      </w:divBdr>
    </w:div>
    <w:div w:id="1318221674">
      <w:bodyDiv w:val="1"/>
      <w:marLeft w:val="0"/>
      <w:marRight w:val="0"/>
      <w:marTop w:val="0"/>
      <w:marBottom w:val="0"/>
      <w:divBdr>
        <w:top w:val="none" w:sz="0" w:space="0" w:color="auto"/>
        <w:left w:val="none" w:sz="0" w:space="0" w:color="auto"/>
        <w:bottom w:val="none" w:sz="0" w:space="0" w:color="auto"/>
        <w:right w:val="none" w:sz="0" w:space="0" w:color="auto"/>
      </w:divBdr>
      <w:divsChild>
        <w:div w:id="1818765316">
          <w:marLeft w:val="446"/>
          <w:marRight w:val="0"/>
          <w:marTop w:val="0"/>
          <w:marBottom w:val="0"/>
          <w:divBdr>
            <w:top w:val="none" w:sz="0" w:space="0" w:color="auto"/>
            <w:left w:val="none" w:sz="0" w:space="0" w:color="auto"/>
            <w:bottom w:val="none" w:sz="0" w:space="0" w:color="auto"/>
            <w:right w:val="none" w:sz="0" w:space="0" w:color="auto"/>
          </w:divBdr>
        </w:div>
        <w:div w:id="225383193">
          <w:marLeft w:val="446"/>
          <w:marRight w:val="0"/>
          <w:marTop w:val="0"/>
          <w:marBottom w:val="0"/>
          <w:divBdr>
            <w:top w:val="none" w:sz="0" w:space="0" w:color="auto"/>
            <w:left w:val="none" w:sz="0" w:space="0" w:color="auto"/>
            <w:bottom w:val="none" w:sz="0" w:space="0" w:color="auto"/>
            <w:right w:val="none" w:sz="0" w:space="0" w:color="auto"/>
          </w:divBdr>
        </w:div>
        <w:div w:id="1879270542">
          <w:marLeft w:val="446"/>
          <w:marRight w:val="0"/>
          <w:marTop w:val="0"/>
          <w:marBottom w:val="0"/>
          <w:divBdr>
            <w:top w:val="none" w:sz="0" w:space="0" w:color="auto"/>
            <w:left w:val="none" w:sz="0" w:space="0" w:color="auto"/>
            <w:bottom w:val="none" w:sz="0" w:space="0" w:color="auto"/>
            <w:right w:val="none" w:sz="0" w:space="0" w:color="auto"/>
          </w:divBdr>
        </w:div>
      </w:divsChild>
    </w:div>
    <w:div w:id="1361130701">
      <w:bodyDiv w:val="1"/>
      <w:marLeft w:val="0"/>
      <w:marRight w:val="0"/>
      <w:marTop w:val="0"/>
      <w:marBottom w:val="0"/>
      <w:divBdr>
        <w:top w:val="none" w:sz="0" w:space="0" w:color="auto"/>
        <w:left w:val="none" w:sz="0" w:space="0" w:color="auto"/>
        <w:bottom w:val="none" w:sz="0" w:space="0" w:color="auto"/>
        <w:right w:val="none" w:sz="0" w:space="0" w:color="auto"/>
      </w:divBdr>
    </w:div>
    <w:div w:id="1407537354">
      <w:bodyDiv w:val="1"/>
      <w:marLeft w:val="0"/>
      <w:marRight w:val="0"/>
      <w:marTop w:val="0"/>
      <w:marBottom w:val="0"/>
      <w:divBdr>
        <w:top w:val="none" w:sz="0" w:space="0" w:color="auto"/>
        <w:left w:val="none" w:sz="0" w:space="0" w:color="auto"/>
        <w:bottom w:val="none" w:sz="0" w:space="0" w:color="auto"/>
        <w:right w:val="none" w:sz="0" w:space="0" w:color="auto"/>
      </w:divBdr>
    </w:div>
    <w:div w:id="1423649106">
      <w:bodyDiv w:val="1"/>
      <w:marLeft w:val="0"/>
      <w:marRight w:val="0"/>
      <w:marTop w:val="0"/>
      <w:marBottom w:val="0"/>
      <w:divBdr>
        <w:top w:val="none" w:sz="0" w:space="0" w:color="auto"/>
        <w:left w:val="none" w:sz="0" w:space="0" w:color="auto"/>
        <w:bottom w:val="none" w:sz="0" w:space="0" w:color="auto"/>
        <w:right w:val="none" w:sz="0" w:space="0" w:color="auto"/>
      </w:divBdr>
    </w:div>
    <w:div w:id="1423649332">
      <w:bodyDiv w:val="1"/>
      <w:marLeft w:val="0"/>
      <w:marRight w:val="0"/>
      <w:marTop w:val="0"/>
      <w:marBottom w:val="0"/>
      <w:divBdr>
        <w:top w:val="none" w:sz="0" w:space="0" w:color="auto"/>
        <w:left w:val="none" w:sz="0" w:space="0" w:color="auto"/>
        <w:bottom w:val="none" w:sz="0" w:space="0" w:color="auto"/>
        <w:right w:val="none" w:sz="0" w:space="0" w:color="auto"/>
      </w:divBdr>
    </w:div>
    <w:div w:id="1423792442">
      <w:bodyDiv w:val="1"/>
      <w:marLeft w:val="0"/>
      <w:marRight w:val="0"/>
      <w:marTop w:val="0"/>
      <w:marBottom w:val="0"/>
      <w:divBdr>
        <w:top w:val="none" w:sz="0" w:space="0" w:color="auto"/>
        <w:left w:val="none" w:sz="0" w:space="0" w:color="auto"/>
        <w:bottom w:val="none" w:sz="0" w:space="0" w:color="auto"/>
        <w:right w:val="none" w:sz="0" w:space="0" w:color="auto"/>
      </w:divBdr>
      <w:divsChild>
        <w:div w:id="1113399260">
          <w:marLeft w:val="446"/>
          <w:marRight w:val="0"/>
          <w:marTop w:val="0"/>
          <w:marBottom w:val="0"/>
          <w:divBdr>
            <w:top w:val="none" w:sz="0" w:space="0" w:color="auto"/>
            <w:left w:val="none" w:sz="0" w:space="0" w:color="auto"/>
            <w:bottom w:val="none" w:sz="0" w:space="0" w:color="auto"/>
            <w:right w:val="none" w:sz="0" w:space="0" w:color="auto"/>
          </w:divBdr>
        </w:div>
      </w:divsChild>
    </w:div>
    <w:div w:id="1425304661">
      <w:bodyDiv w:val="1"/>
      <w:marLeft w:val="0"/>
      <w:marRight w:val="0"/>
      <w:marTop w:val="0"/>
      <w:marBottom w:val="0"/>
      <w:divBdr>
        <w:top w:val="none" w:sz="0" w:space="0" w:color="auto"/>
        <w:left w:val="none" w:sz="0" w:space="0" w:color="auto"/>
        <w:bottom w:val="none" w:sz="0" w:space="0" w:color="auto"/>
        <w:right w:val="none" w:sz="0" w:space="0" w:color="auto"/>
      </w:divBdr>
      <w:divsChild>
        <w:div w:id="840851501">
          <w:marLeft w:val="547"/>
          <w:marRight w:val="0"/>
          <w:marTop w:val="0"/>
          <w:marBottom w:val="0"/>
          <w:divBdr>
            <w:top w:val="none" w:sz="0" w:space="0" w:color="auto"/>
            <w:left w:val="none" w:sz="0" w:space="0" w:color="auto"/>
            <w:bottom w:val="none" w:sz="0" w:space="0" w:color="auto"/>
            <w:right w:val="none" w:sz="0" w:space="0" w:color="auto"/>
          </w:divBdr>
        </w:div>
      </w:divsChild>
    </w:div>
    <w:div w:id="1469474124">
      <w:bodyDiv w:val="1"/>
      <w:marLeft w:val="0"/>
      <w:marRight w:val="0"/>
      <w:marTop w:val="0"/>
      <w:marBottom w:val="0"/>
      <w:divBdr>
        <w:top w:val="none" w:sz="0" w:space="0" w:color="auto"/>
        <w:left w:val="none" w:sz="0" w:space="0" w:color="auto"/>
        <w:bottom w:val="none" w:sz="0" w:space="0" w:color="auto"/>
        <w:right w:val="none" w:sz="0" w:space="0" w:color="auto"/>
      </w:divBdr>
    </w:div>
    <w:div w:id="1475291325">
      <w:bodyDiv w:val="1"/>
      <w:marLeft w:val="0"/>
      <w:marRight w:val="0"/>
      <w:marTop w:val="0"/>
      <w:marBottom w:val="0"/>
      <w:divBdr>
        <w:top w:val="none" w:sz="0" w:space="0" w:color="auto"/>
        <w:left w:val="none" w:sz="0" w:space="0" w:color="auto"/>
        <w:bottom w:val="none" w:sz="0" w:space="0" w:color="auto"/>
        <w:right w:val="none" w:sz="0" w:space="0" w:color="auto"/>
      </w:divBdr>
    </w:div>
    <w:div w:id="1493060374">
      <w:bodyDiv w:val="1"/>
      <w:marLeft w:val="0"/>
      <w:marRight w:val="0"/>
      <w:marTop w:val="0"/>
      <w:marBottom w:val="0"/>
      <w:divBdr>
        <w:top w:val="none" w:sz="0" w:space="0" w:color="auto"/>
        <w:left w:val="none" w:sz="0" w:space="0" w:color="auto"/>
        <w:bottom w:val="none" w:sz="0" w:space="0" w:color="auto"/>
        <w:right w:val="none" w:sz="0" w:space="0" w:color="auto"/>
      </w:divBdr>
    </w:div>
    <w:div w:id="1493568818">
      <w:bodyDiv w:val="1"/>
      <w:marLeft w:val="0"/>
      <w:marRight w:val="0"/>
      <w:marTop w:val="0"/>
      <w:marBottom w:val="0"/>
      <w:divBdr>
        <w:top w:val="none" w:sz="0" w:space="0" w:color="auto"/>
        <w:left w:val="none" w:sz="0" w:space="0" w:color="auto"/>
        <w:bottom w:val="none" w:sz="0" w:space="0" w:color="auto"/>
        <w:right w:val="none" w:sz="0" w:space="0" w:color="auto"/>
      </w:divBdr>
      <w:divsChild>
        <w:div w:id="55128236">
          <w:marLeft w:val="446"/>
          <w:marRight w:val="0"/>
          <w:marTop w:val="0"/>
          <w:marBottom w:val="0"/>
          <w:divBdr>
            <w:top w:val="none" w:sz="0" w:space="0" w:color="auto"/>
            <w:left w:val="none" w:sz="0" w:space="0" w:color="auto"/>
            <w:bottom w:val="none" w:sz="0" w:space="0" w:color="auto"/>
            <w:right w:val="none" w:sz="0" w:space="0" w:color="auto"/>
          </w:divBdr>
        </w:div>
      </w:divsChild>
    </w:div>
    <w:div w:id="1515193177">
      <w:bodyDiv w:val="1"/>
      <w:marLeft w:val="0"/>
      <w:marRight w:val="0"/>
      <w:marTop w:val="0"/>
      <w:marBottom w:val="0"/>
      <w:divBdr>
        <w:top w:val="none" w:sz="0" w:space="0" w:color="auto"/>
        <w:left w:val="none" w:sz="0" w:space="0" w:color="auto"/>
        <w:bottom w:val="none" w:sz="0" w:space="0" w:color="auto"/>
        <w:right w:val="none" w:sz="0" w:space="0" w:color="auto"/>
      </w:divBdr>
    </w:div>
    <w:div w:id="1527520749">
      <w:bodyDiv w:val="1"/>
      <w:marLeft w:val="0"/>
      <w:marRight w:val="0"/>
      <w:marTop w:val="0"/>
      <w:marBottom w:val="0"/>
      <w:divBdr>
        <w:top w:val="none" w:sz="0" w:space="0" w:color="auto"/>
        <w:left w:val="none" w:sz="0" w:space="0" w:color="auto"/>
        <w:bottom w:val="none" w:sz="0" w:space="0" w:color="auto"/>
        <w:right w:val="none" w:sz="0" w:space="0" w:color="auto"/>
      </w:divBdr>
    </w:div>
    <w:div w:id="1527790757">
      <w:bodyDiv w:val="1"/>
      <w:marLeft w:val="0"/>
      <w:marRight w:val="0"/>
      <w:marTop w:val="0"/>
      <w:marBottom w:val="0"/>
      <w:divBdr>
        <w:top w:val="none" w:sz="0" w:space="0" w:color="auto"/>
        <w:left w:val="none" w:sz="0" w:space="0" w:color="auto"/>
        <w:bottom w:val="none" w:sz="0" w:space="0" w:color="auto"/>
        <w:right w:val="none" w:sz="0" w:space="0" w:color="auto"/>
      </w:divBdr>
      <w:divsChild>
        <w:div w:id="830870952">
          <w:marLeft w:val="2246"/>
          <w:marRight w:val="0"/>
          <w:marTop w:val="18"/>
          <w:marBottom w:val="140"/>
          <w:divBdr>
            <w:top w:val="none" w:sz="0" w:space="0" w:color="auto"/>
            <w:left w:val="none" w:sz="0" w:space="0" w:color="auto"/>
            <w:bottom w:val="none" w:sz="0" w:space="0" w:color="auto"/>
            <w:right w:val="none" w:sz="0" w:space="0" w:color="auto"/>
          </w:divBdr>
        </w:div>
        <w:div w:id="1488671105">
          <w:marLeft w:val="2246"/>
          <w:marRight w:val="0"/>
          <w:marTop w:val="18"/>
          <w:marBottom w:val="140"/>
          <w:divBdr>
            <w:top w:val="none" w:sz="0" w:space="0" w:color="auto"/>
            <w:left w:val="none" w:sz="0" w:space="0" w:color="auto"/>
            <w:bottom w:val="none" w:sz="0" w:space="0" w:color="auto"/>
            <w:right w:val="none" w:sz="0" w:space="0" w:color="auto"/>
          </w:divBdr>
        </w:div>
        <w:div w:id="2067603041">
          <w:marLeft w:val="2246"/>
          <w:marRight w:val="0"/>
          <w:marTop w:val="18"/>
          <w:marBottom w:val="140"/>
          <w:divBdr>
            <w:top w:val="none" w:sz="0" w:space="0" w:color="auto"/>
            <w:left w:val="none" w:sz="0" w:space="0" w:color="auto"/>
            <w:bottom w:val="none" w:sz="0" w:space="0" w:color="auto"/>
            <w:right w:val="none" w:sz="0" w:space="0" w:color="auto"/>
          </w:divBdr>
        </w:div>
      </w:divsChild>
    </w:div>
    <w:div w:id="1527870037">
      <w:bodyDiv w:val="1"/>
      <w:marLeft w:val="0"/>
      <w:marRight w:val="0"/>
      <w:marTop w:val="0"/>
      <w:marBottom w:val="0"/>
      <w:divBdr>
        <w:top w:val="none" w:sz="0" w:space="0" w:color="auto"/>
        <w:left w:val="none" w:sz="0" w:space="0" w:color="auto"/>
        <w:bottom w:val="none" w:sz="0" w:space="0" w:color="auto"/>
        <w:right w:val="none" w:sz="0" w:space="0" w:color="auto"/>
      </w:divBdr>
    </w:div>
    <w:div w:id="1536650228">
      <w:bodyDiv w:val="1"/>
      <w:marLeft w:val="0"/>
      <w:marRight w:val="0"/>
      <w:marTop w:val="0"/>
      <w:marBottom w:val="0"/>
      <w:divBdr>
        <w:top w:val="none" w:sz="0" w:space="0" w:color="auto"/>
        <w:left w:val="none" w:sz="0" w:space="0" w:color="auto"/>
        <w:bottom w:val="none" w:sz="0" w:space="0" w:color="auto"/>
        <w:right w:val="none" w:sz="0" w:space="0" w:color="auto"/>
      </w:divBdr>
    </w:div>
    <w:div w:id="1550798876">
      <w:bodyDiv w:val="1"/>
      <w:marLeft w:val="0"/>
      <w:marRight w:val="0"/>
      <w:marTop w:val="0"/>
      <w:marBottom w:val="0"/>
      <w:divBdr>
        <w:top w:val="none" w:sz="0" w:space="0" w:color="auto"/>
        <w:left w:val="none" w:sz="0" w:space="0" w:color="auto"/>
        <w:bottom w:val="none" w:sz="0" w:space="0" w:color="auto"/>
        <w:right w:val="none" w:sz="0" w:space="0" w:color="auto"/>
      </w:divBdr>
    </w:div>
    <w:div w:id="1578976329">
      <w:bodyDiv w:val="1"/>
      <w:marLeft w:val="0"/>
      <w:marRight w:val="0"/>
      <w:marTop w:val="0"/>
      <w:marBottom w:val="0"/>
      <w:divBdr>
        <w:top w:val="none" w:sz="0" w:space="0" w:color="auto"/>
        <w:left w:val="none" w:sz="0" w:space="0" w:color="auto"/>
        <w:bottom w:val="none" w:sz="0" w:space="0" w:color="auto"/>
        <w:right w:val="none" w:sz="0" w:space="0" w:color="auto"/>
      </w:divBdr>
      <w:divsChild>
        <w:div w:id="490831553">
          <w:marLeft w:val="446"/>
          <w:marRight w:val="0"/>
          <w:marTop w:val="0"/>
          <w:marBottom w:val="0"/>
          <w:divBdr>
            <w:top w:val="none" w:sz="0" w:space="0" w:color="auto"/>
            <w:left w:val="none" w:sz="0" w:space="0" w:color="auto"/>
            <w:bottom w:val="none" w:sz="0" w:space="0" w:color="auto"/>
            <w:right w:val="none" w:sz="0" w:space="0" w:color="auto"/>
          </w:divBdr>
        </w:div>
      </w:divsChild>
    </w:div>
    <w:div w:id="1586260631">
      <w:bodyDiv w:val="1"/>
      <w:marLeft w:val="0"/>
      <w:marRight w:val="0"/>
      <w:marTop w:val="0"/>
      <w:marBottom w:val="0"/>
      <w:divBdr>
        <w:top w:val="none" w:sz="0" w:space="0" w:color="auto"/>
        <w:left w:val="none" w:sz="0" w:space="0" w:color="auto"/>
        <w:bottom w:val="none" w:sz="0" w:space="0" w:color="auto"/>
        <w:right w:val="none" w:sz="0" w:space="0" w:color="auto"/>
      </w:divBdr>
      <w:divsChild>
        <w:div w:id="528026744">
          <w:marLeft w:val="1354"/>
          <w:marRight w:val="0"/>
          <w:marTop w:val="18"/>
          <w:marBottom w:val="140"/>
          <w:divBdr>
            <w:top w:val="none" w:sz="0" w:space="0" w:color="auto"/>
            <w:left w:val="none" w:sz="0" w:space="0" w:color="auto"/>
            <w:bottom w:val="none" w:sz="0" w:space="0" w:color="auto"/>
            <w:right w:val="none" w:sz="0" w:space="0" w:color="auto"/>
          </w:divBdr>
        </w:div>
        <w:div w:id="927079862">
          <w:marLeft w:val="1354"/>
          <w:marRight w:val="0"/>
          <w:marTop w:val="18"/>
          <w:marBottom w:val="140"/>
          <w:divBdr>
            <w:top w:val="none" w:sz="0" w:space="0" w:color="auto"/>
            <w:left w:val="none" w:sz="0" w:space="0" w:color="auto"/>
            <w:bottom w:val="none" w:sz="0" w:space="0" w:color="auto"/>
            <w:right w:val="none" w:sz="0" w:space="0" w:color="auto"/>
          </w:divBdr>
        </w:div>
        <w:div w:id="1210920544">
          <w:marLeft w:val="1354"/>
          <w:marRight w:val="0"/>
          <w:marTop w:val="18"/>
          <w:marBottom w:val="140"/>
          <w:divBdr>
            <w:top w:val="none" w:sz="0" w:space="0" w:color="auto"/>
            <w:left w:val="none" w:sz="0" w:space="0" w:color="auto"/>
            <w:bottom w:val="none" w:sz="0" w:space="0" w:color="auto"/>
            <w:right w:val="none" w:sz="0" w:space="0" w:color="auto"/>
          </w:divBdr>
        </w:div>
      </w:divsChild>
    </w:div>
    <w:div w:id="1617130097">
      <w:bodyDiv w:val="1"/>
      <w:marLeft w:val="0"/>
      <w:marRight w:val="0"/>
      <w:marTop w:val="0"/>
      <w:marBottom w:val="0"/>
      <w:divBdr>
        <w:top w:val="none" w:sz="0" w:space="0" w:color="auto"/>
        <w:left w:val="none" w:sz="0" w:space="0" w:color="auto"/>
        <w:bottom w:val="none" w:sz="0" w:space="0" w:color="auto"/>
        <w:right w:val="none" w:sz="0" w:space="0" w:color="auto"/>
      </w:divBdr>
    </w:div>
    <w:div w:id="1641156689">
      <w:bodyDiv w:val="1"/>
      <w:marLeft w:val="0"/>
      <w:marRight w:val="0"/>
      <w:marTop w:val="0"/>
      <w:marBottom w:val="0"/>
      <w:divBdr>
        <w:top w:val="none" w:sz="0" w:space="0" w:color="auto"/>
        <w:left w:val="none" w:sz="0" w:space="0" w:color="auto"/>
        <w:bottom w:val="none" w:sz="0" w:space="0" w:color="auto"/>
        <w:right w:val="none" w:sz="0" w:space="0" w:color="auto"/>
      </w:divBdr>
      <w:divsChild>
        <w:div w:id="328950883">
          <w:marLeft w:val="547"/>
          <w:marRight w:val="0"/>
          <w:marTop w:val="0"/>
          <w:marBottom w:val="0"/>
          <w:divBdr>
            <w:top w:val="none" w:sz="0" w:space="0" w:color="auto"/>
            <w:left w:val="none" w:sz="0" w:space="0" w:color="auto"/>
            <w:bottom w:val="none" w:sz="0" w:space="0" w:color="auto"/>
            <w:right w:val="none" w:sz="0" w:space="0" w:color="auto"/>
          </w:divBdr>
        </w:div>
      </w:divsChild>
    </w:div>
    <w:div w:id="1658996076">
      <w:bodyDiv w:val="1"/>
      <w:marLeft w:val="0"/>
      <w:marRight w:val="0"/>
      <w:marTop w:val="0"/>
      <w:marBottom w:val="0"/>
      <w:divBdr>
        <w:top w:val="none" w:sz="0" w:space="0" w:color="auto"/>
        <w:left w:val="none" w:sz="0" w:space="0" w:color="auto"/>
        <w:bottom w:val="none" w:sz="0" w:space="0" w:color="auto"/>
        <w:right w:val="none" w:sz="0" w:space="0" w:color="auto"/>
      </w:divBdr>
    </w:div>
    <w:div w:id="1668941157">
      <w:bodyDiv w:val="1"/>
      <w:marLeft w:val="0"/>
      <w:marRight w:val="0"/>
      <w:marTop w:val="0"/>
      <w:marBottom w:val="0"/>
      <w:divBdr>
        <w:top w:val="none" w:sz="0" w:space="0" w:color="auto"/>
        <w:left w:val="none" w:sz="0" w:space="0" w:color="auto"/>
        <w:bottom w:val="none" w:sz="0" w:space="0" w:color="auto"/>
        <w:right w:val="none" w:sz="0" w:space="0" w:color="auto"/>
      </w:divBdr>
    </w:div>
    <w:div w:id="1676833909">
      <w:bodyDiv w:val="1"/>
      <w:marLeft w:val="0"/>
      <w:marRight w:val="0"/>
      <w:marTop w:val="0"/>
      <w:marBottom w:val="0"/>
      <w:divBdr>
        <w:top w:val="none" w:sz="0" w:space="0" w:color="auto"/>
        <w:left w:val="none" w:sz="0" w:space="0" w:color="auto"/>
        <w:bottom w:val="none" w:sz="0" w:space="0" w:color="auto"/>
        <w:right w:val="none" w:sz="0" w:space="0" w:color="auto"/>
      </w:divBdr>
    </w:div>
    <w:div w:id="1682273478">
      <w:bodyDiv w:val="1"/>
      <w:marLeft w:val="0"/>
      <w:marRight w:val="0"/>
      <w:marTop w:val="0"/>
      <w:marBottom w:val="0"/>
      <w:divBdr>
        <w:top w:val="none" w:sz="0" w:space="0" w:color="auto"/>
        <w:left w:val="none" w:sz="0" w:space="0" w:color="auto"/>
        <w:bottom w:val="none" w:sz="0" w:space="0" w:color="auto"/>
        <w:right w:val="none" w:sz="0" w:space="0" w:color="auto"/>
      </w:divBdr>
    </w:div>
    <w:div w:id="1713572517">
      <w:bodyDiv w:val="1"/>
      <w:marLeft w:val="0"/>
      <w:marRight w:val="0"/>
      <w:marTop w:val="0"/>
      <w:marBottom w:val="0"/>
      <w:divBdr>
        <w:top w:val="none" w:sz="0" w:space="0" w:color="auto"/>
        <w:left w:val="none" w:sz="0" w:space="0" w:color="auto"/>
        <w:bottom w:val="none" w:sz="0" w:space="0" w:color="auto"/>
        <w:right w:val="none" w:sz="0" w:space="0" w:color="auto"/>
      </w:divBdr>
    </w:div>
    <w:div w:id="1716276001">
      <w:bodyDiv w:val="1"/>
      <w:marLeft w:val="0"/>
      <w:marRight w:val="0"/>
      <w:marTop w:val="0"/>
      <w:marBottom w:val="0"/>
      <w:divBdr>
        <w:top w:val="none" w:sz="0" w:space="0" w:color="auto"/>
        <w:left w:val="none" w:sz="0" w:space="0" w:color="auto"/>
        <w:bottom w:val="none" w:sz="0" w:space="0" w:color="auto"/>
        <w:right w:val="none" w:sz="0" w:space="0" w:color="auto"/>
      </w:divBdr>
    </w:div>
    <w:div w:id="1727143356">
      <w:bodyDiv w:val="1"/>
      <w:marLeft w:val="0"/>
      <w:marRight w:val="0"/>
      <w:marTop w:val="0"/>
      <w:marBottom w:val="0"/>
      <w:divBdr>
        <w:top w:val="none" w:sz="0" w:space="0" w:color="auto"/>
        <w:left w:val="none" w:sz="0" w:space="0" w:color="auto"/>
        <w:bottom w:val="none" w:sz="0" w:space="0" w:color="auto"/>
        <w:right w:val="none" w:sz="0" w:space="0" w:color="auto"/>
      </w:divBdr>
    </w:div>
    <w:div w:id="1739553060">
      <w:bodyDiv w:val="1"/>
      <w:marLeft w:val="0"/>
      <w:marRight w:val="0"/>
      <w:marTop w:val="0"/>
      <w:marBottom w:val="0"/>
      <w:divBdr>
        <w:top w:val="none" w:sz="0" w:space="0" w:color="auto"/>
        <w:left w:val="none" w:sz="0" w:space="0" w:color="auto"/>
        <w:bottom w:val="none" w:sz="0" w:space="0" w:color="auto"/>
        <w:right w:val="none" w:sz="0" w:space="0" w:color="auto"/>
      </w:divBdr>
    </w:div>
    <w:div w:id="1756703148">
      <w:bodyDiv w:val="1"/>
      <w:marLeft w:val="0"/>
      <w:marRight w:val="0"/>
      <w:marTop w:val="0"/>
      <w:marBottom w:val="0"/>
      <w:divBdr>
        <w:top w:val="none" w:sz="0" w:space="0" w:color="auto"/>
        <w:left w:val="none" w:sz="0" w:space="0" w:color="auto"/>
        <w:bottom w:val="none" w:sz="0" w:space="0" w:color="auto"/>
        <w:right w:val="none" w:sz="0" w:space="0" w:color="auto"/>
      </w:divBdr>
    </w:div>
    <w:div w:id="1766682073">
      <w:bodyDiv w:val="1"/>
      <w:marLeft w:val="0"/>
      <w:marRight w:val="0"/>
      <w:marTop w:val="0"/>
      <w:marBottom w:val="0"/>
      <w:divBdr>
        <w:top w:val="none" w:sz="0" w:space="0" w:color="auto"/>
        <w:left w:val="none" w:sz="0" w:space="0" w:color="auto"/>
        <w:bottom w:val="none" w:sz="0" w:space="0" w:color="auto"/>
        <w:right w:val="none" w:sz="0" w:space="0" w:color="auto"/>
      </w:divBdr>
    </w:div>
    <w:div w:id="1770660713">
      <w:bodyDiv w:val="1"/>
      <w:marLeft w:val="0"/>
      <w:marRight w:val="0"/>
      <w:marTop w:val="0"/>
      <w:marBottom w:val="0"/>
      <w:divBdr>
        <w:top w:val="none" w:sz="0" w:space="0" w:color="auto"/>
        <w:left w:val="none" w:sz="0" w:space="0" w:color="auto"/>
        <w:bottom w:val="none" w:sz="0" w:space="0" w:color="auto"/>
        <w:right w:val="none" w:sz="0" w:space="0" w:color="auto"/>
      </w:divBdr>
    </w:div>
    <w:div w:id="1792286490">
      <w:bodyDiv w:val="1"/>
      <w:marLeft w:val="0"/>
      <w:marRight w:val="0"/>
      <w:marTop w:val="0"/>
      <w:marBottom w:val="0"/>
      <w:divBdr>
        <w:top w:val="none" w:sz="0" w:space="0" w:color="auto"/>
        <w:left w:val="none" w:sz="0" w:space="0" w:color="auto"/>
        <w:bottom w:val="none" w:sz="0" w:space="0" w:color="auto"/>
        <w:right w:val="none" w:sz="0" w:space="0" w:color="auto"/>
      </w:divBdr>
    </w:div>
    <w:div w:id="1807508756">
      <w:bodyDiv w:val="1"/>
      <w:marLeft w:val="0"/>
      <w:marRight w:val="0"/>
      <w:marTop w:val="0"/>
      <w:marBottom w:val="0"/>
      <w:divBdr>
        <w:top w:val="none" w:sz="0" w:space="0" w:color="auto"/>
        <w:left w:val="none" w:sz="0" w:space="0" w:color="auto"/>
        <w:bottom w:val="none" w:sz="0" w:space="0" w:color="auto"/>
        <w:right w:val="none" w:sz="0" w:space="0" w:color="auto"/>
      </w:divBdr>
      <w:divsChild>
        <w:div w:id="234895081">
          <w:marLeft w:val="850"/>
          <w:marRight w:val="0"/>
          <w:marTop w:val="240"/>
          <w:marBottom w:val="0"/>
          <w:divBdr>
            <w:top w:val="none" w:sz="0" w:space="0" w:color="auto"/>
            <w:left w:val="none" w:sz="0" w:space="0" w:color="auto"/>
            <w:bottom w:val="none" w:sz="0" w:space="0" w:color="auto"/>
            <w:right w:val="none" w:sz="0" w:space="0" w:color="auto"/>
          </w:divBdr>
        </w:div>
        <w:div w:id="341203195">
          <w:marLeft w:val="850"/>
          <w:marRight w:val="0"/>
          <w:marTop w:val="240"/>
          <w:marBottom w:val="0"/>
          <w:divBdr>
            <w:top w:val="none" w:sz="0" w:space="0" w:color="auto"/>
            <w:left w:val="none" w:sz="0" w:space="0" w:color="auto"/>
            <w:bottom w:val="none" w:sz="0" w:space="0" w:color="auto"/>
            <w:right w:val="none" w:sz="0" w:space="0" w:color="auto"/>
          </w:divBdr>
        </w:div>
        <w:div w:id="724139977">
          <w:marLeft w:val="850"/>
          <w:marRight w:val="0"/>
          <w:marTop w:val="240"/>
          <w:marBottom w:val="0"/>
          <w:divBdr>
            <w:top w:val="none" w:sz="0" w:space="0" w:color="auto"/>
            <w:left w:val="none" w:sz="0" w:space="0" w:color="auto"/>
            <w:bottom w:val="none" w:sz="0" w:space="0" w:color="auto"/>
            <w:right w:val="none" w:sz="0" w:space="0" w:color="auto"/>
          </w:divBdr>
        </w:div>
        <w:div w:id="858156452">
          <w:marLeft w:val="418"/>
          <w:marRight w:val="0"/>
          <w:marTop w:val="0"/>
          <w:marBottom w:val="0"/>
          <w:divBdr>
            <w:top w:val="none" w:sz="0" w:space="0" w:color="auto"/>
            <w:left w:val="none" w:sz="0" w:space="0" w:color="auto"/>
            <w:bottom w:val="none" w:sz="0" w:space="0" w:color="auto"/>
            <w:right w:val="none" w:sz="0" w:space="0" w:color="auto"/>
          </w:divBdr>
        </w:div>
        <w:div w:id="1455520982">
          <w:marLeft w:val="850"/>
          <w:marRight w:val="0"/>
          <w:marTop w:val="240"/>
          <w:marBottom w:val="0"/>
          <w:divBdr>
            <w:top w:val="none" w:sz="0" w:space="0" w:color="auto"/>
            <w:left w:val="none" w:sz="0" w:space="0" w:color="auto"/>
            <w:bottom w:val="none" w:sz="0" w:space="0" w:color="auto"/>
            <w:right w:val="none" w:sz="0" w:space="0" w:color="auto"/>
          </w:divBdr>
        </w:div>
        <w:div w:id="1488744851">
          <w:marLeft w:val="850"/>
          <w:marRight w:val="0"/>
          <w:marTop w:val="240"/>
          <w:marBottom w:val="0"/>
          <w:divBdr>
            <w:top w:val="none" w:sz="0" w:space="0" w:color="auto"/>
            <w:left w:val="none" w:sz="0" w:space="0" w:color="auto"/>
            <w:bottom w:val="none" w:sz="0" w:space="0" w:color="auto"/>
            <w:right w:val="none" w:sz="0" w:space="0" w:color="auto"/>
          </w:divBdr>
        </w:div>
        <w:div w:id="1507939082">
          <w:marLeft w:val="850"/>
          <w:marRight w:val="0"/>
          <w:marTop w:val="240"/>
          <w:marBottom w:val="0"/>
          <w:divBdr>
            <w:top w:val="none" w:sz="0" w:space="0" w:color="auto"/>
            <w:left w:val="none" w:sz="0" w:space="0" w:color="auto"/>
            <w:bottom w:val="none" w:sz="0" w:space="0" w:color="auto"/>
            <w:right w:val="none" w:sz="0" w:space="0" w:color="auto"/>
          </w:divBdr>
        </w:div>
        <w:div w:id="1647467246">
          <w:marLeft w:val="850"/>
          <w:marRight w:val="0"/>
          <w:marTop w:val="240"/>
          <w:marBottom w:val="0"/>
          <w:divBdr>
            <w:top w:val="none" w:sz="0" w:space="0" w:color="auto"/>
            <w:left w:val="none" w:sz="0" w:space="0" w:color="auto"/>
            <w:bottom w:val="none" w:sz="0" w:space="0" w:color="auto"/>
            <w:right w:val="none" w:sz="0" w:space="0" w:color="auto"/>
          </w:divBdr>
        </w:div>
      </w:divsChild>
    </w:div>
    <w:div w:id="1858108409">
      <w:bodyDiv w:val="1"/>
      <w:marLeft w:val="0"/>
      <w:marRight w:val="0"/>
      <w:marTop w:val="0"/>
      <w:marBottom w:val="0"/>
      <w:divBdr>
        <w:top w:val="none" w:sz="0" w:space="0" w:color="auto"/>
        <w:left w:val="none" w:sz="0" w:space="0" w:color="auto"/>
        <w:bottom w:val="none" w:sz="0" w:space="0" w:color="auto"/>
        <w:right w:val="none" w:sz="0" w:space="0" w:color="auto"/>
      </w:divBdr>
      <w:divsChild>
        <w:div w:id="254024653">
          <w:marLeft w:val="547"/>
          <w:marRight w:val="0"/>
          <w:marTop w:val="0"/>
          <w:marBottom w:val="0"/>
          <w:divBdr>
            <w:top w:val="none" w:sz="0" w:space="0" w:color="auto"/>
            <w:left w:val="none" w:sz="0" w:space="0" w:color="auto"/>
            <w:bottom w:val="none" w:sz="0" w:space="0" w:color="auto"/>
            <w:right w:val="none" w:sz="0" w:space="0" w:color="auto"/>
          </w:divBdr>
        </w:div>
        <w:div w:id="1236403043">
          <w:marLeft w:val="547"/>
          <w:marRight w:val="0"/>
          <w:marTop w:val="0"/>
          <w:marBottom w:val="0"/>
          <w:divBdr>
            <w:top w:val="none" w:sz="0" w:space="0" w:color="auto"/>
            <w:left w:val="none" w:sz="0" w:space="0" w:color="auto"/>
            <w:bottom w:val="none" w:sz="0" w:space="0" w:color="auto"/>
            <w:right w:val="none" w:sz="0" w:space="0" w:color="auto"/>
          </w:divBdr>
        </w:div>
        <w:div w:id="1793281726">
          <w:marLeft w:val="547"/>
          <w:marRight w:val="0"/>
          <w:marTop w:val="0"/>
          <w:marBottom w:val="0"/>
          <w:divBdr>
            <w:top w:val="none" w:sz="0" w:space="0" w:color="auto"/>
            <w:left w:val="none" w:sz="0" w:space="0" w:color="auto"/>
            <w:bottom w:val="none" w:sz="0" w:space="0" w:color="auto"/>
            <w:right w:val="none" w:sz="0" w:space="0" w:color="auto"/>
          </w:divBdr>
        </w:div>
      </w:divsChild>
    </w:div>
    <w:div w:id="1913345364">
      <w:bodyDiv w:val="1"/>
      <w:marLeft w:val="0"/>
      <w:marRight w:val="0"/>
      <w:marTop w:val="0"/>
      <w:marBottom w:val="0"/>
      <w:divBdr>
        <w:top w:val="none" w:sz="0" w:space="0" w:color="auto"/>
        <w:left w:val="none" w:sz="0" w:space="0" w:color="auto"/>
        <w:bottom w:val="none" w:sz="0" w:space="0" w:color="auto"/>
        <w:right w:val="none" w:sz="0" w:space="0" w:color="auto"/>
      </w:divBdr>
    </w:div>
    <w:div w:id="1935280343">
      <w:bodyDiv w:val="1"/>
      <w:marLeft w:val="0"/>
      <w:marRight w:val="0"/>
      <w:marTop w:val="0"/>
      <w:marBottom w:val="0"/>
      <w:divBdr>
        <w:top w:val="none" w:sz="0" w:space="0" w:color="auto"/>
        <w:left w:val="none" w:sz="0" w:space="0" w:color="auto"/>
        <w:bottom w:val="none" w:sz="0" w:space="0" w:color="auto"/>
        <w:right w:val="none" w:sz="0" w:space="0" w:color="auto"/>
      </w:divBdr>
      <w:divsChild>
        <w:div w:id="135530883">
          <w:marLeft w:val="547"/>
          <w:marRight w:val="0"/>
          <w:marTop w:val="0"/>
          <w:marBottom w:val="0"/>
          <w:divBdr>
            <w:top w:val="none" w:sz="0" w:space="0" w:color="auto"/>
            <w:left w:val="none" w:sz="0" w:space="0" w:color="auto"/>
            <w:bottom w:val="none" w:sz="0" w:space="0" w:color="auto"/>
            <w:right w:val="none" w:sz="0" w:space="0" w:color="auto"/>
          </w:divBdr>
        </w:div>
      </w:divsChild>
    </w:div>
    <w:div w:id="1936475361">
      <w:bodyDiv w:val="1"/>
      <w:marLeft w:val="0"/>
      <w:marRight w:val="0"/>
      <w:marTop w:val="0"/>
      <w:marBottom w:val="0"/>
      <w:divBdr>
        <w:top w:val="none" w:sz="0" w:space="0" w:color="auto"/>
        <w:left w:val="none" w:sz="0" w:space="0" w:color="auto"/>
        <w:bottom w:val="none" w:sz="0" w:space="0" w:color="auto"/>
        <w:right w:val="none" w:sz="0" w:space="0" w:color="auto"/>
      </w:divBdr>
      <w:divsChild>
        <w:div w:id="1952739402">
          <w:marLeft w:val="547"/>
          <w:marRight w:val="0"/>
          <w:marTop w:val="0"/>
          <w:marBottom w:val="0"/>
          <w:divBdr>
            <w:top w:val="none" w:sz="0" w:space="0" w:color="auto"/>
            <w:left w:val="none" w:sz="0" w:space="0" w:color="auto"/>
            <w:bottom w:val="none" w:sz="0" w:space="0" w:color="auto"/>
            <w:right w:val="none" w:sz="0" w:space="0" w:color="auto"/>
          </w:divBdr>
        </w:div>
      </w:divsChild>
    </w:div>
    <w:div w:id="1944456681">
      <w:bodyDiv w:val="1"/>
      <w:marLeft w:val="0"/>
      <w:marRight w:val="0"/>
      <w:marTop w:val="0"/>
      <w:marBottom w:val="0"/>
      <w:divBdr>
        <w:top w:val="none" w:sz="0" w:space="0" w:color="auto"/>
        <w:left w:val="none" w:sz="0" w:space="0" w:color="auto"/>
        <w:bottom w:val="none" w:sz="0" w:space="0" w:color="auto"/>
        <w:right w:val="none" w:sz="0" w:space="0" w:color="auto"/>
      </w:divBdr>
    </w:div>
    <w:div w:id="1945264584">
      <w:bodyDiv w:val="1"/>
      <w:marLeft w:val="0"/>
      <w:marRight w:val="0"/>
      <w:marTop w:val="0"/>
      <w:marBottom w:val="0"/>
      <w:divBdr>
        <w:top w:val="none" w:sz="0" w:space="0" w:color="auto"/>
        <w:left w:val="none" w:sz="0" w:space="0" w:color="auto"/>
        <w:bottom w:val="none" w:sz="0" w:space="0" w:color="auto"/>
        <w:right w:val="none" w:sz="0" w:space="0" w:color="auto"/>
      </w:divBdr>
    </w:div>
    <w:div w:id="1946691403">
      <w:bodyDiv w:val="1"/>
      <w:marLeft w:val="0"/>
      <w:marRight w:val="0"/>
      <w:marTop w:val="0"/>
      <w:marBottom w:val="0"/>
      <w:divBdr>
        <w:top w:val="none" w:sz="0" w:space="0" w:color="auto"/>
        <w:left w:val="none" w:sz="0" w:space="0" w:color="auto"/>
        <w:bottom w:val="none" w:sz="0" w:space="0" w:color="auto"/>
        <w:right w:val="none" w:sz="0" w:space="0" w:color="auto"/>
      </w:divBdr>
    </w:div>
    <w:div w:id="1949047946">
      <w:bodyDiv w:val="1"/>
      <w:marLeft w:val="0"/>
      <w:marRight w:val="0"/>
      <w:marTop w:val="0"/>
      <w:marBottom w:val="0"/>
      <w:divBdr>
        <w:top w:val="none" w:sz="0" w:space="0" w:color="auto"/>
        <w:left w:val="none" w:sz="0" w:space="0" w:color="auto"/>
        <w:bottom w:val="none" w:sz="0" w:space="0" w:color="auto"/>
        <w:right w:val="none" w:sz="0" w:space="0" w:color="auto"/>
      </w:divBdr>
    </w:div>
    <w:div w:id="1976829093">
      <w:bodyDiv w:val="1"/>
      <w:marLeft w:val="0"/>
      <w:marRight w:val="0"/>
      <w:marTop w:val="0"/>
      <w:marBottom w:val="0"/>
      <w:divBdr>
        <w:top w:val="none" w:sz="0" w:space="0" w:color="auto"/>
        <w:left w:val="none" w:sz="0" w:space="0" w:color="auto"/>
        <w:bottom w:val="none" w:sz="0" w:space="0" w:color="auto"/>
        <w:right w:val="none" w:sz="0" w:space="0" w:color="auto"/>
      </w:divBdr>
    </w:div>
    <w:div w:id="1994021819">
      <w:bodyDiv w:val="1"/>
      <w:marLeft w:val="0"/>
      <w:marRight w:val="0"/>
      <w:marTop w:val="0"/>
      <w:marBottom w:val="0"/>
      <w:divBdr>
        <w:top w:val="none" w:sz="0" w:space="0" w:color="auto"/>
        <w:left w:val="none" w:sz="0" w:space="0" w:color="auto"/>
        <w:bottom w:val="none" w:sz="0" w:space="0" w:color="auto"/>
        <w:right w:val="none" w:sz="0" w:space="0" w:color="auto"/>
      </w:divBdr>
    </w:div>
    <w:div w:id="2006738550">
      <w:bodyDiv w:val="1"/>
      <w:marLeft w:val="0"/>
      <w:marRight w:val="0"/>
      <w:marTop w:val="0"/>
      <w:marBottom w:val="0"/>
      <w:divBdr>
        <w:top w:val="none" w:sz="0" w:space="0" w:color="auto"/>
        <w:left w:val="none" w:sz="0" w:space="0" w:color="auto"/>
        <w:bottom w:val="none" w:sz="0" w:space="0" w:color="auto"/>
        <w:right w:val="none" w:sz="0" w:space="0" w:color="auto"/>
      </w:divBdr>
      <w:divsChild>
        <w:div w:id="381826575">
          <w:marLeft w:val="547"/>
          <w:marRight w:val="0"/>
          <w:marTop w:val="0"/>
          <w:marBottom w:val="0"/>
          <w:divBdr>
            <w:top w:val="none" w:sz="0" w:space="0" w:color="auto"/>
            <w:left w:val="none" w:sz="0" w:space="0" w:color="auto"/>
            <w:bottom w:val="none" w:sz="0" w:space="0" w:color="auto"/>
            <w:right w:val="none" w:sz="0" w:space="0" w:color="auto"/>
          </w:divBdr>
        </w:div>
      </w:divsChild>
    </w:div>
    <w:div w:id="2022270379">
      <w:bodyDiv w:val="1"/>
      <w:marLeft w:val="0"/>
      <w:marRight w:val="0"/>
      <w:marTop w:val="0"/>
      <w:marBottom w:val="0"/>
      <w:divBdr>
        <w:top w:val="none" w:sz="0" w:space="0" w:color="auto"/>
        <w:left w:val="none" w:sz="0" w:space="0" w:color="auto"/>
        <w:bottom w:val="none" w:sz="0" w:space="0" w:color="auto"/>
        <w:right w:val="none" w:sz="0" w:space="0" w:color="auto"/>
      </w:divBdr>
    </w:div>
    <w:div w:id="2025015240">
      <w:bodyDiv w:val="1"/>
      <w:marLeft w:val="0"/>
      <w:marRight w:val="0"/>
      <w:marTop w:val="0"/>
      <w:marBottom w:val="0"/>
      <w:divBdr>
        <w:top w:val="none" w:sz="0" w:space="0" w:color="auto"/>
        <w:left w:val="none" w:sz="0" w:space="0" w:color="auto"/>
        <w:bottom w:val="none" w:sz="0" w:space="0" w:color="auto"/>
        <w:right w:val="none" w:sz="0" w:space="0" w:color="auto"/>
      </w:divBdr>
    </w:div>
    <w:div w:id="2051299523">
      <w:bodyDiv w:val="1"/>
      <w:marLeft w:val="0"/>
      <w:marRight w:val="0"/>
      <w:marTop w:val="0"/>
      <w:marBottom w:val="0"/>
      <w:divBdr>
        <w:top w:val="none" w:sz="0" w:space="0" w:color="auto"/>
        <w:left w:val="none" w:sz="0" w:space="0" w:color="auto"/>
        <w:bottom w:val="none" w:sz="0" w:space="0" w:color="auto"/>
        <w:right w:val="none" w:sz="0" w:space="0" w:color="auto"/>
      </w:divBdr>
    </w:div>
    <w:div w:id="2055734609">
      <w:bodyDiv w:val="1"/>
      <w:marLeft w:val="0"/>
      <w:marRight w:val="0"/>
      <w:marTop w:val="0"/>
      <w:marBottom w:val="0"/>
      <w:divBdr>
        <w:top w:val="none" w:sz="0" w:space="0" w:color="auto"/>
        <w:left w:val="none" w:sz="0" w:space="0" w:color="auto"/>
        <w:bottom w:val="none" w:sz="0" w:space="0" w:color="auto"/>
        <w:right w:val="none" w:sz="0" w:space="0" w:color="auto"/>
      </w:divBdr>
    </w:div>
    <w:div w:id="2069911699">
      <w:bodyDiv w:val="1"/>
      <w:marLeft w:val="0"/>
      <w:marRight w:val="0"/>
      <w:marTop w:val="0"/>
      <w:marBottom w:val="0"/>
      <w:divBdr>
        <w:top w:val="none" w:sz="0" w:space="0" w:color="auto"/>
        <w:left w:val="none" w:sz="0" w:space="0" w:color="auto"/>
        <w:bottom w:val="none" w:sz="0" w:space="0" w:color="auto"/>
        <w:right w:val="none" w:sz="0" w:space="0" w:color="auto"/>
      </w:divBdr>
    </w:div>
    <w:div w:id="2075198022">
      <w:bodyDiv w:val="1"/>
      <w:marLeft w:val="0"/>
      <w:marRight w:val="0"/>
      <w:marTop w:val="0"/>
      <w:marBottom w:val="0"/>
      <w:divBdr>
        <w:top w:val="none" w:sz="0" w:space="0" w:color="auto"/>
        <w:left w:val="none" w:sz="0" w:space="0" w:color="auto"/>
        <w:bottom w:val="none" w:sz="0" w:space="0" w:color="auto"/>
        <w:right w:val="none" w:sz="0" w:space="0" w:color="auto"/>
      </w:divBdr>
    </w:div>
    <w:div w:id="2080860230">
      <w:bodyDiv w:val="1"/>
      <w:marLeft w:val="0"/>
      <w:marRight w:val="0"/>
      <w:marTop w:val="0"/>
      <w:marBottom w:val="0"/>
      <w:divBdr>
        <w:top w:val="none" w:sz="0" w:space="0" w:color="auto"/>
        <w:left w:val="none" w:sz="0" w:space="0" w:color="auto"/>
        <w:bottom w:val="none" w:sz="0" w:space="0" w:color="auto"/>
        <w:right w:val="none" w:sz="0" w:space="0" w:color="auto"/>
      </w:divBdr>
    </w:div>
    <w:div w:id="2087263552">
      <w:bodyDiv w:val="1"/>
      <w:marLeft w:val="0"/>
      <w:marRight w:val="0"/>
      <w:marTop w:val="0"/>
      <w:marBottom w:val="0"/>
      <w:divBdr>
        <w:top w:val="none" w:sz="0" w:space="0" w:color="auto"/>
        <w:left w:val="none" w:sz="0" w:space="0" w:color="auto"/>
        <w:bottom w:val="none" w:sz="0" w:space="0" w:color="auto"/>
        <w:right w:val="none" w:sz="0" w:space="0" w:color="auto"/>
      </w:divBdr>
    </w:div>
    <w:div w:id="2096853309">
      <w:bodyDiv w:val="1"/>
      <w:marLeft w:val="0"/>
      <w:marRight w:val="0"/>
      <w:marTop w:val="0"/>
      <w:marBottom w:val="0"/>
      <w:divBdr>
        <w:top w:val="none" w:sz="0" w:space="0" w:color="auto"/>
        <w:left w:val="none" w:sz="0" w:space="0" w:color="auto"/>
        <w:bottom w:val="none" w:sz="0" w:space="0" w:color="auto"/>
        <w:right w:val="none" w:sz="0" w:space="0" w:color="auto"/>
      </w:divBdr>
    </w:div>
    <w:div w:id="2097825370">
      <w:bodyDiv w:val="1"/>
      <w:marLeft w:val="0"/>
      <w:marRight w:val="0"/>
      <w:marTop w:val="0"/>
      <w:marBottom w:val="0"/>
      <w:divBdr>
        <w:top w:val="none" w:sz="0" w:space="0" w:color="auto"/>
        <w:left w:val="none" w:sz="0" w:space="0" w:color="auto"/>
        <w:bottom w:val="none" w:sz="0" w:space="0" w:color="auto"/>
        <w:right w:val="none" w:sz="0" w:space="0" w:color="auto"/>
      </w:divBdr>
    </w:div>
    <w:div w:id="2127235749">
      <w:bodyDiv w:val="1"/>
      <w:marLeft w:val="0"/>
      <w:marRight w:val="0"/>
      <w:marTop w:val="0"/>
      <w:marBottom w:val="0"/>
      <w:divBdr>
        <w:top w:val="none" w:sz="0" w:space="0" w:color="auto"/>
        <w:left w:val="none" w:sz="0" w:space="0" w:color="auto"/>
        <w:bottom w:val="none" w:sz="0" w:space="0" w:color="auto"/>
        <w:right w:val="none" w:sz="0" w:space="0" w:color="auto"/>
      </w:divBdr>
    </w:div>
    <w:div w:id="2140102494">
      <w:bodyDiv w:val="1"/>
      <w:marLeft w:val="0"/>
      <w:marRight w:val="0"/>
      <w:marTop w:val="0"/>
      <w:marBottom w:val="0"/>
      <w:divBdr>
        <w:top w:val="none" w:sz="0" w:space="0" w:color="auto"/>
        <w:left w:val="none" w:sz="0" w:space="0" w:color="auto"/>
        <w:bottom w:val="none" w:sz="0" w:space="0" w:color="auto"/>
        <w:right w:val="none" w:sz="0" w:space="0" w:color="auto"/>
      </w:divBdr>
    </w:div>
    <w:div w:id="214172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626F03E8FB312D47BEBB09767D8C1FF2" ma:contentTypeVersion="10" ma:contentTypeDescription="Crear nuevo documento." ma:contentTypeScope="" ma:versionID="c3c702cffb2d375fb0f8dd2e27c6de3b">
  <xsd:schema xmlns:xsd="http://www.w3.org/2001/XMLSchema" xmlns:xs="http://www.w3.org/2001/XMLSchema" xmlns:p="http://schemas.microsoft.com/office/2006/metadata/properties" xmlns:ns2="21c21789-2aa1-47eb-9c4d-00dc9f0105b8" xmlns:ns3="2464e5df-6132-42f1-8bd1-5be3ff54df1c" targetNamespace="http://schemas.microsoft.com/office/2006/metadata/properties" ma:root="true" ma:fieldsID="ed6bf7e41c22d4475ea4400e28ed0e9a" ns2:_="" ns3:_="">
    <xsd:import namespace="21c21789-2aa1-47eb-9c4d-00dc9f0105b8"/>
    <xsd:import namespace="2464e5df-6132-42f1-8bd1-5be3ff54df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21789-2aa1-47eb-9c4d-00dc9f0105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64e5df-6132-42f1-8bd1-5be3ff54df1c"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77F79-458D-4380-B307-77EA1AFDF55E}">
  <ds:schemaRefs>
    <ds:schemaRef ds:uri="http://schemas.microsoft.com/office/infopath/2007/PartnerControls"/>
    <ds:schemaRef ds:uri="http://purl.org/dc/elements/1.1/"/>
    <ds:schemaRef ds:uri="21c21789-2aa1-47eb-9c4d-00dc9f0105b8"/>
    <ds:schemaRef ds:uri="http://purl.org/dc/term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2464e5df-6132-42f1-8bd1-5be3ff54df1c"/>
    <ds:schemaRef ds:uri="http://www.w3.org/XML/1998/namespace"/>
  </ds:schemaRefs>
</ds:datastoreItem>
</file>

<file path=customXml/itemProps2.xml><?xml version="1.0" encoding="utf-8"?>
<ds:datastoreItem xmlns:ds="http://schemas.openxmlformats.org/officeDocument/2006/customXml" ds:itemID="{3FB41D91-192D-49D1-B9CB-A1097C632B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21789-2aa1-47eb-9c4d-00dc9f0105b8"/>
    <ds:schemaRef ds:uri="2464e5df-6132-42f1-8bd1-5be3ff54d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B3B976-DDEF-4902-951B-9EC1BF406D43}">
  <ds:schemaRefs>
    <ds:schemaRef ds:uri="http://schemas.microsoft.com/sharepoint/v3/contenttype/forms"/>
  </ds:schemaRefs>
</ds:datastoreItem>
</file>

<file path=customXml/itemProps4.xml><?xml version="1.0" encoding="utf-8"?>
<ds:datastoreItem xmlns:ds="http://schemas.openxmlformats.org/officeDocument/2006/customXml" ds:itemID="{BC671F0B-B084-1540-92A1-7FDE90742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10</Pages>
  <Words>13570</Words>
  <Characters>74640</Characters>
  <Application>Microsoft Office Word</Application>
  <DocSecurity>0</DocSecurity>
  <Lines>622</Lines>
  <Paragraphs>176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Bleric Alcala</dc:creator>
  <cp:keywords/>
  <dc:description/>
  <cp:lastModifiedBy>Néboa Zozaya</cp:lastModifiedBy>
  <cp:revision>174</cp:revision>
  <cp:lastPrinted>2021-06-17T09:27:00Z</cp:lastPrinted>
  <dcterms:created xsi:type="dcterms:W3CDTF">2021-12-15T07:55:00Z</dcterms:created>
  <dcterms:modified xsi:type="dcterms:W3CDTF">2022-02-14T12:08:00Z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id="qQQ4PZ9l"/&gt;&lt;style id="http://www.zotero.org/styles/bmc-pulmonary-medicine" hasBibliography="1" bibliographyStyleHasBeenSet="1"/&gt;&lt;prefs&gt;&lt;pref name="fieldType" value="Field"/&gt;&lt;pref name="automati</vt:lpwstr>
  </property>
  <property fmtid="{D5CDD505-2E9C-101B-9397-08002B2CF9AE}" pid="3" name="ZOTERO_PREF_2">
    <vt:lpwstr>cJournalAbbreviations" value="true"/&gt;&lt;pref name="dontAskDelayCitationUpdates" value="true"/&gt;&lt;/prefs&gt;&lt;/data&gt;</vt:lpwstr>
  </property>
  <property fmtid="{D5CDD505-2E9C-101B-9397-08002B2CF9AE}" pid="4" name="ContentTypeId">
    <vt:lpwstr>0x010100626F03E8FB312D47BEBB09767D8C1FF2</vt:lpwstr>
  </property>
</Properties>
</file>