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E4" w:rsidRPr="00AA144B" w:rsidRDefault="008710E4" w:rsidP="008710E4">
      <w:pPr>
        <w:spacing w:line="240" w:lineRule="auto"/>
        <w:rPr>
          <w:sz w:val="24"/>
        </w:rPr>
      </w:pPr>
      <w:bookmarkStart w:id="0" w:name="_GoBack"/>
      <w:bookmarkEnd w:id="0"/>
      <w:r w:rsidRPr="00AA144B">
        <w:rPr>
          <w:b/>
          <w:sz w:val="24"/>
        </w:rPr>
        <w:t>Supplementary Table 1.</w:t>
      </w:r>
      <w:r w:rsidRPr="00AA144B">
        <w:rPr>
          <w:sz w:val="24"/>
        </w:rPr>
        <w:t xml:space="preserve"> </w:t>
      </w:r>
    </w:p>
    <w:p w:rsidR="008710E4" w:rsidRPr="00AA144B" w:rsidRDefault="008710E4" w:rsidP="008710E4">
      <w:pPr>
        <w:spacing w:line="240" w:lineRule="auto"/>
        <w:rPr>
          <w:sz w:val="24"/>
        </w:rPr>
      </w:pPr>
      <w:r w:rsidRPr="00AA144B">
        <w:rPr>
          <w:sz w:val="24"/>
        </w:rPr>
        <w:t>Estimated hazard ratio of all-cause mortality among newly diagnosed COPD patients using Cox proportional hazards model.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1"/>
        <w:gridCol w:w="4495"/>
        <w:gridCol w:w="4397"/>
        <w:gridCol w:w="4394"/>
      </w:tblGrid>
      <w:tr w:rsidR="008710E4" w:rsidRPr="00AA144B" w:rsidTr="007F6614">
        <w:trPr>
          <w:trHeight w:val="384"/>
        </w:trPr>
        <w:tc>
          <w:tcPr>
            <w:tcW w:w="179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Persistent smoker</w:t>
            </w:r>
          </w:p>
        </w:tc>
        <w:tc>
          <w:tcPr>
            <w:tcW w:w="1604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Quitter</w:t>
            </w:r>
          </w:p>
        </w:tc>
      </w:tr>
      <w:tr w:rsidR="008710E4" w:rsidRPr="00AA144B" w:rsidTr="007F6614">
        <w:trPr>
          <w:trHeight w:val="283"/>
        </w:trPr>
        <w:tc>
          <w:tcPr>
            <w:tcW w:w="179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All-cause mortality</w:t>
            </w:r>
          </w:p>
        </w:tc>
        <w:tc>
          <w:tcPr>
            <w:tcW w:w="1605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0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Cases, n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3</w:t>
            </w:r>
            <w:r w:rsidRPr="00AA144B">
              <w:rPr>
                <w:sz w:val="24"/>
              </w:rPr>
              <w:t>79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1</w:t>
            </w:r>
            <w:r w:rsidRPr="00AA144B">
              <w:rPr>
                <w:sz w:val="24"/>
              </w:rPr>
              <w:t>85</w:t>
            </w: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Person-years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9</w:t>
            </w:r>
            <w:r w:rsidRPr="00AA144B">
              <w:rPr>
                <w:sz w:val="24"/>
              </w:rPr>
              <w:t>387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3</w:t>
            </w:r>
            <w:r w:rsidRPr="00AA144B">
              <w:rPr>
                <w:sz w:val="24"/>
              </w:rPr>
              <w:t>975</w:t>
            </w: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proofErr w:type="spellStart"/>
            <w:r w:rsidRPr="00AA144B">
              <w:rPr>
                <w:b/>
                <w:sz w:val="24"/>
              </w:rPr>
              <w:t>aHR</w:t>
            </w:r>
            <w:proofErr w:type="spellEnd"/>
            <w:r w:rsidRPr="00245C4E">
              <w:rPr>
                <w:b/>
                <w:sz w:val="24"/>
                <w:vertAlign w:val="superscript"/>
              </w:rPr>
              <w:t>*</w:t>
            </w:r>
            <w:r w:rsidRPr="00AA144B">
              <w:rPr>
                <w:b/>
                <w:sz w:val="24"/>
              </w:rPr>
              <w:t>(95% CI)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1</w:t>
            </w:r>
            <w:r w:rsidRPr="00AA144B">
              <w:rPr>
                <w:sz w:val="24"/>
              </w:rPr>
              <w:t>.20 (1.00-1.44)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sz w:val="24"/>
              </w:rPr>
              <w:t>1(Reference)</w:t>
            </w: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i/>
                <w:sz w:val="24"/>
              </w:rPr>
              <w:t>p</w:t>
            </w:r>
            <w:r w:rsidRPr="00AA144B">
              <w:rPr>
                <w:b/>
                <w:sz w:val="24"/>
              </w:rPr>
              <w:t>-value</w:t>
            </w:r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0</w:t>
            </w:r>
            <w:r w:rsidRPr="00AA144B">
              <w:rPr>
                <w:sz w:val="24"/>
              </w:rPr>
              <w:t>.049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Population attributable fraction</w:t>
            </w:r>
            <w:r w:rsidRPr="00245C4E">
              <w:rPr>
                <w:b/>
                <w:sz w:val="24"/>
                <w:vertAlign w:val="superscript"/>
              </w:rPr>
              <w:t>*</w:t>
            </w:r>
            <w:proofErr w:type="gramStart"/>
            <w:r w:rsidRPr="00245C4E">
              <w:rPr>
                <w:b/>
                <w:sz w:val="24"/>
                <w:vertAlign w:val="superscript"/>
              </w:rPr>
              <w:t>*</w:t>
            </w:r>
            <w:r w:rsidRPr="00AA144B">
              <w:rPr>
                <w:b/>
                <w:sz w:val="24"/>
              </w:rPr>
              <w:t>,%</w:t>
            </w:r>
            <w:proofErr w:type="gramEnd"/>
          </w:p>
        </w:tc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rFonts w:hint="eastAsia"/>
                <w:sz w:val="24"/>
              </w:rPr>
              <w:t>1</w:t>
            </w:r>
            <w:r w:rsidRPr="00AA144B">
              <w:rPr>
                <w:sz w:val="24"/>
              </w:rPr>
              <w:t>1.4%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</w:tr>
      <w:tr w:rsidR="008710E4" w:rsidRPr="00AA144B" w:rsidTr="007F6614">
        <w:trPr>
          <w:trHeight w:val="283"/>
        </w:trPr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b/>
                <w:sz w:val="24"/>
              </w:rPr>
            </w:pPr>
            <w:r w:rsidRPr="00AA144B">
              <w:rPr>
                <w:b/>
                <w:sz w:val="24"/>
              </w:rPr>
              <w:t>NNT</w:t>
            </w:r>
            <w:r w:rsidRPr="00245C4E">
              <w:rPr>
                <w:rFonts w:ascii="맑은 고딕" w:eastAsia="맑은 고딕" w:hAnsi="맑은 고딕" w:hint="eastAsia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†</w:t>
            </w:r>
            <w:r w:rsidRPr="00AA144B">
              <w:rPr>
                <w:b/>
                <w:sz w:val="24"/>
              </w:rPr>
              <w:t xml:space="preserve"> at 10-year follow-up</w:t>
            </w:r>
          </w:p>
        </w:tc>
        <w:tc>
          <w:tcPr>
            <w:tcW w:w="16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  <w:r w:rsidRPr="00AA144B">
              <w:rPr>
                <w:sz w:val="24"/>
              </w:rPr>
              <w:t>21.0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10E4" w:rsidRPr="00AA144B" w:rsidRDefault="008710E4" w:rsidP="007F6614">
            <w:pPr>
              <w:rPr>
                <w:sz w:val="24"/>
              </w:rPr>
            </w:pPr>
          </w:p>
        </w:tc>
      </w:tr>
    </w:tbl>
    <w:p w:rsidR="008710E4" w:rsidRPr="00AA144B" w:rsidRDefault="008710E4" w:rsidP="008710E4">
      <w:pPr>
        <w:spacing w:line="240" w:lineRule="auto"/>
        <w:jc w:val="left"/>
        <w:rPr>
          <w:sz w:val="24"/>
          <w:szCs w:val="20"/>
        </w:rPr>
      </w:pPr>
      <w:r w:rsidRPr="00AA144B">
        <w:rPr>
          <w:sz w:val="24"/>
          <w:szCs w:val="20"/>
        </w:rPr>
        <w:t xml:space="preserve">Abbreviations </w:t>
      </w:r>
      <w:proofErr w:type="spellStart"/>
      <w:r w:rsidRPr="00AA144B">
        <w:rPr>
          <w:sz w:val="24"/>
          <w:szCs w:val="20"/>
        </w:rPr>
        <w:t>aHR</w:t>
      </w:r>
      <w:proofErr w:type="spellEnd"/>
      <w:r w:rsidRPr="00AA144B">
        <w:rPr>
          <w:sz w:val="24"/>
          <w:szCs w:val="20"/>
        </w:rPr>
        <w:t>, adjusted hazard ratio; CI, confidence interval; NNT, numbers needed to treat;</w:t>
      </w:r>
    </w:p>
    <w:p w:rsidR="008710E4" w:rsidRPr="004D7598" w:rsidRDefault="008710E4" w:rsidP="008710E4">
      <w:pPr>
        <w:spacing w:line="240" w:lineRule="auto"/>
        <w:jc w:val="left"/>
        <w:rPr>
          <w:sz w:val="24"/>
          <w:szCs w:val="20"/>
        </w:rPr>
      </w:pPr>
      <w:r w:rsidRPr="00245C4E">
        <w:rPr>
          <w:b/>
          <w:sz w:val="24"/>
          <w:vertAlign w:val="superscript"/>
        </w:rPr>
        <w:t>*</w:t>
      </w:r>
      <w:r w:rsidRPr="004D7598">
        <w:rPr>
          <w:sz w:val="24"/>
          <w:szCs w:val="20"/>
        </w:rPr>
        <w:t xml:space="preserve">Adjusted hazard ratio calculated by cox proportional hazards regression analysis after adjustment for age, household income, alcohol consumption, physical exercise, BMI, systolic blood pressure, fasting serum glucose, total cholesterol, </w:t>
      </w:r>
      <w:proofErr w:type="spellStart"/>
      <w:r w:rsidRPr="004D7598">
        <w:rPr>
          <w:sz w:val="24"/>
          <w:szCs w:val="20"/>
        </w:rPr>
        <w:t>Charlson</w:t>
      </w:r>
      <w:proofErr w:type="spellEnd"/>
      <w:r w:rsidRPr="004D7598">
        <w:rPr>
          <w:sz w:val="24"/>
          <w:szCs w:val="20"/>
        </w:rPr>
        <w:t xml:space="preserve"> comorbidity index, and COPD severity.</w:t>
      </w:r>
    </w:p>
    <w:p w:rsidR="008710E4" w:rsidRDefault="008710E4" w:rsidP="008710E4">
      <w:pPr>
        <w:spacing w:line="240" w:lineRule="auto"/>
        <w:rPr>
          <w:sz w:val="24"/>
        </w:rPr>
      </w:pPr>
      <w:r w:rsidRPr="00245C4E">
        <w:rPr>
          <w:b/>
          <w:sz w:val="24"/>
          <w:vertAlign w:val="superscript"/>
        </w:rPr>
        <w:t>**</w:t>
      </w:r>
      <w:r w:rsidRPr="00AA144B">
        <w:rPr>
          <w:sz w:val="24"/>
          <w:szCs w:val="20"/>
        </w:rPr>
        <w:t>calculated by p*(1-(1/HR)) where p is the prevalence of persistent smokers among outcome cases.</w:t>
      </w:r>
    </w:p>
    <w:p w:rsidR="008710E4" w:rsidRPr="00AA144B" w:rsidRDefault="008710E4" w:rsidP="008710E4">
      <w:pPr>
        <w:spacing w:line="240" w:lineRule="auto"/>
        <w:rPr>
          <w:sz w:val="24"/>
          <w:szCs w:val="20"/>
        </w:rPr>
      </w:pPr>
      <w:r w:rsidRPr="00245C4E">
        <w:rPr>
          <w:rFonts w:ascii="맑은 고딕" w:eastAsia="맑은 고딕" w:hAnsi="맑은 고딕" w:hint="eastAsia"/>
          <w:b/>
          <w:bCs/>
          <w:color w:val="000000"/>
          <w:kern w:val="0"/>
          <w:sz w:val="24"/>
          <w:szCs w:val="24"/>
          <w:vertAlign w:val="superscript"/>
        </w:rPr>
        <w:t>†</w:t>
      </w:r>
      <w:r w:rsidRPr="00AA144B">
        <w:rPr>
          <w:sz w:val="24"/>
          <w:szCs w:val="20"/>
        </w:rPr>
        <w:t>calculated by 1/([S</w:t>
      </w:r>
      <w:r w:rsidRPr="00AA144B">
        <w:rPr>
          <w:sz w:val="24"/>
          <w:szCs w:val="20"/>
          <w:vertAlign w:val="subscript"/>
        </w:rPr>
        <w:t>c</w:t>
      </w:r>
      <w:r w:rsidRPr="00AA144B">
        <w:rPr>
          <w:sz w:val="24"/>
          <w:szCs w:val="20"/>
        </w:rPr>
        <w:t>(t)]</w:t>
      </w:r>
      <w:r w:rsidRPr="00AA144B">
        <w:rPr>
          <w:sz w:val="24"/>
          <w:szCs w:val="20"/>
          <w:vertAlign w:val="superscript"/>
        </w:rPr>
        <w:t>h</w:t>
      </w:r>
      <w:r w:rsidRPr="00AA144B">
        <w:rPr>
          <w:sz w:val="24"/>
          <w:szCs w:val="20"/>
        </w:rPr>
        <w:t>-Sc(t)) where S</w:t>
      </w:r>
      <w:r w:rsidRPr="00AA144B">
        <w:rPr>
          <w:sz w:val="24"/>
          <w:szCs w:val="20"/>
          <w:vertAlign w:val="subscript"/>
        </w:rPr>
        <w:t>c</w:t>
      </w:r>
      <w:r w:rsidRPr="00AA144B">
        <w:rPr>
          <w:sz w:val="24"/>
          <w:szCs w:val="20"/>
        </w:rPr>
        <w:t>(t) is the survival probability of the persistent smoker group and h is the hazard ratio of the persistent smoker group referent to the quitter group.</w:t>
      </w:r>
    </w:p>
    <w:p w:rsidR="00CD1634" w:rsidRPr="008710E4" w:rsidRDefault="00CD1634"/>
    <w:sectPr w:rsidR="00CD1634" w:rsidRPr="008710E4" w:rsidSect="008710E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A44" w:rsidRDefault="006C3A44" w:rsidP="00034F85">
      <w:pPr>
        <w:spacing w:line="240" w:lineRule="auto"/>
      </w:pPr>
      <w:r>
        <w:separator/>
      </w:r>
    </w:p>
  </w:endnote>
  <w:endnote w:type="continuationSeparator" w:id="0">
    <w:p w:rsidR="006C3A44" w:rsidRDefault="006C3A44" w:rsidP="00034F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A44" w:rsidRDefault="006C3A44" w:rsidP="00034F85">
      <w:pPr>
        <w:spacing w:line="240" w:lineRule="auto"/>
      </w:pPr>
      <w:r>
        <w:separator/>
      </w:r>
    </w:p>
  </w:footnote>
  <w:footnote w:type="continuationSeparator" w:id="0">
    <w:p w:rsidR="006C3A44" w:rsidRDefault="006C3A44" w:rsidP="00034F8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E4"/>
    <w:rsid w:val="00034F85"/>
    <w:rsid w:val="0060331B"/>
    <w:rsid w:val="006C3A44"/>
    <w:rsid w:val="008710E4"/>
    <w:rsid w:val="00CD1634"/>
    <w:rsid w:val="00EE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FE8F04D-B28F-4DAF-A927-0C59A78E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iCs/>
        <w:kern w:val="2"/>
        <w:sz w:val="22"/>
        <w:szCs w:val="22"/>
        <w:lang w:val="en-US" w:eastAsia="ko-KR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0E4"/>
    <w:rPr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0E4"/>
    <w:pPr>
      <w:spacing w:line="240" w:lineRule="auto"/>
    </w:pPr>
    <w:rPr>
      <w:i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34F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34F85"/>
    <w:rPr>
      <w:iCs w:val="0"/>
    </w:rPr>
  </w:style>
  <w:style w:type="paragraph" w:styleId="a5">
    <w:name w:val="footer"/>
    <w:basedOn w:val="a"/>
    <w:link w:val="Char0"/>
    <w:uiPriority w:val="99"/>
    <w:unhideWhenUsed/>
    <w:rsid w:val="00034F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34F85"/>
    <w:rPr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865</Characters>
  <Application>Microsoft Office Word</Application>
  <DocSecurity>0</DocSecurity>
  <Lines>41</Lines>
  <Paragraphs>39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</dc:creator>
  <cp:keywords/>
  <dc:description/>
  <cp:lastModifiedBy>ee</cp:lastModifiedBy>
  <cp:revision>2</cp:revision>
  <dcterms:created xsi:type="dcterms:W3CDTF">2023-01-21T13:32:00Z</dcterms:created>
  <dcterms:modified xsi:type="dcterms:W3CDTF">2023-01-21T13:32:00Z</dcterms:modified>
</cp:coreProperties>
</file>