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2"/>
        <w:gridCol w:w="7228"/>
      </w:tblGrid>
      <w:tr w:rsidR="002D3567">
        <w:trPr>
          <w:trHeight w:val="454"/>
        </w:trPr>
        <w:tc>
          <w:tcPr>
            <w:tcW w:w="21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D3567" w:rsidRDefault="0000000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Numbered pages</w:t>
            </w:r>
          </w:p>
        </w:tc>
        <w:tc>
          <w:tcPr>
            <w:tcW w:w="7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D3567" w:rsidRDefault="0000000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Contents</w:t>
            </w:r>
          </w:p>
        </w:tc>
      </w:tr>
      <w:tr w:rsidR="002D3567">
        <w:trPr>
          <w:trHeight w:val="680"/>
        </w:trPr>
        <w:tc>
          <w:tcPr>
            <w:tcW w:w="216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bookmarkStart w:id="0" w:name="OLE_LINK3"/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Page 2</w:t>
            </w:r>
            <w:bookmarkEnd w:id="0"/>
          </w:p>
        </w:tc>
        <w:tc>
          <w:tcPr>
            <w:tcW w:w="741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Text S1.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Detailed description of four scoring systems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</w:t>
            </w:r>
          </w:p>
        </w:tc>
      </w:tr>
      <w:tr w:rsidR="002D3567">
        <w:trPr>
          <w:trHeight w:val="68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Page 3</w:t>
            </w:r>
          </w:p>
        </w:tc>
        <w:tc>
          <w:tcPr>
            <w:tcW w:w="7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Figure S1.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Distribution of PECSS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across different PE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severity grade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the derivation set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</w:t>
            </w:r>
          </w:p>
        </w:tc>
      </w:tr>
      <w:tr w:rsidR="002D3567">
        <w:trPr>
          <w:trHeight w:val="68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Page 4</w:t>
            </w:r>
          </w:p>
        </w:tc>
        <w:tc>
          <w:tcPr>
            <w:tcW w:w="7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Figure S2.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Distribution of D-Dimer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across different PE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severity grade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the derivation set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</w:t>
            </w:r>
          </w:p>
        </w:tc>
      </w:tr>
      <w:tr w:rsidR="002D3567">
        <w:trPr>
          <w:trHeight w:val="68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Page 5</w:t>
            </w:r>
          </w:p>
        </w:tc>
        <w:tc>
          <w:tcPr>
            <w:tcW w:w="7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Figure S3.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Distribution of D-Dimer within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each PECSS stratum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the derivation set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</w:t>
            </w:r>
          </w:p>
        </w:tc>
      </w:tr>
      <w:tr w:rsidR="002D3567">
        <w:trPr>
          <w:trHeight w:val="68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Page 6</w:t>
            </w:r>
          </w:p>
        </w:tc>
        <w:tc>
          <w:tcPr>
            <w:tcW w:w="7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Table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S1.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Distribution of each candidate predictor and Well’s score indicator across different PE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severity grade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the derivation set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</w:t>
            </w:r>
          </w:p>
        </w:tc>
      </w:tr>
      <w:tr w:rsidR="002D3567">
        <w:trPr>
          <w:trHeight w:val="68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Page 7</w:t>
            </w:r>
          </w:p>
        </w:tc>
        <w:tc>
          <w:tcPr>
            <w:tcW w:w="7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Table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S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Distribution of each candidate predictor and Well’s score indicator across different PE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severity grade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the validation set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</w:t>
            </w:r>
          </w:p>
        </w:tc>
      </w:tr>
      <w:tr w:rsidR="002D3567">
        <w:trPr>
          <w:trHeight w:val="68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Page 8</w:t>
            </w:r>
          </w:p>
        </w:tc>
        <w:tc>
          <w:tcPr>
            <w:tcW w:w="7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567" w:rsidRDefault="00000000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bookmarkStart w:id="1" w:name="OLE_LINK6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T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ble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Comparison of screening performances in four scoring system in the validation set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</w:t>
            </w:r>
            <w:bookmarkEnd w:id="1"/>
          </w:p>
        </w:tc>
      </w:tr>
      <w:tr w:rsidR="002D3567">
        <w:trPr>
          <w:trHeight w:val="680"/>
        </w:trPr>
        <w:tc>
          <w:tcPr>
            <w:tcW w:w="21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D3567" w:rsidRDefault="00000000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Page9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D3567" w:rsidRDefault="00000000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Reference</w:t>
            </w:r>
          </w:p>
        </w:tc>
      </w:tr>
    </w:tbl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000000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lastRenderedPageBreak/>
        <w:t xml:space="preserve">Text S1. 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Detailed description of four scoring systems</w:t>
      </w:r>
    </w:p>
    <w:p w:rsidR="002D3567" w:rsidRDefault="00000000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t>Wells score only:</w:t>
      </w:r>
    </w:p>
    <w:p w:rsidR="002D3567" w:rsidRDefault="00000000">
      <w:pPr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</w:pP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If W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ells score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≤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4, patients were diagnosed as no PE and other patients needed to undergo CTPA</w:t>
      </w:r>
      <w:r>
        <w:rPr>
          <w:rFonts w:ascii="Times New Roman" w:eastAsia="SimSun" w:hAnsi="Times New Roman" w:cs="Times New Roman"/>
          <w:sz w:val="20"/>
          <w:szCs w:val="20"/>
          <w:lang w:val="en-GB" w:eastAsia="zh-CN"/>
        </w:rPr>
        <w:t>.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  <w:lang w:eastAsia="zh-CN"/>
        </w:rPr>
        <w:t>1</w:t>
      </w:r>
    </w:p>
    <w:p w:rsidR="002D3567" w:rsidRDefault="002D3567">
      <w:pPr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000000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t>Wells score + D-Dimer:</w:t>
      </w:r>
    </w:p>
    <w:p w:rsidR="002D3567" w:rsidRDefault="00000000">
      <w:pPr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</w:pP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If W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ells score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≤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4 and D-Dimer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≤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1 mg/L, patients were diagnosed as no PE.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If 4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&lt; W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ells score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≤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6 and D-Dimer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≤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0</w:t>
      </w:r>
      <w:r>
        <w:rPr>
          <w:rFonts w:ascii="Times New Roman" w:eastAsia="SimSun" w:hAnsi="Times New Roman" w:cs="Times New Roman" w:hint="eastAsia"/>
          <w:sz w:val="20"/>
          <w:szCs w:val="20"/>
          <w:lang w:val="en-GB" w:eastAsia="zh-CN"/>
        </w:rPr>
        <w:t>.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5 mg/L, patients were diagnosed as no PE</w:t>
      </w:r>
      <w:r>
        <w:rPr>
          <w:rFonts w:ascii="Times New Roman" w:eastAsia="SimSun" w:hAnsi="Times New Roman" w:cs="Times New Roman"/>
          <w:sz w:val="20"/>
          <w:szCs w:val="20"/>
          <w:lang w:val="en-GB" w:eastAsia="zh-CN"/>
        </w:rPr>
        <w:t>.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Other patients needed to undergo CTPA</w:t>
      </w:r>
      <w:r>
        <w:rPr>
          <w:rFonts w:ascii="Times New Roman" w:eastAsia="SimSun" w:hAnsi="Times New Roman" w:cs="Times New Roman"/>
          <w:sz w:val="20"/>
          <w:szCs w:val="20"/>
          <w:lang w:val="en-GB" w:eastAsia="zh-CN"/>
        </w:rPr>
        <w:t>.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  <w:lang w:eastAsia="zh-CN"/>
        </w:rPr>
        <w:t>2</w:t>
      </w:r>
    </w:p>
    <w:p w:rsidR="002D3567" w:rsidRDefault="002D3567">
      <w:pPr>
        <w:ind w:firstLineChars="200" w:firstLine="400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000000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t>PECSS only:</w:t>
      </w:r>
    </w:p>
    <w:p w:rsidR="002D3567" w:rsidRDefault="00000000">
      <w:pPr>
        <w:rPr>
          <w:rFonts w:ascii="Times New Roman" w:eastAsia="SimSun" w:hAnsi="Times New Roman" w:cs="Times New Roman"/>
          <w:sz w:val="20"/>
          <w:szCs w:val="20"/>
          <w:lang w:val="en-GB" w:eastAsia="zh-CN"/>
        </w:rPr>
      </w:pP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If PECSS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≤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4, patients were diagnosed as no PE and other patients needed to undergo CTPA</w:t>
      </w:r>
      <w:r>
        <w:rPr>
          <w:rFonts w:ascii="Times New Roman" w:eastAsia="SimSun" w:hAnsi="Times New Roman" w:cs="Times New Roman"/>
          <w:sz w:val="20"/>
          <w:szCs w:val="20"/>
          <w:lang w:val="en-GB" w:eastAsia="zh-CN"/>
        </w:rPr>
        <w:t>.</w:t>
      </w:r>
    </w:p>
    <w:p w:rsidR="002D3567" w:rsidRDefault="002D3567">
      <w:pPr>
        <w:ind w:firstLineChars="200" w:firstLine="400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000000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t>PECSS + D-Dimer:</w:t>
      </w:r>
    </w:p>
    <w:p w:rsidR="002D3567" w:rsidRDefault="00000000">
      <w:pPr>
        <w:rPr>
          <w:rFonts w:ascii="Times New Roman" w:eastAsia="SimSun" w:hAnsi="Times New Roman" w:cs="Times New Roman"/>
          <w:sz w:val="20"/>
          <w:szCs w:val="20"/>
          <w:lang w:val="en-GB" w:eastAsia="zh-CN"/>
        </w:rPr>
      </w:pP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If PECSS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≤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4, patients were diagnosed as no PE.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If 4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&lt; PECSS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≤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6 and D-Dimer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≤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2</w:t>
      </w:r>
      <w:r>
        <w:rPr>
          <w:rFonts w:ascii="Times New Roman" w:eastAsia="SimSun" w:hAnsi="Times New Roman" w:cs="Times New Roman" w:hint="eastAsia"/>
          <w:sz w:val="20"/>
          <w:szCs w:val="20"/>
          <w:lang w:val="en-GB" w:eastAsia="zh-CN"/>
        </w:rPr>
        <w:t>.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5 mg/L, patients were diagnosed as no PE</w:t>
      </w:r>
      <w:r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. 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Other patients needed to undergo CTPA</w:t>
      </w:r>
      <w:r>
        <w:rPr>
          <w:rFonts w:ascii="Times New Roman" w:eastAsia="SimSun" w:hAnsi="Times New Roman" w:cs="Times New Roman"/>
          <w:sz w:val="20"/>
          <w:szCs w:val="20"/>
          <w:lang w:val="en-GB" w:eastAsia="zh-CN"/>
        </w:rPr>
        <w:t>.</w:t>
      </w:r>
    </w:p>
    <w:p w:rsidR="002D3567" w:rsidRDefault="002D3567">
      <w:pPr>
        <w:ind w:firstLineChars="200" w:firstLine="400"/>
        <w:rPr>
          <w:rFonts w:ascii="Times New Roman" w:eastAsia="SimSun" w:hAnsi="Times New Roman" w:cs="Times New Roman"/>
          <w:sz w:val="20"/>
          <w:szCs w:val="20"/>
          <w:lang w:val="en-GB"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ind w:firstLine="720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hAnsi="Times New Roman" w:cs="Times New Roman"/>
          <w:sz w:val="20"/>
          <w:szCs w:val="20"/>
        </w:rPr>
      </w:pPr>
    </w:p>
    <w:p w:rsidR="002D3567" w:rsidRDefault="002D3567">
      <w:pP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</w:p>
    <w:p w:rsidR="002D3567" w:rsidRDefault="00000000">
      <w:pPr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noProof/>
          <w:sz w:val="20"/>
          <w:szCs w:val="20"/>
          <w:lang w:eastAsia="zh-CN"/>
        </w:rPr>
        <w:lastRenderedPageBreak/>
        <w:drawing>
          <wp:inline distT="0" distB="0" distL="114300" distR="114300">
            <wp:extent cx="5935345" cy="4443730"/>
            <wp:effectExtent l="0" t="0" r="8255" b="6350"/>
            <wp:docPr id="2" name="图片 2" descr="PECSS四项分布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ECSS四项分布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567" w:rsidRDefault="00000000">
      <w:pPr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val="en-GB" w:eastAsia="zh-CN"/>
        </w:rPr>
      </w:pP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t>Figure S1.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val="en-GB" w:eastAsia="zh-CN"/>
        </w:rPr>
        <w:t xml:space="preserve"> </w:t>
      </w: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t xml:space="preserve">Distribution of PECSS </w:t>
      </w:r>
      <w:r>
        <w:rPr>
          <w:rFonts w:ascii="Times New Roman" w:hAnsi="Times New Roman" w:cs="Times New Roman"/>
          <w:b/>
          <w:bCs/>
          <w:sz w:val="20"/>
          <w:szCs w:val="20"/>
        </w:rPr>
        <w:t>across different PE</w:t>
      </w:r>
      <w:r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severity grade</w:t>
      </w:r>
      <w:r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in the derivation set</w:t>
      </w:r>
    </w:p>
    <w:p w:rsidR="002D3567" w:rsidRDefault="002D3567">
      <w:pPr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000000">
      <w:pPr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noProof/>
          <w:sz w:val="20"/>
          <w:szCs w:val="20"/>
          <w:lang w:eastAsia="zh-CN"/>
        </w:rPr>
        <w:lastRenderedPageBreak/>
        <w:drawing>
          <wp:inline distT="0" distB="0" distL="114300" distR="114300">
            <wp:extent cx="5937885" cy="4399915"/>
            <wp:effectExtent l="0" t="0" r="0" b="4445"/>
            <wp:docPr id="3" name="图片 3" descr="D-Dimer四项分布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-Dimer四项分布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43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567" w:rsidRDefault="00000000">
      <w:pPr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val="en-GB" w:eastAsia="zh-CN"/>
        </w:rPr>
      </w:pP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t xml:space="preserve">Figure S2. Distribution of D-Dimer </w:t>
      </w:r>
      <w:r>
        <w:rPr>
          <w:rFonts w:ascii="Times New Roman" w:hAnsi="Times New Roman" w:cs="Times New Roman"/>
          <w:b/>
          <w:bCs/>
          <w:sz w:val="20"/>
          <w:szCs w:val="20"/>
        </w:rPr>
        <w:t>across different PE</w:t>
      </w:r>
      <w:r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severity grade</w:t>
      </w:r>
      <w:r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in the derivation set</w:t>
      </w:r>
    </w:p>
    <w:p w:rsidR="002D3567" w:rsidRDefault="002D3567">
      <w:pPr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000000">
      <w:pPr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noProof/>
          <w:sz w:val="20"/>
          <w:szCs w:val="20"/>
          <w:lang w:eastAsia="zh-CN"/>
        </w:rPr>
        <w:lastRenderedPageBreak/>
        <w:drawing>
          <wp:inline distT="0" distB="0" distL="114300" distR="114300">
            <wp:extent cx="5934710" cy="4378325"/>
            <wp:effectExtent l="0" t="0" r="0" b="10795"/>
            <wp:docPr id="4" name="图片 4" descr="D-Dimer三项分布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-Dimer三项分布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437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000000">
      <w:pPr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val="en-GB" w:eastAsia="zh-CN"/>
        </w:rPr>
      </w:pP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t xml:space="preserve">Figure S3. Distribution of D-Dimer within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each PECSS stratum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in the derivation set</w:t>
      </w: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tbl>
      <w:tblPr>
        <w:tblpPr w:leftFromText="180" w:rightFromText="180" w:vertAnchor="page" w:horzAnchor="page" w:tblpXSpec="center" w:tblpY="1718"/>
        <w:tblOverlap w:val="never"/>
        <w:tblW w:w="1143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417"/>
        <w:gridCol w:w="1417"/>
        <w:gridCol w:w="1417"/>
        <w:gridCol w:w="1417"/>
        <w:gridCol w:w="1417"/>
        <w:gridCol w:w="949"/>
      </w:tblGrid>
      <w:tr w:rsidR="002D3567">
        <w:trPr>
          <w:trHeight w:val="340"/>
          <w:jc w:val="center"/>
        </w:trPr>
        <w:tc>
          <w:tcPr>
            <w:tcW w:w="11436" w:type="dxa"/>
            <w:gridSpan w:val="7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overflowPunct w:val="0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 xml:space="preserve"> S1.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Distribution of each candidate predictor and Well’s score indicator across different PE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severity grade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the derivation set</w:t>
            </w:r>
          </w:p>
        </w:tc>
      </w:tr>
      <w:tr w:rsidR="002D3567">
        <w:trPr>
          <w:trHeight w:val="510"/>
          <w:jc w:val="center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ll</w:t>
            </w:r>
          </w:p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(n=2555)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D3567" w:rsidRDefault="00000000">
            <w:pPr>
              <w:pStyle w:val="TableParagraph"/>
              <w:overflowPunct w:val="0"/>
              <w:spacing w:before="51"/>
              <w:ind w:left="119"/>
              <w:jc w:val="center"/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w w:val="105"/>
                <w:sz w:val="20"/>
                <w:szCs w:val="20"/>
                <w:lang w:eastAsia="zh-CN"/>
              </w:rPr>
              <w:t>severe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PE</w:t>
            </w:r>
          </w:p>
          <w:p w:rsidR="002D3567" w:rsidRDefault="00000000">
            <w:pPr>
              <w:pStyle w:val="TableParagraph"/>
              <w:overflowPunct w:val="0"/>
              <w:spacing w:before="51"/>
              <w:ind w:left="11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(n=3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moderate PE</w:t>
            </w:r>
          </w:p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(n=1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39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mild PE</w:t>
            </w:r>
          </w:p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94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</w:pPr>
            <w:bookmarkStart w:id="2" w:name="OLE_LINK5"/>
            <w:r>
              <w:rPr>
                <w:rFonts w:ascii="Times New Roman" w:eastAsia="SimSun" w:hAnsi="Times New Roman" w:cs="Times New Roman"/>
                <w:b/>
                <w:bCs/>
                <w:w w:val="105"/>
                <w:sz w:val="20"/>
                <w:szCs w:val="20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o</w:t>
            </w:r>
            <w:bookmarkEnd w:id="2"/>
            <w:r>
              <w:rPr>
                <w:rFonts w:ascii="Times New Roman" w:eastAsia="SimSun" w:hAnsi="Times New Roman" w:cs="Times New Roman"/>
                <w:b/>
                <w:bCs/>
                <w:w w:val="10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PE</w:t>
            </w:r>
          </w:p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(n=19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69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D3567" w:rsidRDefault="00000000">
            <w:pPr>
              <w:pStyle w:val="TableParagraph"/>
              <w:overflowPunct w:val="0"/>
              <w:spacing w:before="51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P 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V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alue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single" w:sz="12" w:space="0" w:color="auto"/>
              <w:bottom w:val="nil"/>
            </w:tcBorders>
          </w:tcPr>
          <w:p w:rsidR="002D3567" w:rsidRDefault="00000000">
            <w:pPr>
              <w:pStyle w:val="TableParagraph"/>
              <w:overflowPunct w:val="0"/>
              <w:spacing w:before="50"/>
              <w:ind w:left="119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Wells indicators</w:t>
            </w:r>
            <w:bookmarkStart w:id="3" w:name="OLE_LINK4"/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, No. (%)</w:t>
            </w:r>
            <w:bookmarkEnd w:id="3"/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12" w:space="0" w:color="auto"/>
              <w:bottom w:val="nil"/>
              <w:right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119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spacing w:before="50"/>
              <w:ind w:firstLineChars="200" w:firstLine="40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bookmarkStart w:id="4" w:name="OLE_LINK28" w:colFirst="0" w:colLast="0"/>
            <w:r>
              <w:rPr>
                <w:rFonts w:ascii="Times New Roman" w:hAnsi="Times New Roman" w:cs="Times New Roman"/>
                <w:sz w:val="20"/>
                <w:szCs w:val="20"/>
              </w:rPr>
              <w:t>VTE symptoms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83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  <w:right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alternative diagnosis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55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(100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53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(100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39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(100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94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(100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69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(100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&gt; 0.99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HR &gt;100 beats/min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715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45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501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 0.001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Immobilization/surgery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85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307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102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65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 0.001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Previous PE/VTE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 0.001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Hemoptysis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 (3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Active cancer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215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22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 0.001</w:t>
            </w:r>
          </w:p>
        </w:tc>
      </w:tr>
      <w:bookmarkEnd w:id="4"/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Candidate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indicators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, No. (%)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Anhelation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spacing w:before="3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1118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spacing w:before="3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263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spacing w:befor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86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spacing w:befor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63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spacing w:before="3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706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spacing w:before="30"/>
              <w:ind w:left="11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&lt;0.001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Abnormal BP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725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90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42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33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60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9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pro-BNP &gt; 1000 pg/mL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560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117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37 (26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27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379 (19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 0.001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CRP &gt; 30 mg/L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506 (19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103 (29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37 (26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23 (24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343 (17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 0.001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UA &gt; 300 umol/L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1139 (44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180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50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65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46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46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48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848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43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In critical condition when admitted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837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71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74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77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99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71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70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74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94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70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Age &gt; 65 years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1530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59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200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56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89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64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65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69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1176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59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0.12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PECSS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, median (IQR)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ind w:left="11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       PECSS score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 0.001</w:t>
            </w:r>
          </w:p>
        </w:tc>
      </w:tr>
      <w:tr w:rsidR="002D3567">
        <w:trPr>
          <w:trHeight w:val="397"/>
          <w:jc w:val="center"/>
        </w:trPr>
        <w:tc>
          <w:tcPr>
            <w:tcW w:w="11436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D3567" w:rsidRDefault="00000000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 values were obtained by Chi-square tests for categorical variables and ANOVA for continuous variables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</w:tbl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tbl>
      <w:tblPr>
        <w:tblW w:w="1136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417"/>
        <w:gridCol w:w="1417"/>
        <w:gridCol w:w="1417"/>
        <w:gridCol w:w="1417"/>
        <w:gridCol w:w="1417"/>
        <w:gridCol w:w="876"/>
      </w:tblGrid>
      <w:tr w:rsidR="002D3567">
        <w:trPr>
          <w:trHeight w:val="340"/>
          <w:jc w:val="center"/>
        </w:trPr>
        <w:tc>
          <w:tcPr>
            <w:tcW w:w="11363" w:type="dxa"/>
            <w:gridSpan w:val="7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overflowPunct w:val="0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Distribution of each candidate predictor and Well’s score indicator across different PE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severity grade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the validation set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ll</w:t>
            </w:r>
          </w:p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(n=685)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D3567" w:rsidRDefault="00000000">
            <w:pPr>
              <w:pStyle w:val="TableParagraph"/>
              <w:overflowPunct w:val="0"/>
              <w:spacing w:before="51"/>
              <w:ind w:left="119"/>
              <w:jc w:val="center"/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w w:val="105"/>
                <w:sz w:val="20"/>
                <w:szCs w:val="20"/>
                <w:lang w:eastAsia="zh-CN"/>
              </w:rPr>
              <w:t>severe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PE</w:t>
            </w:r>
          </w:p>
          <w:p w:rsidR="002D3567" w:rsidRDefault="00000000">
            <w:pPr>
              <w:pStyle w:val="TableParagraph"/>
              <w:overflowPunct w:val="0"/>
              <w:spacing w:before="51"/>
              <w:ind w:left="11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88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moderate PE</w:t>
            </w:r>
          </w:p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mild PE</w:t>
            </w:r>
          </w:p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w w:val="105"/>
                <w:sz w:val="20"/>
                <w:szCs w:val="20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o</w:t>
            </w:r>
            <w:r>
              <w:rPr>
                <w:rFonts w:ascii="Times New Roman" w:eastAsia="SimSun" w:hAnsi="Times New Roman" w:cs="Times New Roman"/>
                <w:b/>
                <w:bCs/>
                <w:w w:val="10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PE</w:t>
            </w:r>
          </w:p>
          <w:p w:rsidR="002D3567" w:rsidRDefault="00000000">
            <w:pPr>
              <w:pStyle w:val="TableParagraph"/>
              <w:overflowPunct w:val="0"/>
              <w:spacing w:before="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538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D3567" w:rsidRDefault="00000000">
            <w:pPr>
              <w:pStyle w:val="TableParagraph"/>
              <w:overflowPunct w:val="0"/>
              <w:spacing w:before="51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P 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V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alue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single" w:sz="12" w:space="0" w:color="auto"/>
              <w:bottom w:val="nil"/>
            </w:tcBorders>
          </w:tcPr>
          <w:p w:rsidR="002D3567" w:rsidRDefault="00000000">
            <w:pPr>
              <w:pStyle w:val="TableParagraph"/>
              <w:overflowPunct w:val="0"/>
              <w:spacing w:before="50"/>
              <w:ind w:left="119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Wells indicators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, No. (%)</w:t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12" w:space="0" w:color="auto"/>
              <w:bottom w:val="nil"/>
              <w:right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119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spacing w:before="50"/>
              <w:ind w:firstLineChars="200" w:firstLine="40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VTE symptoms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alternative diagnosis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685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538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&gt; 0.99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HR &gt;100 beats/min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188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43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124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 0.001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Immobilization/surgery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146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71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 0.001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Previous PE/VTE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 0.001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Hemoptysis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 (4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Active cancer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67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41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Candidate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indicators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, No. (%)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spacing w:before="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Anhelation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292 (42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</w:t>
            </w:r>
            <w:bookmarkStart w:id="5" w:name="OLE_LINK1"/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bookmarkEnd w:id="5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60 (68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23 (60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13 (61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196 (36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 0.001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Abnormal BP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171 (24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23 (26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14 (36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 (28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128 (23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0.33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pro-BNP &gt; 1000 pg/mL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127 (18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31 (35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9 (23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 (23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82 (15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 0.001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CRP &gt; 30 mg/L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153 (22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30 (34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13 (34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 (4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109 (20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0.01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UA &gt; 300 umol/L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319 (46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56 (63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22 (57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10 (47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231 (42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In critical condition when admitted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495 (72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67 (76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28 (73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13 (61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387 (71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0.60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firstLineChars="200" w:firstLine="400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Age &gt; 65 years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405 (59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48 (54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25 (65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17 (80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315 (58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0.13</w:t>
            </w: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:rsidR="002D3567" w:rsidRDefault="00000000">
            <w:pPr>
              <w:pStyle w:val="TableParagraph"/>
              <w:overflowPunct w:val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PECSS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, median (IQR)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2D3567" w:rsidRDefault="002D3567">
            <w:pPr>
              <w:pStyle w:val="TableParagraph"/>
              <w:overflowPunct w:val="0"/>
              <w:ind w:left="11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2D3567">
        <w:trPr>
          <w:trHeight w:val="397"/>
          <w:jc w:val="center"/>
        </w:trPr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       PECSS score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 (4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 (7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 (6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 (6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 (4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6" w:type="dxa"/>
            <w:tcBorders>
              <w:top w:val="nil"/>
              <w:bottom w:val="single" w:sz="12" w:space="0" w:color="auto"/>
            </w:tcBorders>
          </w:tcPr>
          <w:p w:rsidR="002D3567" w:rsidRDefault="00000000">
            <w:pPr>
              <w:pStyle w:val="TableParagraph"/>
              <w:overflowPunct w:val="0"/>
              <w:ind w:left="11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&lt; 0.001</w:t>
            </w:r>
          </w:p>
        </w:tc>
      </w:tr>
    </w:tbl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000000">
      <w:pPr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sz w:val="20"/>
          <w:szCs w:val="20"/>
          <w:lang w:eastAsia="zh-CN"/>
        </w:rPr>
        <w:br w:type="page"/>
      </w: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tbl>
      <w:tblPr>
        <w:tblStyle w:val="TableGrid"/>
        <w:tblW w:w="11209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33"/>
        <w:gridCol w:w="1814"/>
        <w:gridCol w:w="1587"/>
        <w:gridCol w:w="839"/>
        <w:gridCol w:w="1814"/>
        <w:gridCol w:w="1587"/>
      </w:tblGrid>
      <w:tr w:rsidR="002D3567">
        <w:trPr>
          <w:trHeight w:val="340"/>
          <w:jc w:val="center"/>
        </w:trPr>
        <w:tc>
          <w:tcPr>
            <w:tcW w:w="11209" w:type="dxa"/>
            <w:gridSpan w:val="7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2D3567" w:rsidRDefault="00000000">
            <w:pPr>
              <w:overflowPunct w:val="0"/>
              <w:jc w:val="lef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Table 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S3.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Comparison of screening performances in four scoring system in the validation set</w:t>
            </w:r>
          </w:p>
        </w:tc>
      </w:tr>
      <w:tr w:rsidR="002D3567">
        <w:trPr>
          <w:trHeight w:val="397"/>
          <w:jc w:val="center"/>
        </w:trPr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D3567" w:rsidRDefault="002D3567">
            <w:pPr>
              <w:overflowPunct w:val="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Wells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Wells + D-Dimer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Wells + PERC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PECSS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PECSS + D-Dimer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PECSS+ PERC</w:t>
            </w:r>
          </w:p>
        </w:tc>
      </w:tr>
      <w:tr w:rsidR="002D3567">
        <w:trPr>
          <w:trHeight w:val="397"/>
          <w:jc w:val="center"/>
        </w:trPr>
        <w:tc>
          <w:tcPr>
            <w:tcW w:w="2835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000000">
            <w:pPr>
              <w:overflowPunct w:val="0"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Primary endpoint</w:t>
            </w:r>
          </w:p>
        </w:tc>
        <w:tc>
          <w:tcPr>
            <w:tcW w:w="733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839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2D3567">
        <w:trPr>
          <w:trHeight w:val="397"/>
          <w:jc w:val="center"/>
        </w:trPr>
        <w:tc>
          <w:tcPr>
            <w:tcW w:w="2835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ind w:firstLineChars="200" w:firstLine="400"/>
              <w:jc w:val="lef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Failure rate in severe PE</w:t>
            </w:r>
          </w:p>
        </w:tc>
        <w:tc>
          <w:tcPr>
            <w:tcW w:w="733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0.0%</w:t>
            </w:r>
          </w:p>
        </w:tc>
        <w:tc>
          <w:tcPr>
            <w:tcW w:w="839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.0%</w:t>
            </w:r>
          </w:p>
        </w:tc>
        <w:tc>
          <w:tcPr>
            <w:tcW w:w="1814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0.0%</w:t>
            </w:r>
          </w:p>
        </w:tc>
      </w:tr>
      <w:tr w:rsidR="002D3567">
        <w:trPr>
          <w:trHeight w:val="397"/>
          <w:jc w:val="center"/>
        </w:trPr>
        <w:tc>
          <w:tcPr>
            <w:tcW w:w="2835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000000">
            <w:pPr>
              <w:overflowPunct w:val="0"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Secondary endpoints</w:t>
            </w:r>
          </w:p>
        </w:tc>
        <w:tc>
          <w:tcPr>
            <w:tcW w:w="733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839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2D3567">
        <w:trPr>
          <w:trHeight w:val="397"/>
          <w:jc w:val="center"/>
        </w:trPr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ind w:firstLineChars="200" w:firstLine="400"/>
              <w:jc w:val="lef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Failure rate in moderate PE</w:t>
            </w: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15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2.6%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.0</w:t>
            </w:r>
            <w:bookmarkStart w:id="6" w:name="OLE_LINK2"/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  <w:bookmarkEnd w:id="6"/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0.0%</w:t>
            </w:r>
          </w:p>
        </w:tc>
      </w:tr>
      <w:tr w:rsidR="002D3567">
        <w:trPr>
          <w:trHeight w:val="397"/>
          <w:jc w:val="center"/>
        </w:trPr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ind w:firstLineChars="200" w:firstLine="400"/>
              <w:jc w:val="lef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Failure rate in mild PE</w:t>
            </w: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bookmarkStart w:id="7" w:name="OLE_LINK7"/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0.0%</w:t>
            </w:r>
            <w:bookmarkEnd w:id="7"/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0.0%</w:t>
            </w:r>
          </w:p>
        </w:tc>
      </w:tr>
      <w:tr w:rsidR="002D3567">
        <w:trPr>
          <w:trHeight w:val="397"/>
          <w:jc w:val="center"/>
        </w:trPr>
        <w:tc>
          <w:tcPr>
            <w:tcW w:w="2835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ind w:firstLineChars="200" w:firstLine="400"/>
              <w:jc w:val="lef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Failure rate in any PE</w:t>
            </w:r>
          </w:p>
        </w:tc>
        <w:tc>
          <w:tcPr>
            <w:tcW w:w="733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10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0.7%</w:t>
            </w:r>
          </w:p>
        </w:tc>
        <w:tc>
          <w:tcPr>
            <w:tcW w:w="839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0.0%</w:t>
            </w:r>
          </w:p>
        </w:tc>
      </w:tr>
      <w:tr w:rsidR="002D3567">
        <w:trPr>
          <w:trHeight w:val="397"/>
          <w:jc w:val="center"/>
        </w:trPr>
        <w:tc>
          <w:tcPr>
            <w:tcW w:w="2835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000000">
            <w:pPr>
              <w:overflowPunct w:val="0"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Additional endpoints</w:t>
            </w:r>
          </w:p>
        </w:tc>
        <w:tc>
          <w:tcPr>
            <w:tcW w:w="733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839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2D3567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2D3567">
        <w:trPr>
          <w:trHeight w:val="397"/>
          <w:jc w:val="center"/>
        </w:trPr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ind w:firstLineChars="200" w:firstLine="400"/>
              <w:jc w:val="lef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Sensitivity</w:t>
            </w: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89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97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99.3%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97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100.0%</w:t>
            </w:r>
          </w:p>
        </w:tc>
      </w:tr>
      <w:tr w:rsidR="002D3567">
        <w:trPr>
          <w:trHeight w:val="397"/>
          <w:jc w:val="center"/>
        </w:trPr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ind w:firstLineChars="200" w:firstLine="400"/>
              <w:jc w:val="lef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Specificity</w:t>
            </w: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68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5.6%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26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54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3.7%</w:t>
            </w:r>
          </w:p>
        </w:tc>
      </w:tr>
      <w:tr w:rsidR="002D3567">
        <w:trPr>
          <w:trHeight w:val="397"/>
          <w:jc w:val="center"/>
        </w:trPr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ind w:firstLineChars="200" w:firstLine="400"/>
              <w:jc w:val="lef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NPV</w:t>
            </w: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95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96.8%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98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100.0%</w:t>
            </w:r>
          </w:p>
        </w:tc>
      </w:tr>
      <w:tr w:rsidR="002D3567">
        <w:trPr>
          <w:trHeight w:val="397"/>
          <w:jc w:val="center"/>
        </w:trPr>
        <w:tc>
          <w:tcPr>
            <w:tcW w:w="2835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ind w:firstLineChars="200" w:firstLine="400"/>
              <w:jc w:val="lef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PPV</w:t>
            </w:r>
          </w:p>
        </w:tc>
        <w:tc>
          <w:tcPr>
            <w:tcW w:w="733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43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22.3%</w:t>
            </w:r>
          </w:p>
        </w:tc>
        <w:tc>
          <w:tcPr>
            <w:tcW w:w="839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26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814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36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GB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bottom w:val="single" w:sz="12" w:space="0" w:color="auto"/>
            </w:tcBorders>
            <w:vAlign w:val="center"/>
          </w:tcPr>
          <w:p w:rsidR="002D3567" w:rsidRDefault="00000000">
            <w:pPr>
              <w:overflowPunct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22.1%</w:t>
            </w:r>
          </w:p>
        </w:tc>
      </w:tr>
      <w:tr w:rsidR="002D3567">
        <w:trPr>
          <w:trHeight w:val="397"/>
          <w:jc w:val="center"/>
        </w:trPr>
        <w:tc>
          <w:tcPr>
            <w:tcW w:w="11209" w:type="dxa"/>
            <w:gridSpan w:val="7"/>
            <w:tcBorders>
              <w:top w:val="single" w:sz="12" w:space="0" w:color="auto"/>
              <w:bottom w:val="nil"/>
            </w:tcBorders>
            <w:vAlign w:val="center"/>
          </w:tcPr>
          <w:p w:rsidR="002D3567" w:rsidRDefault="00000000">
            <w:pPr>
              <w:overflowPunct w:val="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PPV, positive predictive value; NPV, negative predictive value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 w:eastAsia="zh-CN"/>
              </w:rPr>
              <w:t>.</w:t>
            </w:r>
          </w:p>
        </w:tc>
      </w:tr>
    </w:tbl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2D3567" w:rsidRDefault="00000000">
      <w:pP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br w:type="page"/>
      </w:r>
    </w:p>
    <w:p w:rsidR="002D3567" w:rsidRDefault="00000000">
      <w:pPr>
        <w:overflowPunct w:val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lastRenderedPageBreak/>
        <w:t>References</w:t>
      </w:r>
    </w:p>
    <w:p w:rsidR="002D3567" w:rsidRDefault="00000000">
      <w:pPr>
        <w:numPr>
          <w:ilvl w:val="0"/>
          <w:numId w:val="1"/>
        </w:numPr>
        <w:overflowPunct w:val="0"/>
        <w:rPr>
          <w:rFonts w:ascii="Times New Roman" w:eastAsia="Segoe UI" w:hAnsi="Times New Roman" w:cs="Times New Roman"/>
          <w:sz w:val="20"/>
          <w:szCs w:val="20"/>
          <w:lang w:eastAsia="zh-CN"/>
        </w:rPr>
      </w:pPr>
      <w:bookmarkStart w:id="8" w:name="_Ref4424"/>
      <w:r>
        <w:rPr>
          <w:rFonts w:ascii="Times New Roman" w:eastAsia="Segoe UI" w:hAnsi="Times New Roman" w:cs="Times New Roman"/>
          <w:sz w:val="20"/>
          <w:szCs w:val="20"/>
        </w:rPr>
        <w:t>Wells PS, Anderson DR, Bormanis J, et al. Value of assessment of pretest probability of deep-vein thrombosis in clinical management. The Lancet. 1997;350(9094):1795-8</w:t>
      </w:r>
      <w:r>
        <w:rPr>
          <w:rFonts w:ascii="Times New Roman" w:eastAsia="Segoe UI" w:hAnsi="Times New Roman" w:cs="Times New Roman"/>
          <w:sz w:val="20"/>
          <w:szCs w:val="20"/>
          <w:lang w:eastAsia="zh-CN"/>
        </w:rPr>
        <w:t>.</w:t>
      </w:r>
      <w:bookmarkEnd w:id="8"/>
    </w:p>
    <w:p w:rsidR="002D3567" w:rsidRDefault="00000000">
      <w:pPr>
        <w:numPr>
          <w:ilvl w:val="0"/>
          <w:numId w:val="1"/>
        </w:numPr>
        <w:overflowPunct w:val="0"/>
        <w:rPr>
          <w:rFonts w:ascii="Times New Roman" w:eastAsia="Segoe UI" w:hAnsi="Times New Roman" w:cs="Times New Roman"/>
          <w:sz w:val="20"/>
          <w:szCs w:val="20"/>
          <w:lang w:eastAsia="zh-CN"/>
        </w:rPr>
      </w:pPr>
      <w:r>
        <w:rPr>
          <w:rFonts w:ascii="Times New Roman" w:eastAsia="Segoe UI" w:hAnsi="Times New Roman" w:cs="Times New Roman" w:hint="eastAsia"/>
          <w:sz w:val="20"/>
          <w:szCs w:val="20"/>
          <w:lang w:eastAsia="zh-CN"/>
        </w:rPr>
        <w:t>Kearon C, de Wit K, Parpia S, et al. Diagnosis of pulmonary embolism with d-dimer adjusted to clinical probability. New England Journal of Medicine. 2019 Nov 28;381(22):2125-34.</w:t>
      </w:r>
    </w:p>
    <w:p w:rsidR="002D3567" w:rsidRDefault="002D3567">
      <w:pPr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sectPr w:rsidR="002D3567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259D" w:rsidRDefault="00A1259D">
      <w:r>
        <w:separator/>
      </w:r>
    </w:p>
  </w:endnote>
  <w:endnote w:type="continuationSeparator" w:id="0">
    <w:p w:rsidR="00A1259D" w:rsidRDefault="00A1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3567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D3567" w:rsidRDefault="00000000">
                          <w:pPr>
                            <w:pStyle w:val="Foo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259D" w:rsidRDefault="00A1259D">
      <w:r>
        <w:separator/>
      </w:r>
    </w:p>
  </w:footnote>
  <w:footnote w:type="continuationSeparator" w:id="0">
    <w:p w:rsidR="00A1259D" w:rsidRDefault="00A12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D0048"/>
    <w:multiLevelType w:val="singleLevel"/>
    <w:tmpl w:val="645D00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2043510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hideSpellingErrors/>
  <w:hideGrammaticalError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AxYWIzZjFkN2E3ZGNiOGQwMTI0NjNkZmNhMGRkYTUifQ=="/>
  </w:docVars>
  <w:rsids>
    <w:rsidRoot w:val="00B92265"/>
    <w:rsid w:val="000107D8"/>
    <w:rsid w:val="000839C4"/>
    <w:rsid w:val="00093371"/>
    <w:rsid w:val="00244411"/>
    <w:rsid w:val="00246832"/>
    <w:rsid w:val="002C1D1F"/>
    <w:rsid w:val="002D3567"/>
    <w:rsid w:val="0030378B"/>
    <w:rsid w:val="00326226"/>
    <w:rsid w:val="003556C6"/>
    <w:rsid w:val="00356B78"/>
    <w:rsid w:val="003E067B"/>
    <w:rsid w:val="004C7E9A"/>
    <w:rsid w:val="005616EC"/>
    <w:rsid w:val="005872DA"/>
    <w:rsid w:val="005D658F"/>
    <w:rsid w:val="006B3D99"/>
    <w:rsid w:val="007B156A"/>
    <w:rsid w:val="007C0C3C"/>
    <w:rsid w:val="00863781"/>
    <w:rsid w:val="008A0887"/>
    <w:rsid w:val="009057D9"/>
    <w:rsid w:val="009D7A6D"/>
    <w:rsid w:val="00A1259D"/>
    <w:rsid w:val="00AC15CC"/>
    <w:rsid w:val="00B47F21"/>
    <w:rsid w:val="00B52BE5"/>
    <w:rsid w:val="00B56D28"/>
    <w:rsid w:val="00B61822"/>
    <w:rsid w:val="00B77A83"/>
    <w:rsid w:val="00B92265"/>
    <w:rsid w:val="00D74BE3"/>
    <w:rsid w:val="00ED3BD8"/>
    <w:rsid w:val="00ED6052"/>
    <w:rsid w:val="00F167E3"/>
    <w:rsid w:val="01BF5575"/>
    <w:rsid w:val="029F53A6"/>
    <w:rsid w:val="03914CEF"/>
    <w:rsid w:val="056D7096"/>
    <w:rsid w:val="06A50AB1"/>
    <w:rsid w:val="06B34246"/>
    <w:rsid w:val="075E138C"/>
    <w:rsid w:val="083E7322"/>
    <w:rsid w:val="08BA4CE8"/>
    <w:rsid w:val="09093579"/>
    <w:rsid w:val="09BC05EC"/>
    <w:rsid w:val="09C120A6"/>
    <w:rsid w:val="0CBD197B"/>
    <w:rsid w:val="0D6C40D7"/>
    <w:rsid w:val="0D961154"/>
    <w:rsid w:val="0EE7435D"/>
    <w:rsid w:val="0F706100"/>
    <w:rsid w:val="102D5D9F"/>
    <w:rsid w:val="115D4462"/>
    <w:rsid w:val="11967974"/>
    <w:rsid w:val="15C66D89"/>
    <w:rsid w:val="170369D9"/>
    <w:rsid w:val="17A76437"/>
    <w:rsid w:val="17F9706B"/>
    <w:rsid w:val="17FD074D"/>
    <w:rsid w:val="18273A1C"/>
    <w:rsid w:val="18AD7506"/>
    <w:rsid w:val="1BD87507"/>
    <w:rsid w:val="1C1918CE"/>
    <w:rsid w:val="1CDD0B4D"/>
    <w:rsid w:val="1F0B19A2"/>
    <w:rsid w:val="200A4C61"/>
    <w:rsid w:val="21772473"/>
    <w:rsid w:val="22EA5D72"/>
    <w:rsid w:val="23623B5A"/>
    <w:rsid w:val="23B24AE2"/>
    <w:rsid w:val="24FD1D8D"/>
    <w:rsid w:val="25396B3D"/>
    <w:rsid w:val="26B20955"/>
    <w:rsid w:val="27F154AD"/>
    <w:rsid w:val="282D0BDB"/>
    <w:rsid w:val="28991DCC"/>
    <w:rsid w:val="28BC1F5F"/>
    <w:rsid w:val="2A4E38DA"/>
    <w:rsid w:val="2A7725E1"/>
    <w:rsid w:val="2AAF1D7B"/>
    <w:rsid w:val="2B0725F9"/>
    <w:rsid w:val="2B595843"/>
    <w:rsid w:val="2E224612"/>
    <w:rsid w:val="2EE10029"/>
    <w:rsid w:val="30405223"/>
    <w:rsid w:val="30F77FD8"/>
    <w:rsid w:val="31992E3D"/>
    <w:rsid w:val="324059AE"/>
    <w:rsid w:val="32A45F3D"/>
    <w:rsid w:val="342858C4"/>
    <w:rsid w:val="3542559A"/>
    <w:rsid w:val="35BF0C44"/>
    <w:rsid w:val="35C81F43"/>
    <w:rsid w:val="362E3DF6"/>
    <w:rsid w:val="387D5EE5"/>
    <w:rsid w:val="393F076E"/>
    <w:rsid w:val="3A6D130B"/>
    <w:rsid w:val="3B585B17"/>
    <w:rsid w:val="3BFC46F4"/>
    <w:rsid w:val="3E167F84"/>
    <w:rsid w:val="3EB47508"/>
    <w:rsid w:val="431C38CE"/>
    <w:rsid w:val="432804C5"/>
    <w:rsid w:val="4379487C"/>
    <w:rsid w:val="45F4643C"/>
    <w:rsid w:val="46D85D5E"/>
    <w:rsid w:val="47B40579"/>
    <w:rsid w:val="49AD702E"/>
    <w:rsid w:val="49D7054F"/>
    <w:rsid w:val="4C39104D"/>
    <w:rsid w:val="4DF74D1B"/>
    <w:rsid w:val="4FB76E58"/>
    <w:rsid w:val="50B52C6C"/>
    <w:rsid w:val="51452242"/>
    <w:rsid w:val="5307088C"/>
    <w:rsid w:val="56F91B04"/>
    <w:rsid w:val="57BB325E"/>
    <w:rsid w:val="588E0972"/>
    <w:rsid w:val="58E93DFA"/>
    <w:rsid w:val="591A08CA"/>
    <w:rsid w:val="59554FEC"/>
    <w:rsid w:val="5ACB37B8"/>
    <w:rsid w:val="5B535DD4"/>
    <w:rsid w:val="5D0E5BDE"/>
    <w:rsid w:val="5E563CE0"/>
    <w:rsid w:val="5E9071F2"/>
    <w:rsid w:val="5F061262"/>
    <w:rsid w:val="5F351B48"/>
    <w:rsid w:val="60844B35"/>
    <w:rsid w:val="60D333C6"/>
    <w:rsid w:val="611B51BC"/>
    <w:rsid w:val="6200643D"/>
    <w:rsid w:val="624502F4"/>
    <w:rsid w:val="62FD0BCE"/>
    <w:rsid w:val="646B7259"/>
    <w:rsid w:val="65E75F33"/>
    <w:rsid w:val="667E3DD4"/>
    <w:rsid w:val="66CA526B"/>
    <w:rsid w:val="686A0AB4"/>
    <w:rsid w:val="69085BD7"/>
    <w:rsid w:val="69DA57C5"/>
    <w:rsid w:val="6E677844"/>
    <w:rsid w:val="6F1631B9"/>
    <w:rsid w:val="70DA42FD"/>
    <w:rsid w:val="7109544C"/>
    <w:rsid w:val="73223B76"/>
    <w:rsid w:val="74681C20"/>
    <w:rsid w:val="749E3893"/>
    <w:rsid w:val="74B03CF2"/>
    <w:rsid w:val="75151DA7"/>
    <w:rsid w:val="77F008C7"/>
    <w:rsid w:val="78E35D19"/>
    <w:rsid w:val="7983027B"/>
    <w:rsid w:val="7A4F18B8"/>
    <w:rsid w:val="7A5213A8"/>
    <w:rsid w:val="7B9B0B2D"/>
    <w:rsid w:val="7C1C1C6D"/>
    <w:rsid w:val="7CB023B6"/>
    <w:rsid w:val="7D133070"/>
    <w:rsid w:val="7E062BD5"/>
    <w:rsid w:val="7E33504C"/>
    <w:rsid w:val="7FD4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7241B54-A6C8-7945-9169-4DAFDD25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eader">
    <w:name w:val="header"/>
    <w:basedOn w:val="Normal"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pPr>
      <w:spacing w:before="63"/>
      <w:ind w:left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929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2023-06-26T23:54:00Z</dcterms:created>
  <dcterms:modified xsi:type="dcterms:W3CDTF">2023-06-26T23:54:00Z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C03B0CF12E7D4C418A677F082EE2A1B6</vt:lpwstr>
  </property>
</Properties>
</file>