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C25" w:rsidRPr="00B213CC" w:rsidRDefault="00F42C25" w:rsidP="00F42C25">
      <w:pPr>
        <w:tabs>
          <w:tab w:val="left" w:pos="2268"/>
          <w:tab w:val="left" w:pos="4395"/>
          <w:tab w:val="left" w:pos="6521"/>
          <w:tab w:val="left" w:pos="8505"/>
          <w:tab w:val="left" w:pos="9072"/>
          <w:tab w:val="left" w:pos="13210"/>
          <w:tab w:val="left" w:pos="14370"/>
        </w:tabs>
        <w:spacing w:line="360" w:lineRule="auto"/>
        <w:ind w:right="1563"/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fr-CH"/>
        </w:rPr>
      </w:pPr>
      <w:r w:rsidRPr="00AB0E80">
        <w:rPr>
          <w:rFonts w:ascii="Arial" w:hAnsi="Arial" w:cs="Arial"/>
          <w:sz w:val="20"/>
          <w:szCs w:val="20"/>
          <w:u w:val="single"/>
          <w:lang w:val="en-US"/>
        </w:rPr>
        <w:t>Additional File</w:t>
      </w:r>
      <w:r w:rsidRPr="00B213CC"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fr-CH"/>
        </w:rPr>
        <w:t xml:space="preserve"> 3. </w:t>
      </w:r>
      <w:r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fr-CH"/>
        </w:rPr>
        <w:t xml:space="preserve">Baseline and ECMO </w:t>
      </w:r>
      <w:r w:rsidRPr="00B213CC"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fr-CH"/>
        </w:rPr>
        <w:t>characteristics in ARDS and non-ARDS patients</w:t>
      </w:r>
    </w:p>
    <w:p w:rsidR="00F42C25" w:rsidRPr="00B213CC" w:rsidRDefault="00F42C25" w:rsidP="00F42C25">
      <w:pPr>
        <w:pBdr>
          <w:bottom w:val="single" w:sz="4" w:space="1" w:color="auto"/>
        </w:pBdr>
        <w:tabs>
          <w:tab w:val="left" w:pos="2268"/>
          <w:tab w:val="left" w:pos="4395"/>
          <w:tab w:val="left" w:pos="6521"/>
          <w:tab w:val="left" w:pos="8505"/>
          <w:tab w:val="left" w:pos="9214"/>
          <w:tab w:val="left" w:pos="13210"/>
          <w:tab w:val="left" w:pos="14370"/>
        </w:tabs>
        <w:spacing w:line="360" w:lineRule="auto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</w:p>
    <w:p w:rsidR="00F42C25" w:rsidRPr="00B213CC" w:rsidRDefault="00F42C25" w:rsidP="00F42C25">
      <w:pPr>
        <w:pBdr>
          <w:bottom w:val="single" w:sz="4" w:space="1" w:color="auto"/>
        </w:pBd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Variable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ARDS (n=33)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Non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-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ARDS (n=18)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p value</w:t>
      </w:r>
    </w:p>
    <w:p w:rsidR="00F42C25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before="120" w:after="120"/>
        <w:ind w:left="284" w:right="1565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Baseline</w:t>
      </w:r>
    </w:p>
    <w:p w:rsidR="00F42C25" w:rsidRPr="00B213CC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before="120" w:after="120"/>
        <w:ind w:right="1565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Age, y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59 (32-67)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51 (39-59)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0.424</w:t>
      </w:r>
    </w:p>
    <w:p w:rsidR="00F42C25" w:rsidRPr="00B213CC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Female Gender, n (%)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10 (33)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8 (44)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0.313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</w:r>
    </w:p>
    <w:p w:rsidR="00F42C25" w:rsidRPr="00B213CC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SAPS 2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56 (43-69)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36 (30-45)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0.001*</w:t>
      </w:r>
    </w:p>
    <w:p w:rsidR="00F42C25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SOFA, first 24h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11.0 (9.0-13.0)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8.5 (5.8-12.3)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0.045*</w:t>
      </w:r>
    </w:p>
    <w:p w:rsidR="00F42C25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P/FO</w:t>
      </w:r>
      <w:r w:rsidRPr="00A40251">
        <w:rPr>
          <w:rFonts w:ascii="Arial" w:eastAsia="Times New Roman" w:hAnsi="Arial" w:cs="Arial"/>
          <w:color w:val="000000"/>
          <w:sz w:val="20"/>
          <w:szCs w:val="20"/>
          <w:vertAlign w:val="subscript"/>
          <w:lang w:val="en-US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</w:r>
      <w:r w:rsidRPr="006958FF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62 (52-87)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93 (51-171)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0.086</w:t>
      </w:r>
    </w:p>
    <w:p w:rsidR="00F42C25" w:rsidRPr="00B213CC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MV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 xml:space="preserve">before 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ECMO, days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2.5 (0.4-7.6)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0.7 (0.3-3.2)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0.133</w:t>
      </w:r>
    </w:p>
    <w:p w:rsidR="00F42C25" w:rsidRPr="00C973E2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 xml:space="preserve">iNO 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 xml:space="preserve">before 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ECMO, n (%)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19 (58)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5 (28)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0.0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42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*</w:t>
      </w:r>
    </w:p>
    <w:p w:rsidR="00F42C25" w:rsidRPr="00185905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 w:rsidRPr="00185905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 xml:space="preserve">PP 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 xml:space="preserve">before </w:t>
      </w:r>
      <w:r w:rsidRPr="00185905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ECMO, n (%)</w:t>
      </w:r>
      <w:r w:rsidRPr="00185905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12 (36)</w:t>
      </w:r>
      <w:r w:rsidRPr="00185905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1 (6)</w:t>
      </w:r>
      <w:r w:rsidRPr="00185905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0.016*</w:t>
      </w:r>
    </w:p>
    <w:p w:rsidR="00F42C25" w:rsidRPr="00B213CC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RESP Score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</w:r>
      <w:r>
        <w:rPr>
          <w:rFonts w:ascii="Arial" w:eastAsia="Times New Roman" w:hAnsi="Arial" w:cs="Arial"/>
          <w:sz w:val="20"/>
          <w:szCs w:val="20"/>
          <w:lang w:val="en-US" w:eastAsia="fr-CH"/>
        </w:rPr>
        <w:t>-1.0 (-3.0-3.0)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</w:r>
      <w:r>
        <w:rPr>
          <w:rFonts w:ascii="Arial" w:eastAsia="Times New Roman" w:hAnsi="Arial" w:cs="Arial"/>
          <w:sz w:val="20"/>
          <w:szCs w:val="20"/>
          <w:lang w:val="en-US" w:eastAsia="fr-CH"/>
        </w:rPr>
        <w:t>1.0 (-1.25-2.0)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0.384</w:t>
      </w:r>
    </w:p>
    <w:p w:rsidR="00F42C25" w:rsidRPr="00B213CC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Predicted survival, %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51</w:t>
      </w:r>
      <w:r w:rsidRPr="006A144C">
        <w:rPr>
          <w:rFonts w:ascii="Arial" w:eastAsia="Times New Roman" w:hAnsi="Arial" w:cs="Arial"/>
          <w:color w:val="000000"/>
          <w:sz w:val="20"/>
          <w:szCs w:val="20"/>
          <w:lang w:eastAsia="fr-CH"/>
        </w:rPr>
        <w:sym w:font="Symbol" w:char="F0B1"/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24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54</w:t>
      </w:r>
      <w:r w:rsidRPr="006A144C">
        <w:rPr>
          <w:rFonts w:ascii="Arial" w:eastAsia="Times New Roman" w:hAnsi="Arial" w:cs="Arial"/>
          <w:color w:val="000000"/>
          <w:sz w:val="20"/>
          <w:szCs w:val="20"/>
          <w:lang w:eastAsia="fr-CH"/>
        </w:rPr>
        <w:sym w:font="Symbol" w:char="F0B1"/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20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0.631</w:t>
      </w:r>
    </w:p>
    <w:p w:rsidR="00F42C25" w:rsidRPr="00B213CC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ICU survival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, n (%)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13/33 (39)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12/18 (66)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0.0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60</w:t>
      </w:r>
    </w:p>
    <w:p w:rsidR="00F42C25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left="567"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</w:p>
    <w:p w:rsidR="00F42C25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left="567"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On ECMO</w:t>
      </w:r>
    </w:p>
    <w:p w:rsidR="00F42C25" w:rsidRPr="00B213CC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ECMO duration, days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8.3 (3.6-16.1)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7.5 (5.4-13.6)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0.898</w:t>
      </w:r>
    </w:p>
    <w:p w:rsidR="00F42C25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ECMO weaning, n (%)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20 (61)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14 (78)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214</w:t>
      </w:r>
    </w:p>
    <w:p w:rsidR="00F42C25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 xml:space="preserve">iNO 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on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 xml:space="preserve"> ECMO, n (%)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13 (39)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7 (39)</w:t>
      </w:r>
      <w:r w:rsidRPr="00C973E2"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0.9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72</w:t>
      </w:r>
    </w:p>
    <w:p w:rsidR="00F42C25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 xml:space="preserve">PP 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 xml:space="preserve">on 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ECMO, n (%)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4 (12)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 (0)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0.124</w:t>
      </w:r>
    </w:p>
    <w:p w:rsidR="00F42C25" w:rsidRPr="00B213CC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after="120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LOS ICU, days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18.7 (11.5-36.7)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28.7 (19.5-46.1)</w:t>
      </w:r>
      <w:r w:rsidRPr="00B213CC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0.156</w:t>
      </w:r>
    </w:p>
    <w:p w:rsidR="00F42C25" w:rsidRDefault="00F42C25" w:rsidP="00F42C25">
      <w:pPr>
        <w:tabs>
          <w:tab w:val="left" w:pos="2552"/>
          <w:tab w:val="left" w:pos="4820"/>
          <w:tab w:val="left" w:pos="7088"/>
          <w:tab w:val="left" w:pos="8505"/>
          <w:tab w:val="left" w:pos="13210"/>
          <w:tab w:val="left" w:pos="14370"/>
        </w:tabs>
        <w:spacing w:line="360" w:lineRule="auto"/>
        <w:ind w:right="1563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</w:p>
    <w:p w:rsidR="00721C38" w:rsidRPr="00F42C25" w:rsidRDefault="00721C38" w:rsidP="00F42C25">
      <w:bookmarkStart w:id="0" w:name="_GoBack"/>
      <w:bookmarkEnd w:id="0"/>
    </w:p>
    <w:sectPr w:rsidR="00721C38" w:rsidRPr="00F42C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H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C38"/>
    <w:rsid w:val="00721C38"/>
    <w:rsid w:val="00B3423F"/>
    <w:rsid w:val="00F4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92199"/>
  <w15:chartTrackingRefBased/>
  <w15:docId w15:val="{C0B0BD22-D78E-4914-AEAE-DC7811FE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C38"/>
    <w:pPr>
      <w:spacing w:after="0" w:line="240" w:lineRule="auto"/>
    </w:pPr>
    <w:rPr>
      <w:rFonts w:cs="Times New Roman"/>
      <w:sz w:val="24"/>
      <w:szCs w:val="24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Cerino,Clint</dc:creator>
  <cp:keywords/>
  <dc:description/>
  <cp:lastModifiedBy>Cerino,Clint</cp:lastModifiedBy>
  <cp:revision>2</cp:revision>
  <dcterms:created xsi:type="dcterms:W3CDTF">2023-08-04T07:25:00Z</dcterms:created>
  <dcterms:modified xsi:type="dcterms:W3CDTF">2023-08-04T07:25:00Z</dcterms:modified>
</cp:coreProperties>
</file>