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</w:pPr>
      <w:r>
        <w:rPr>
          <w:rFonts w:hint="eastAsia" w:ascii="Times New Roman" w:hAnsi="Times New Roman" w:eastAsia="Segoe UI"/>
          <w:b/>
          <w:bCs/>
          <w:sz w:val="22"/>
          <w:shd w:val="clear" w:color="auto" w:fill="FFFFFF"/>
        </w:rPr>
        <w:t>Attributable mortality of ARDS among critically ill patients with sepsis: a multicenter, retrospective cohort study</w:t>
      </w:r>
    </w:p>
    <w:p>
      <w:pPr>
        <w:jc w:val="center"/>
        <w:rPr>
          <w:rFonts w:ascii="Times New Roman" w:hAnsi="Times New Roman" w:cs="Times New Roman"/>
          <w:b/>
          <w:u w:val="single"/>
        </w:rPr>
      </w:pPr>
    </w:p>
    <w:p>
      <w:pPr>
        <w:jc w:val="center"/>
        <w:rPr>
          <w:rFonts w:ascii="Times New Roman" w:hAnsi="Times New Roman" w:cs="Times New Roman"/>
          <w:b/>
          <w:u w:val="single"/>
        </w:rPr>
      </w:pPr>
    </w:p>
    <w:p>
      <w:pP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Dong-Hui Wang</w:t>
      </w:r>
      <w:r>
        <w:rPr>
          <w:rFonts w:hint="eastAsia" w:ascii="Times New Roman" w:hAnsi="Times New Roman" w:cs="Times New Roman"/>
          <w:b/>
          <w:bCs/>
          <w:sz w:val="22"/>
          <w:shd w:val="clear" w:color="auto" w:fill="FFFFFF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sz w:val="2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Hui-Miao Jia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,</w:t>
      </w:r>
      <w:r>
        <w:rPr>
          <w:rFonts w:hint="eastAsia" w:ascii="Times New Roman" w:hAnsi="Times New Roman" w:cs="Times New Roman"/>
          <w:b/>
          <w:bCs/>
          <w:sz w:val="2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Xi Zheng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,</w:t>
      </w:r>
      <w:r>
        <w:rPr>
          <w:rFonts w:hint="eastAsia" w:ascii="Times New Roman" w:hAnsi="Times New Roman" w:cs="Times New Roman"/>
          <w:b/>
          <w:bCs/>
          <w:sz w:val="22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Xiu-Ming Xi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,</w:t>
      </w:r>
      <w:r>
        <w:rPr>
          <w:rFonts w:hint="eastAsia" w:ascii="Times New Roman" w:hAnsi="Times New Roman" w:cs="Times New Roman"/>
          <w:b/>
          <w:bCs/>
          <w:sz w:val="22"/>
          <w:shd w:val="clear" w:color="auto" w:fill="FFFFFF"/>
        </w:rPr>
        <w:t xml:space="preserve"> Yue Zheng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  <w:t>1*</w:t>
      </w:r>
      <w:r>
        <w:rPr>
          <w:rFonts w:hint="eastAsia" w:ascii="Times New Roman" w:hAnsi="Times New Roman" w:cs="Times New Roman"/>
          <w:b/>
          <w:bCs/>
          <w:sz w:val="2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Wen-Xiong Li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  <w:t>1*</w:t>
      </w:r>
    </w:p>
    <w:p>
      <w:pP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</w:pPr>
    </w:p>
    <w:p>
      <w:pPr>
        <w:rPr>
          <w:rFonts w:ascii="Times New Roman" w:hAnsi="Times New Roman" w:cs="Times New Roman"/>
          <w:b/>
          <w:bCs/>
          <w:sz w:val="22"/>
          <w:shd w:val="clear" w:color="auto" w:fill="FFFFFF"/>
          <w:vertAlign w:val="superscript"/>
        </w:rPr>
      </w:pPr>
    </w:p>
    <w:p>
      <w:pPr>
        <w:spacing w:line="360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  <w:vertAlign w:val="superscript"/>
        </w:rPr>
        <w:t>1</w:t>
      </w:r>
      <w:r>
        <w:rPr>
          <w:rFonts w:ascii="Times New Roman" w:hAnsi="Times New Roman"/>
          <w:bCs/>
          <w:sz w:val="22"/>
        </w:rPr>
        <w:t>Department of Surgical Intensive C</w:t>
      </w:r>
      <w:r>
        <w:rPr>
          <w:rFonts w:hint="eastAsia" w:ascii="Times New Roman" w:hAnsi="Times New Roman"/>
          <w:bCs/>
          <w:sz w:val="22"/>
          <w:lang w:val="en-US" w:eastAsia="zh-CN"/>
        </w:rPr>
        <w:t>are</w:t>
      </w:r>
      <w:r>
        <w:rPr>
          <w:rFonts w:ascii="Times New Roman" w:hAnsi="Times New Roman"/>
          <w:bCs/>
          <w:sz w:val="22"/>
        </w:rPr>
        <w:t xml:space="preserve"> Unit, Beijing Chao-yang Hospital, Capital Medical University, Beijing 100020, China</w:t>
      </w:r>
    </w:p>
    <w:p>
      <w:pPr>
        <w:spacing w:line="360" w:lineRule="auto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  <w:vertAlign w:val="superscript"/>
        </w:rPr>
        <w:t>2</w:t>
      </w:r>
      <w:r>
        <w:rPr>
          <w:rFonts w:ascii="Times New Roman" w:hAnsi="Times New Roman"/>
          <w:bCs/>
          <w:sz w:val="22"/>
        </w:rPr>
        <w:t>Department of Critical Care Medicine, Fuxing Hospital, Capital Medical University, Beijing, China</w:t>
      </w:r>
    </w:p>
    <w:p>
      <w:pPr>
        <w:spacing w:line="360" w:lineRule="auto"/>
        <w:rPr>
          <w:rFonts w:ascii="Times New Roman" w:hAnsi="Times New Roman"/>
          <w:bCs/>
          <w:sz w:val="22"/>
        </w:rPr>
      </w:pPr>
    </w:p>
    <w:p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Supplemental Content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u w:val="single"/>
        </w:rPr>
        <w:t xml:space="preserve">Supplemental Material </w:t>
      </w:r>
      <w:r>
        <w:rPr>
          <w:rFonts w:ascii="Times New Roman" w:hAnsi="Times New Roman" w:cs="Times New Roman"/>
          <w:b/>
          <w:u w:val="single"/>
        </w:rPr>
        <w:t>Contents (in order of appearance in manuscript)</w:t>
      </w:r>
      <w:r>
        <w:rPr>
          <w:rFonts w:ascii="Times New Roman" w:hAnsi="Times New Roman" w:cs="Times New Roman"/>
        </w:rPr>
        <w:t>:</w:t>
      </w:r>
    </w:p>
    <w:p>
      <w:pPr>
        <w:rPr>
          <w:rFonts w:ascii="Times New Roman" w:hAnsi="Times New Roman" w:cs="Times New Roman"/>
          <w:highlight w:val="none"/>
        </w:rPr>
      </w:pP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Table S1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The ARDS diagnosis time in the ARDS group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Calibri" w:cs="Times New Roman"/>
          <w:highlight w:val="none"/>
        </w:rPr>
        <w:t>after diagnosis of sepsis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Table S2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Baseline characteristics of patients with ARDS by severity category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Fig. S1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Density plot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Calibri" w:cs="Times New Roman"/>
          <w:highlight w:val="none"/>
        </w:rPr>
        <w:t>of propensity score before and after matching in cohorts with and without ARDS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Fig. S2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Calibri" w:cs="Times New Roman"/>
          <w:highlight w:val="none"/>
        </w:rPr>
        <w:t>The Q-Q plots of the balance of the covariates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Fig. S3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The Jitter plots of the distribution of propensity scores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Fig. S4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The standardized difference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Calibri" w:cs="Times New Roman"/>
          <w:highlight w:val="none"/>
        </w:rPr>
        <w:t>before and after matching in cohorts with and without ARDS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Table S3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Results of the sensitivity analysis of 30-day attributable mortality</w:t>
      </w:r>
    </w:p>
    <w:p>
      <w:pPr>
        <w:jc w:val="left"/>
        <w:rPr>
          <w:rFonts w:hint="eastAsia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Table S4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The optimal multivariable Cox proportional hazard regression analysis for 30-day mortality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Calibri" w:cs="Times New Roman"/>
          <w:highlight w:val="none"/>
        </w:rPr>
        <w:t>stratified by severity of ARDS</w:t>
      </w:r>
      <w:bookmarkStart w:id="0" w:name="_GoBack"/>
      <w:bookmarkEnd w:id="0"/>
    </w:p>
    <w:p>
      <w:pPr>
        <w:jc w:val="left"/>
        <w:rPr>
          <w:rFonts w:hint="eastAsia" w:ascii="Times New Roman" w:hAnsi="Times New Roman" w:eastAsia="Calibri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Table S5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The full model of the multivariable Cox regression</w:t>
      </w:r>
    </w:p>
    <w:p>
      <w:pPr>
        <w:jc w:val="left"/>
        <w:rPr>
          <w:rFonts w:hint="eastAsia" w:ascii="Times New Roman" w:hAnsi="Times New Roman" w:eastAsia="Calibri" w:cs="Times New Roman"/>
          <w:highlight w:val="none"/>
        </w:rPr>
      </w:pPr>
      <w:r>
        <w:rPr>
          <w:rFonts w:hint="eastAsia" w:ascii="Times New Roman" w:hAnsi="Times New Roman" w:eastAsia="Calibri" w:cs="Times New Roman"/>
          <w:highlight w:val="none"/>
        </w:rPr>
        <w:t>Supplemental Material Fig. S5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.</w:t>
      </w:r>
      <w:r>
        <w:rPr>
          <w:rFonts w:hint="eastAsia" w:ascii="Times New Roman" w:hAnsi="Times New Roman" w:eastAsia="Calibri" w:cs="Times New Roman"/>
          <w:highlight w:val="none"/>
        </w:rPr>
        <w:t xml:space="preserve"> The forest plot for full model of the multivariable Cox regression</w:t>
      </w:r>
    </w:p>
    <w:p>
      <w:pPr>
        <w:jc w:val="left"/>
        <w:rPr>
          <w:rFonts w:hint="eastAsia" w:ascii="Times New Roman" w:hAnsi="Times New Roman" w:eastAsia="Calibri" w:cs="Times New Roman"/>
          <w:highlight w:val="yellow"/>
        </w:rPr>
      </w:pPr>
    </w:p>
    <w:p>
      <w:pPr>
        <w:jc w:val="left"/>
        <w:rPr>
          <w:rFonts w:ascii="Times New Roman" w:hAnsi="Times New Roman" w:eastAsia="Calibri" w:cs="Times New Roman"/>
          <w:highlight w:val="yellow"/>
        </w:rPr>
      </w:pPr>
    </w:p>
    <w:p>
      <w:pPr>
        <w:jc w:val="left"/>
        <w:rPr>
          <w:rFonts w:ascii="Times New Roman" w:hAnsi="Times New Roman" w:eastAsia="Calibri" w:cs="Times New Roman"/>
        </w:rPr>
      </w:pPr>
    </w:p>
    <w:p>
      <w:pPr>
        <w:jc w:val="left"/>
        <w:rPr>
          <w:rFonts w:ascii="Times New Roman" w:hAnsi="Times New Roman" w:eastAsia="Calibri" w:cs="Times New Roman"/>
        </w:rPr>
      </w:pPr>
    </w:p>
    <w:p>
      <w:pPr>
        <w:jc w:val="left"/>
        <w:rPr>
          <w:rFonts w:ascii="Times New Roman" w:hAnsi="Times New Roman" w:eastAsia="Calibri" w:cs="Times New Roman"/>
        </w:rPr>
      </w:pPr>
    </w:p>
    <w:p>
      <w:pPr>
        <w:jc w:val="left"/>
        <w:rPr>
          <w:rFonts w:ascii="Times New Roman" w:hAnsi="Times New Roman" w:eastAsia="Calibri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cs="Times New Roman"/>
          <w:b/>
          <w:highlight w:val="none"/>
        </w:rPr>
      </w:pPr>
      <w:r>
        <w:rPr>
          <w:rFonts w:hint="eastAsia" w:ascii="Times New Roman" w:hAnsi="Times New Roman" w:cs="Times New Roman"/>
          <w:b/>
          <w:highlight w:val="none"/>
        </w:rPr>
        <w:t>Supplemental Material Table S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>1.</w:t>
      </w:r>
      <w:r>
        <w:rPr>
          <w:rFonts w:hint="eastAsia" w:ascii="Times New Roman" w:hAnsi="Times New Roman" w:cs="Times New Roman"/>
          <w:b/>
          <w:highlight w:val="none"/>
        </w:rPr>
        <w:t xml:space="preserve"> </w:t>
      </w:r>
      <w:r>
        <w:rPr>
          <w:rFonts w:ascii="Times New Roman" w:hAnsi="Times New Roman" w:cs="Times New Roman"/>
          <w:b/>
          <w:highlight w:val="none"/>
        </w:rPr>
        <w:t>The ARDS diagnosis time in the ARDS group</w:t>
      </w:r>
      <w:r>
        <w:rPr>
          <w:rFonts w:hint="eastAsia" w:ascii="Times New Roman" w:hAnsi="Times New Roman" w:cs="Times New Roman"/>
          <w:b/>
          <w:highlight w:val="none"/>
        </w:rPr>
        <w:t xml:space="preserve"> after diagnosis of sepsis</w:t>
      </w:r>
    </w:p>
    <w:tbl>
      <w:tblPr>
        <w:tblStyle w:val="6"/>
        <w:tblW w:w="977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1134"/>
        <w:gridCol w:w="1200"/>
        <w:gridCol w:w="1167"/>
        <w:gridCol w:w="1183"/>
        <w:gridCol w:w="1037"/>
        <w:gridCol w:w="1036"/>
        <w:gridCol w:w="10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45" w:type="dxa"/>
            <w:vMerge w:val="restart"/>
            <w:noWrap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</w:rPr>
              <w:t>Variables</w:t>
            </w:r>
          </w:p>
        </w:tc>
        <w:tc>
          <w:tcPr>
            <w:tcW w:w="7832" w:type="dxa"/>
            <w:gridSpan w:val="7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2"/>
              </w:rPr>
              <w:t>ARDS diagnosis time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45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>Day 1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>Day 2</w:t>
            </w:r>
          </w:p>
        </w:tc>
        <w:tc>
          <w:tcPr>
            <w:tcW w:w="116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>Day 3</w:t>
            </w:r>
          </w:p>
        </w:tc>
        <w:tc>
          <w:tcPr>
            <w:tcW w:w="118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>Day 4</w:t>
            </w:r>
          </w:p>
        </w:tc>
        <w:tc>
          <w:tcPr>
            <w:tcW w:w="103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>Day 5</w:t>
            </w:r>
          </w:p>
        </w:tc>
        <w:tc>
          <w:tcPr>
            <w:tcW w:w="103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 xml:space="preserve">Day </w:t>
            </w: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6</w:t>
            </w:r>
          </w:p>
        </w:tc>
        <w:tc>
          <w:tcPr>
            <w:tcW w:w="107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ascii="Times New Roman" w:hAnsi="Times New Roman" w:eastAsia="宋体" w:cs="Times New Roman"/>
                <w:bCs/>
                <w:sz w:val="22"/>
              </w:rPr>
              <w:t xml:space="preserve">Day </w:t>
            </w: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4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Number of patients with ARDS, n (%)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207 (13.1)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386 (24.5)</w:t>
            </w:r>
          </w:p>
        </w:tc>
        <w:tc>
          <w:tcPr>
            <w:tcW w:w="116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471 (29.9)</w:t>
            </w:r>
          </w:p>
        </w:tc>
        <w:tc>
          <w:tcPr>
            <w:tcW w:w="1183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182 (11.6)</w:t>
            </w:r>
          </w:p>
        </w:tc>
        <w:tc>
          <w:tcPr>
            <w:tcW w:w="1037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113 (7.2)</w:t>
            </w:r>
          </w:p>
        </w:tc>
        <w:tc>
          <w:tcPr>
            <w:tcW w:w="1036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127 (8.1)</w:t>
            </w:r>
          </w:p>
        </w:tc>
        <w:tc>
          <w:tcPr>
            <w:tcW w:w="107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2"/>
              </w:rPr>
              <w:t>88 (5.6)</w:t>
            </w:r>
          </w:p>
        </w:tc>
      </w:tr>
    </w:tbl>
    <w:p>
      <w:pPr>
        <w:rPr>
          <w:rFonts w:ascii="Times New Roman" w:hAnsi="Times New Roman" w:cs="Times New Roman"/>
          <w:b/>
          <w:highlight w:val="yellow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jc w:val="left"/>
        <w:rPr>
          <w:rFonts w:hint="eastAsia" w:ascii="Times New Roman" w:hAnsi="Times New Roman" w:cs="Times New Roman"/>
          <w:b/>
        </w:rPr>
      </w:pPr>
    </w:p>
    <w:p>
      <w:pPr>
        <w:rPr>
          <w:rFonts w:hint="eastAsia"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 xml:space="preserve">Supplemental Material </w:t>
      </w:r>
      <w:r>
        <w:rPr>
          <w:rFonts w:hint="eastAsia" w:ascii="Times New Roman" w:hAnsi="Times New Roman" w:cs="Times New Roman"/>
          <w:b/>
          <w:highlight w:val="none"/>
        </w:rPr>
        <w:t>Table S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>2.</w:t>
      </w:r>
      <w:r>
        <w:rPr>
          <w:rFonts w:hint="eastAsia" w:ascii="Times New Roman" w:hAnsi="Times New Roman" w:cs="Times New Roman"/>
          <w:b/>
          <w:highlight w:val="none"/>
        </w:rPr>
        <w:t xml:space="preserve"> </w:t>
      </w:r>
      <w:r>
        <w:rPr>
          <w:rFonts w:hint="eastAsia" w:ascii="Times New Roman" w:hAnsi="Times New Roman" w:cs="Times New Roman"/>
          <w:b/>
        </w:rPr>
        <w:t>Baseline characteristics of patients with ARDS by severity category</w:t>
      </w:r>
    </w:p>
    <w:tbl>
      <w:tblPr>
        <w:tblStyle w:val="5"/>
        <w:tblW w:w="987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7"/>
        <w:gridCol w:w="1746"/>
        <w:gridCol w:w="1848"/>
        <w:gridCol w:w="1670"/>
        <w:gridCol w:w="92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Variables</w:t>
            </w:r>
          </w:p>
        </w:tc>
        <w:tc>
          <w:tcPr>
            <w:tcW w:w="174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Mild ARDS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n=603</w:t>
            </w:r>
          </w:p>
        </w:tc>
        <w:tc>
          <w:tcPr>
            <w:tcW w:w="1848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Moderate ARDS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n=707</w:t>
            </w:r>
          </w:p>
        </w:tc>
        <w:tc>
          <w:tcPr>
            <w:tcW w:w="167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Severe ARDS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n=264</w:t>
            </w:r>
          </w:p>
        </w:tc>
        <w:tc>
          <w:tcPr>
            <w:tcW w:w="92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2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lang w:val="en-US" w:eastAsia="zh-CN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tcBorders>
              <w:top w:val="single" w:color="auto" w:sz="12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Male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392 (65.0)</w:t>
            </w:r>
          </w:p>
        </w:tc>
        <w:tc>
          <w:tcPr>
            <w:tcW w:w="1848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470 (66.5)</w:t>
            </w:r>
          </w:p>
        </w:tc>
        <w:tc>
          <w:tcPr>
            <w:tcW w:w="167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178 (67.4)</w:t>
            </w:r>
          </w:p>
        </w:tc>
        <w:tc>
          <w:tcPr>
            <w:tcW w:w="92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Age</w:t>
            </w:r>
            <w:r>
              <w:rPr>
                <w:rFonts w:hint="eastAsia" w:ascii="Times New Roman" w:hAnsi="Times New Roman" w:cs="Times New Roman"/>
                <w:sz w:val="22"/>
              </w:rPr>
              <w:t>, median (IQR), years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 (49-77)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67 (53-79)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 (49-74)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BMI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, median (IQR), </w:t>
            </w:r>
            <w:r>
              <w:rPr>
                <w:rFonts w:ascii="Times New Roman" w:hAnsi="Times New Roman" w:cs="Times New Roman"/>
                <w:sz w:val="22"/>
              </w:rPr>
              <w:t>kg/m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23.4 (21.2-25.4)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23.4 (21.3-25.4)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23.4 (21.2-25.5)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2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Chronic comorbidities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COPD/asthma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 (7.1)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89 (12.6)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 (5.7)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Cardiovascular disease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85 (14.1)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 (17.1)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34 (12.9)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Hypertension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 (33.2)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252 (35.6)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85 (32.2)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Diabetes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113 (18.7)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138 (19.5)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 (18.6)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Cancer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 (9.5)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65 (9.2)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 (11.7)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0.627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CKD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 (6.6)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 (6.1)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 (9.1)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Chronic liver disease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 (2.2)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 (2.1)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 (2.3)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2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Admission type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Medical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317 (52.6)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389 (55.0)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176 (66.7)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Surgical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148 (24.5)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105 (14.9)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 (11.0)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Emergency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138 (22.9)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213 (30.1)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 (22.3)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2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ite of infection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L</w:t>
            </w:r>
            <w:r>
              <w:rPr>
                <w:rFonts w:ascii="Times New Roman" w:hAnsi="Times New Roman" w:cs="Times New Roman"/>
                <w:sz w:val="22"/>
              </w:rPr>
              <w:t>ung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347 (57.5)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383 (54.2)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137 (51.9)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0.247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bdomen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75 (12.4)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113 (16.0)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41 (15.5)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B</w:t>
            </w:r>
            <w:r>
              <w:rPr>
                <w:rFonts w:ascii="Times New Roman" w:hAnsi="Times New Roman" w:cs="Times New Roman"/>
                <w:sz w:val="22"/>
              </w:rPr>
              <w:t>loodstream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77 (12.8)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114 (16.1)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42 (15.9)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0.201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Urinary tract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69 (11.4)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104 (14.7)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40 (15.2)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0.159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Others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13 (2.2)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11 (1.6)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8 (3.0)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0.338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APACHE II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score</w:t>
            </w:r>
            <w:r>
              <w:rPr>
                <w:rFonts w:hint="eastAsia" w:ascii="Times New Roman" w:hAnsi="Times New Roman" w:cs="Times New Roman"/>
                <w:sz w:val="22"/>
              </w:rPr>
              <w:t>, median (IQR)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 (13-24)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 (15-25)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 (18-29)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SOFA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score</w:t>
            </w:r>
            <w:r>
              <w:rPr>
                <w:rFonts w:hint="eastAsia" w:ascii="Times New Roman" w:hAnsi="Times New Roman" w:cs="Times New Roman"/>
                <w:sz w:val="22"/>
              </w:rPr>
              <w:t>, median (IQR)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 (4-9)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 (6-11)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 (7-13)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Mechanical ventilation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461 (76.5)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588 (83.2)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232 (87.9)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PEEP, median (IQR), cm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H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O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6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5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7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8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8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10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15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12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18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eastAsia="Segoe UI" w:cs="Times New Roman"/>
                <w:sz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sz w:val="22"/>
                <w:highlight w:val="none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PaO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/FiO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, median (IQR), mmHg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highlight w:val="none"/>
              </w:rPr>
              <w:t>2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 xml:space="preserve">49 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(2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21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-2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70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 xml:space="preserve">156 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130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179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 xml:space="preserve">80 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63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-</w:t>
            </w:r>
            <w:r>
              <w:rPr>
                <w:rFonts w:hint="eastAsia" w:ascii="Times New Roman" w:hAnsi="Times New Roman" w:cs="Times New Roman"/>
                <w:sz w:val="22"/>
                <w:highlight w:val="none"/>
              </w:rPr>
              <w:t>91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eastAsia="Segoe UI" w:cs="Times New Roman"/>
                <w:sz w:val="22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sz w:val="22"/>
                <w:highlight w:val="none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  <w:highlight w:val="none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RRT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111 (18.4)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146 (20.7)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70 (26.5)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shd w:val="clear" w:color="auto" w:fill="FFFFFF"/>
              </w:rPr>
              <w:t>S</w:t>
            </w:r>
            <w:r>
              <w:rPr>
                <w:rFonts w:hint="eastAsia" w:ascii="Times New Roman" w:hAnsi="Times New Roman" w:eastAsia="Segoe UI"/>
                <w:sz w:val="22"/>
                <w:shd w:val="clear" w:color="auto" w:fill="FFFFFF"/>
              </w:rPr>
              <w:t>eptic shock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250 (41.5)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374 (52.9)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166 (62.9)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MAP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, median (IQR), </w:t>
            </w:r>
            <w:r>
              <w:rPr>
                <w:rFonts w:ascii="Times New Roman" w:hAnsi="Times New Roman" w:cs="Times New Roman"/>
                <w:sz w:val="22"/>
              </w:rPr>
              <w:t>mmHg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 (63-93)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 (61-91)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69 (58-86)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72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</w:rPr>
              <w:t>Outcomes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LOS in ICU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, median (IQR), </w:t>
            </w:r>
            <w:r>
              <w:rPr>
                <w:rFonts w:ascii="Times New Roman" w:hAnsi="Times New Roman" w:cs="Times New Roman"/>
                <w:sz w:val="22"/>
              </w:rPr>
              <w:t>days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 (5-18)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 (5-19)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 (4-17)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LOS in hospital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, median (IQR), </w:t>
            </w:r>
            <w:r>
              <w:rPr>
                <w:rFonts w:ascii="Times New Roman" w:hAnsi="Times New Roman" w:cs="Times New Roman"/>
                <w:sz w:val="22"/>
              </w:rPr>
              <w:t>days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 (11-29)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 (11-28)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(9-28)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ICU mortality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90 (14.9)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114 (16.1)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 (28.8)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30-day mortality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161 (26.7)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240 (33.9)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120 (45.5)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8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Hospital mortality</w:t>
            </w:r>
            <w:r>
              <w:rPr>
                <w:rFonts w:hint="eastAsia" w:ascii="Times New Roman" w:hAnsi="Times New Roman" w:cs="Times New Roman"/>
                <w:sz w:val="22"/>
              </w:rPr>
              <w:t>, n (%)</w:t>
            </w: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239 (39.6)</w:t>
            </w: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310 (43.8)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148 (56.1)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eastAsia="Segoe UI" w:cs="Times New Roman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</w:tbl>
    <w:p>
      <w:pPr>
        <w:rPr>
          <w:rFonts w:ascii="Times New Roman" w:hAnsi="Times New Roman" w:eastAsia="宋体"/>
          <w:sz w:val="22"/>
          <w:shd w:val="clear" w:color="auto" w:fill="FFFFFF"/>
        </w:rPr>
      </w:pPr>
      <w:r>
        <w:rPr>
          <w:rFonts w:hint="eastAsia" w:ascii="Times New Roman" w:hAnsi="Times New Roman" w:eastAsia="Segoe UI" w:cs="Times New Roman"/>
          <w:sz w:val="22"/>
          <w:shd w:val="clear" w:color="auto" w:fill="FFFFFF"/>
        </w:rPr>
        <w:t xml:space="preserve">Abbreviations: </w:t>
      </w:r>
      <w:r>
        <w:rPr>
          <w:rFonts w:hint="eastAsia" w:ascii="Times New Roman" w:hAnsi="Times New Roman"/>
          <w:sz w:val="22"/>
          <w:shd w:val="clear" w:color="auto" w:fill="FFFFFF"/>
        </w:rPr>
        <w:t>ARDS, a</w:t>
      </w:r>
      <w:r>
        <w:rPr>
          <w:rFonts w:ascii="Times New Roman" w:hAnsi="Times New Roman"/>
          <w:sz w:val="22"/>
          <w:shd w:val="clear" w:color="auto" w:fill="FFFFFF"/>
        </w:rPr>
        <w:t>cute respiratory distress</w:t>
      </w:r>
      <w:r>
        <w:rPr>
          <w:rFonts w:hint="eastAsia" w:ascii="Times New Roman" w:hAnsi="Times New Roman"/>
          <w:sz w:val="22"/>
          <w:shd w:val="clear" w:color="auto" w:fill="FFFFFF"/>
        </w:rPr>
        <w:t xml:space="preserve"> syndrome; </w:t>
      </w:r>
      <w:r>
        <w:rPr>
          <w:rFonts w:ascii="Times New Roman" w:hAnsi="Times New Roman" w:eastAsia="Segoe UI"/>
          <w:sz w:val="22"/>
          <w:shd w:val="clear" w:color="auto" w:fill="FFFFFF"/>
        </w:rPr>
        <w:t>BMI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body mass index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; </w:t>
      </w:r>
      <w:r>
        <w:rPr>
          <w:rFonts w:ascii="Times New Roman" w:hAnsi="Times New Roman" w:eastAsia="Segoe UI"/>
          <w:sz w:val="22"/>
          <w:shd w:val="clear" w:color="auto" w:fill="FFFFFF"/>
        </w:rPr>
        <w:t>COPD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chronic obstructive pulmonary disease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; </w:t>
      </w:r>
      <w:r>
        <w:rPr>
          <w:rFonts w:hint="eastAsia" w:ascii="Times New Roman" w:hAnsi="Times New Roman"/>
          <w:sz w:val="22"/>
          <w:shd w:val="clear" w:color="auto" w:fill="FFFFFF"/>
        </w:rPr>
        <w:t xml:space="preserve">CKD, chronic kidney disease; </w:t>
      </w:r>
      <w:r>
        <w:rPr>
          <w:rFonts w:ascii="Times New Roman" w:hAnsi="Times New Roman" w:eastAsia="Segoe UI"/>
          <w:sz w:val="22"/>
          <w:shd w:val="clear" w:color="auto" w:fill="FFFFFF"/>
        </w:rPr>
        <w:t>APACHE</w:t>
      </w:r>
      <w:r>
        <w:rPr>
          <w:rFonts w:hint="eastAsia" w:ascii="Times New Roman" w:hAnsi="Times New Roman" w:eastAsia="宋体"/>
          <w:sz w:val="22"/>
          <w:shd w:val="clear" w:color="auto" w:fill="FFFFFF"/>
          <w:lang w:val="en-US" w:eastAsia="zh-CN"/>
        </w:rPr>
        <w:t xml:space="preserve">  </w:t>
      </w:r>
      <w:r>
        <w:rPr>
          <w:rFonts w:ascii="Times New Roman" w:hAnsi="Times New Roman" w:eastAsia="Segoe UI"/>
          <w:sz w:val="22"/>
          <w:shd w:val="clear" w:color="auto" w:fill="FFFFFF"/>
        </w:rPr>
        <w:t>II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acute physiologic andchronic health evaluat</w:t>
      </w:r>
      <w:r>
        <w:rPr>
          <w:rFonts w:ascii="Times New Roman" w:hAnsi="Times New Roman" w:eastAsia="Segoe UI"/>
          <w:sz w:val="22"/>
          <w:highlight w:val="none"/>
          <w:shd w:val="clear" w:color="auto" w:fill="FFFFFF"/>
        </w:rPr>
        <w:t>ion II</w:t>
      </w:r>
      <w:r>
        <w:rPr>
          <w:rFonts w:hint="eastAsia" w:ascii="Times New Roman" w:hAnsi="Times New Roman" w:eastAsia="宋体"/>
          <w:sz w:val="22"/>
          <w:highlight w:val="none"/>
          <w:shd w:val="clear" w:color="auto" w:fill="FFFFFF"/>
        </w:rPr>
        <w:t xml:space="preserve">; </w:t>
      </w:r>
      <w:r>
        <w:rPr>
          <w:rFonts w:ascii="Times New Roman" w:hAnsi="Times New Roman" w:eastAsia="Segoe UI"/>
          <w:sz w:val="22"/>
          <w:highlight w:val="none"/>
          <w:shd w:val="clear" w:color="auto" w:fill="FFFFFF"/>
        </w:rPr>
        <w:t>SOFA</w:t>
      </w:r>
      <w:r>
        <w:rPr>
          <w:rFonts w:hint="eastAsia" w:ascii="Times New Roman" w:hAnsi="Times New Roman" w:eastAsia="宋体"/>
          <w:sz w:val="22"/>
          <w:highlight w:val="none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highlight w:val="none"/>
          <w:shd w:val="clear" w:color="auto" w:fill="FFFFFF"/>
        </w:rPr>
        <w:t xml:space="preserve"> sequential organ failure assessment</w:t>
      </w:r>
      <w:r>
        <w:rPr>
          <w:rFonts w:hint="eastAsia" w:ascii="Times New Roman" w:hAnsi="Times New Roman" w:eastAsia="宋体"/>
          <w:sz w:val="22"/>
          <w:highlight w:val="none"/>
          <w:shd w:val="clear" w:color="auto" w:fill="FFFFFF"/>
        </w:rPr>
        <w:t xml:space="preserve">; </w:t>
      </w:r>
      <w:r>
        <w:rPr>
          <w:rFonts w:hint="eastAsia" w:ascii="Times New Roman" w:hAnsi="Times New Roman"/>
          <w:sz w:val="22"/>
          <w:highlight w:val="none"/>
          <w:shd w:val="clear" w:color="auto" w:fill="FFFFFF"/>
        </w:rPr>
        <w:t xml:space="preserve">PEEP, positive end-expiratory pressure; </w:t>
      </w:r>
      <w:r>
        <w:rPr>
          <w:rFonts w:ascii="Times New Roman" w:hAnsi="Times New Roman" w:eastAsia="Segoe UI"/>
          <w:sz w:val="22"/>
          <w:highlight w:val="none"/>
          <w:shd w:val="clear" w:color="auto" w:fill="FFFFFF"/>
        </w:rPr>
        <w:t>RRT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, </w:t>
      </w:r>
      <w:r>
        <w:rPr>
          <w:rFonts w:ascii="Times New Roman" w:hAnsi="Times New Roman" w:eastAsia="Segoe UI"/>
          <w:sz w:val="22"/>
          <w:shd w:val="clear" w:color="auto" w:fill="FFFFFF"/>
        </w:rPr>
        <w:t>renalreplacement therapy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; </w:t>
      </w:r>
      <w:r>
        <w:rPr>
          <w:rFonts w:ascii="Times New Roman" w:hAnsi="Times New Roman" w:eastAsia="Segoe UI"/>
          <w:sz w:val="22"/>
          <w:shd w:val="clear" w:color="auto" w:fill="FFFFFF"/>
        </w:rPr>
        <w:t>MAP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mean arterial pressure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;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LOS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length of stay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;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ICU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intensive care unit</w:t>
      </w:r>
    </w:p>
    <w:p/>
    <w:p/>
    <w:p>
      <w:r>
        <w:rPr>
          <w:rFonts w:hint="eastAsia"/>
        </w:rPr>
        <w:drawing>
          <wp:inline distT="0" distB="0" distL="114300" distR="114300">
            <wp:extent cx="5272405" cy="4145915"/>
            <wp:effectExtent l="0" t="0" r="635" b="14605"/>
            <wp:docPr id="1" name="图片 1" descr="Fig. S1 Density plot of propensity score before and after matching in cohorts with and without 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 Density plot of propensity score before and after matching in cohorts with and without ARD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</w:rPr>
        <w:t xml:space="preserve">Supplemental Material </w:t>
      </w:r>
      <w:r>
        <w:rPr>
          <w:rFonts w:ascii="Times New Roman" w:hAnsi="Times New Roman" w:cs="Times New Roman"/>
          <w:b/>
        </w:rPr>
        <w:t>Fig</w:t>
      </w:r>
      <w:r>
        <w:rPr>
          <w:rFonts w:hint="eastAsia" w:ascii="Times New Roman" w:hAnsi="Times New Roman" w:cs="Times New Roman"/>
          <w:b/>
        </w:rPr>
        <w:t>. S1</w:t>
      </w:r>
      <w:r>
        <w:rPr>
          <w:rFonts w:hint="eastAsia" w:ascii="Times New Roman" w:hAnsi="Times New Roman" w:cs="Times New Roman"/>
          <w:b/>
          <w:lang w:val="en-US" w:eastAsia="zh-CN"/>
        </w:rPr>
        <w:t>.</w:t>
      </w:r>
      <w:r>
        <w:rPr>
          <w:rFonts w:ascii="Times New Roman" w:hAnsi="Times New Roman" w:cs="Times New Roman"/>
          <w:b/>
        </w:rPr>
        <w:t xml:space="preserve"> Density plot</w:t>
      </w:r>
      <w:r>
        <w:rPr>
          <w:rFonts w:hint="eastAsia" w:ascii="Times New Roman" w:hAnsi="Times New Roman" w:cs="Times New Roman"/>
          <w:b/>
          <w:lang w:val="en-US" w:eastAsia="zh-CN"/>
        </w:rPr>
        <w:t xml:space="preserve"> </w:t>
      </w:r>
      <w:r>
        <w:rPr>
          <w:rFonts w:ascii="Times New Roman" w:hAnsi="Times New Roman" w:cs="Times New Roman"/>
          <w:b/>
        </w:rPr>
        <w:t xml:space="preserve">of propensity score before and after matching in cohorts with and without </w:t>
      </w:r>
      <w:r>
        <w:rPr>
          <w:rFonts w:hint="eastAsia" w:ascii="Times New Roman" w:hAnsi="Times New Roman" w:cs="Times New Roman"/>
          <w:b/>
        </w:rPr>
        <w:t>ARD</w:t>
      </w:r>
      <w:r>
        <w:rPr>
          <w:rFonts w:hint="eastAsia" w:ascii="Times New Roman" w:hAnsi="Times New Roman" w:cs="Times New Roman"/>
          <w:b/>
          <w:sz w:val="22"/>
        </w:rPr>
        <w:t xml:space="preserve">S </w:t>
      </w:r>
      <w:r>
        <w:rPr>
          <w:rFonts w:hint="eastAsia" w:ascii="Times New Roman" w:hAnsi="Times New Roman"/>
          <w:sz w:val="22"/>
        </w:rPr>
        <w:t>(</w:t>
      </w:r>
      <w:r>
        <w:rPr>
          <w:rFonts w:ascii="Times New Roman" w:hAnsi="Times New Roman"/>
          <w:b/>
          <w:bCs/>
          <w:sz w:val="22"/>
        </w:rPr>
        <w:t>A</w:t>
      </w:r>
      <w:r>
        <w:rPr>
          <w:rFonts w:hint="eastAsia" w:ascii="Times New Roman" w:hAnsi="Times New Roman"/>
          <w:sz w:val="22"/>
        </w:rPr>
        <w:t>) PS</w:t>
      </w:r>
      <w:r>
        <w:rPr>
          <w:rFonts w:ascii="Times New Roman" w:hAnsi="Times New Roman"/>
          <w:sz w:val="22"/>
        </w:rPr>
        <w:t xml:space="preserve"> before matching</w:t>
      </w:r>
      <w:r>
        <w:rPr>
          <w:rFonts w:hint="eastAsia" w:ascii="Times New Roman" w:hAnsi="Times New Roman"/>
          <w:sz w:val="22"/>
        </w:rPr>
        <w:t>. (</w:t>
      </w:r>
      <w:r>
        <w:rPr>
          <w:rFonts w:ascii="Times New Roman" w:hAnsi="Times New Roman"/>
          <w:b/>
          <w:bCs/>
          <w:sz w:val="22"/>
        </w:rPr>
        <w:t>B</w:t>
      </w:r>
      <w:r>
        <w:rPr>
          <w:rFonts w:hint="eastAsia" w:ascii="Times New Roman" w:hAnsi="Times New Roman"/>
          <w:sz w:val="22"/>
        </w:rPr>
        <w:t>) PS</w:t>
      </w:r>
      <w:r>
        <w:rPr>
          <w:rFonts w:ascii="Times New Roman" w:hAnsi="Times New Roman"/>
          <w:sz w:val="22"/>
        </w:rPr>
        <w:t xml:space="preserve"> after matching. </w:t>
      </w:r>
      <w:r>
        <w:rPr>
          <w:rFonts w:hint="eastAsia" w:ascii="Times New Roman" w:hAnsi="Times New Roman"/>
          <w:sz w:val="22"/>
        </w:rPr>
        <w:t xml:space="preserve">Abbreviations: </w:t>
      </w:r>
      <w:r>
        <w:rPr>
          <w:rFonts w:ascii="Times New Roman" w:hAnsi="Times New Roman"/>
          <w:sz w:val="22"/>
        </w:rPr>
        <w:t>PS</w:t>
      </w:r>
      <w:r>
        <w:rPr>
          <w:rFonts w:hint="eastAsia"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propensity score</w:t>
      </w:r>
    </w:p>
    <w:p>
      <w:pPr>
        <w:ind w:left="-420" w:leftChars="-200"/>
      </w:pPr>
      <w:r>
        <w:rPr>
          <w:rFonts w:hint="eastAsia"/>
        </w:rPr>
        <w:drawing>
          <wp:inline distT="0" distB="0" distL="114300" distR="114300">
            <wp:extent cx="6173470" cy="5639435"/>
            <wp:effectExtent l="0" t="0" r="13970" b="14605"/>
            <wp:docPr id="5" name="图片 5" descr="Fig. S2 The Q-Q plots of the balance of the covari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2 The Q-Q plots of the balance of the covariat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563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 w:cs="Times New Roman"/>
          <w:b/>
        </w:rPr>
        <w:t xml:space="preserve">Supplemental Material </w:t>
      </w:r>
      <w:r>
        <w:rPr>
          <w:rFonts w:ascii="Times New Roman" w:hAnsi="Times New Roman" w:cs="Times New Roman"/>
          <w:b/>
        </w:rPr>
        <w:t>Fig</w:t>
      </w:r>
      <w:r>
        <w:rPr>
          <w:rFonts w:hint="eastAsia" w:ascii="Times New Roman" w:hAnsi="Times New Roman" w:cs="Times New Roman"/>
          <w:b/>
        </w:rPr>
        <w:t>. S2</w:t>
      </w:r>
      <w:r>
        <w:rPr>
          <w:rFonts w:hint="eastAsia" w:ascii="Times New Roman" w:hAnsi="Times New Roman" w:cs="Times New Roman"/>
          <w:b/>
          <w:lang w:val="en-US" w:eastAsia="zh-CN"/>
        </w:rPr>
        <w:t>.</w:t>
      </w:r>
      <w:r>
        <w:rPr>
          <w:rFonts w:hint="eastAsia" w:ascii="Times New Roman" w:hAnsi="Times New Roman" w:cs="Times New Roman"/>
          <w:b/>
        </w:rPr>
        <w:t xml:space="preserve"> The Q-Q plots of the balance of the covariates</w:t>
      </w:r>
    </w:p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</w:rPr>
        <w:t>Abbreviations: ARDS, acute respiratory distress syndrome; BMI, body mass index; COPD, chronic obstructive pulmonary disease; CKD, chronic kidney disease; APACHE II, acute physiologic and chronic health evaluation II; SOFA, sequential organ failure assessment; RRT, renal replacement therapy; MAP, mean arterial pressure; LOS, length of stay; ICU, intensive care unit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drawing>
          <wp:inline distT="0" distB="0" distL="114300" distR="114300">
            <wp:extent cx="5274310" cy="5854700"/>
            <wp:effectExtent l="0" t="0" r="13970" b="12700"/>
            <wp:docPr id="3" name="图片 3" descr="Fig. S3 Jitter plots of the distribution of propensity sc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3 Jitter plots of the distribution of propensity scor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 w:cs="Times New Roman"/>
          <w:b/>
        </w:rPr>
        <w:t>Supplemental Material Fig. S3</w:t>
      </w:r>
      <w:r>
        <w:rPr>
          <w:rFonts w:hint="eastAsia" w:ascii="Times New Roman" w:hAnsi="Times New Roman" w:cs="Times New Roman"/>
          <w:b/>
          <w:lang w:val="en-US" w:eastAsia="zh-CN"/>
        </w:rPr>
        <w:t>.</w:t>
      </w:r>
      <w:r>
        <w:rPr>
          <w:rFonts w:hint="eastAsia" w:ascii="Times New Roman" w:hAnsi="Times New Roman" w:cs="Times New Roman"/>
          <w:b/>
        </w:rPr>
        <w:t xml:space="preserve"> The Jitter plots of the distribution of propensity scores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Times New Roman" w:hAnsi="Times New Roman" w:eastAsiaTheme="minorEastAsia"/>
          <w:sz w:val="24"/>
          <w:lang w:eastAsia="zh-CN"/>
        </w:rPr>
        <w:drawing>
          <wp:inline distT="0" distB="0" distL="114300" distR="114300">
            <wp:extent cx="5373370" cy="4528185"/>
            <wp:effectExtent l="0" t="0" r="6350" b="13335"/>
            <wp:docPr id="4" name="图片 4" descr="Fig. S4 The standardized difference before and after matching in cohorts with and without 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4 The standardized difference before and after matching in cohorts with and without ARD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sz w:val="22"/>
        </w:rPr>
      </w:pPr>
      <w:r>
        <w:rPr>
          <w:rFonts w:hint="eastAsia" w:ascii="Times New Roman" w:hAnsi="Times New Roman" w:cs="Times New Roman"/>
          <w:b/>
        </w:rPr>
        <w:t xml:space="preserve">Supplemental Material </w:t>
      </w:r>
      <w:r>
        <w:rPr>
          <w:rFonts w:hint="eastAsia" w:ascii="Times New Roman" w:hAnsi="Times New Roman"/>
          <w:b/>
          <w:sz w:val="22"/>
        </w:rPr>
        <w:t>Fig. S4</w:t>
      </w:r>
      <w:r>
        <w:rPr>
          <w:rFonts w:hint="eastAsia" w:ascii="Times New Roman" w:hAnsi="Times New Roman"/>
          <w:b/>
          <w:sz w:val="22"/>
          <w:lang w:val="en-US" w:eastAsia="zh-CN"/>
        </w:rPr>
        <w:t>.</w:t>
      </w:r>
      <w:r>
        <w:rPr>
          <w:rFonts w:hint="eastAsia" w:ascii="Times New Roman" w:hAnsi="Times New Roman"/>
          <w:b/>
          <w:sz w:val="22"/>
        </w:rPr>
        <w:t xml:space="preserve"> The s</w:t>
      </w:r>
      <w:r>
        <w:rPr>
          <w:rFonts w:ascii="Times New Roman" w:hAnsi="Times New Roman"/>
          <w:b/>
          <w:sz w:val="22"/>
        </w:rPr>
        <w:t>tandardized difference</w:t>
      </w:r>
      <w:r>
        <w:rPr>
          <w:rFonts w:hint="eastAsia"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 xml:space="preserve">before and after matching in cohorts with and without </w:t>
      </w:r>
      <w:r>
        <w:rPr>
          <w:rFonts w:hint="eastAsia" w:ascii="Times New Roman" w:hAnsi="Times New Roman"/>
          <w:b/>
          <w:sz w:val="22"/>
        </w:rPr>
        <w:t>ARDS</w:t>
      </w:r>
    </w:p>
    <w:p>
      <w:pPr>
        <w:rPr>
          <w:rFonts w:ascii="Times New Roman" w:hAnsi="Times New Roman" w:eastAsia="宋体"/>
          <w:sz w:val="22"/>
          <w:shd w:val="clear" w:color="auto" w:fill="FFFFFF"/>
        </w:rPr>
      </w:pPr>
      <w:r>
        <w:rPr>
          <w:rFonts w:hint="eastAsia" w:ascii="Times New Roman" w:hAnsi="Times New Roman"/>
          <w:sz w:val="22"/>
        </w:rPr>
        <w:t>Abbreviations: ARDS, acute respiratory distress syndrome; BMI, body mass index; COPD, chronic obstructive pulmonary disease; CKD, chronic kidney disease; RRT, renal replacement therapy; APACHE II, acute physiologic and chronic health evaluation II; SOFA, sequential organ failure assessment; MAP, mean arterial pressure</w:t>
      </w:r>
    </w:p>
    <w:p>
      <w:pPr>
        <w:rPr>
          <w:rFonts w:ascii="Times New Roman" w:hAnsi="Times New Roman" w:eastAsia="宋体"/>
          <w:sz w:val="22"/>
          <w:shd w:val="clear" w:color="auto" w:fill="FFFFFF"/>
        </w:rPr>
      </w:pPr>
    </w:p>
    <w:p>
      <w:pPr>
        <w:rPr>
          <w:rFonts w:ascii="Times New Roman" w:hAnsi="Times New Roman" w:eastAsia="宋体"/>
          <w:sz w:val="22"/>
          <w:shd w:val="clear" w:color="auto" w:fill="FFFFFF"/>
        </w:rPr>
      </w:pPr>
    </w:p>
    <w:p>
      <w:pPr>
        <w:rPr>
          <w:rFonts w:ascii="Times New Roman" w:hAnsi="Times New Roman" w:eastAsia="宋体"/>
          <w:sz w:val="22"/>
          <w:shd w:val="clear" w:color="auto" w:fill="FFFFFF"/>
        </w:rPr>
      </w:pPr>
    </w:p>
    <w:p>
      <w:pPr>
        <w:rPr>
          <w:rFonts w:hint="eastAsia"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>Supplemental Materia</w:t>
      </w:r>
      <w:r>
        <w:rPr>
          <w:rFonts w:hint="eastAsia" w:ascii="Times New Roman" w:hAnsi="Times New Roman" w:cs="Times New Roman"/>
          <w:b/>
          <w:highlight w:val="none"/>
        </w:rPr>
        <w:t>l Table S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highlight w:val="none"/>
        </w:rPr>
        <w:t>.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highlight w:val="none"/>
        </w:rPr>
        <w:t>R</w:t>
      </w:r>
      <w:r>
        <w:rPr>
          <w:rFonts w:hint="eastAsia" w:ascii="Times New Roman" w:hAnsi="Times New Roman" w:cs="Times New Roman"/>
          <w:b/>
        </w:rPr>
        <w:t>esults of the sensitivity analysis of 30-day attributable mortality</w:t>
      </w:r>
    </w:p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Gamma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</w:rPr>
              <w:t>Lower bound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</w:rPr>
              <w:t>Upper bound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1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</w:t>
            </w:r>
          </w:p>
        </w:tc>
        <w:tc>
          <w:tcPr>
            <w:tcW w:w="284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0.00000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0.00000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0.00063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4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0.41436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0.97739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0.99991</w:t>
            </w:r>
          </w:p>
        </w:tc>
      </w:tr>
    </w:tbl>
    <w:p>
      <w:pPr>
        <w:jc w:val="left"/>
        <w:rPr>
          <w:rFonts w:ascii="Times New Roman" w:hAnsi="Times New Roman" w:cs="Times New Roman"/>
          <w:b/>
        </w:rPr>
      </w:pPr>
    </w:p>
    <w:p>
      <w:pPr>
        <w:jc w:val="left"/>
        <w:rPr>
          <w:rFonts w:ascii="Times New Roman" w:hAnsi="Times New Roman" w:cs="Times New Roman"/>
          <w:b/>
        </w:rPr>
      </w:pPr>
    </w:p>
    <w:p>
      <w:pPr>
        <w:jc w:val="left"/>
        <w:rPr>
          <w:rFonts w:ascii="Times New Roman" w:hAnsi="Times New Roman" w:cs="Times New Roman"/>
          <w:b/>
        </w:rPr>
      </w:pPr>
    </w:p>
    <w:p>
      <w:pPr>
        <w:rPr>
          <w:rFonts w:hint="eastAsia"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t xml:space="preserve">Supplemental Material </w:t>
      </w:r>
      <w:r>
        <w:rPr>
          <w:rFonts w:hint="eastAsia" w:ascii="Times New Roman" w:hAnsi="Times New Roman" w:cs="Times New Roman"/>
          <w:b/>
          <w:highlight w:val="none"/>
        </w:rPr>
        <w:t>Table S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>4.</w:t>
      </w:r>
      <w:r>
        <w:rPr>
          <w:rFonts w:hint="eastAsia" w:ascii="Times New Roman" w:hAnsi="Times New Roman" w:cs="Times New Roman"/>
          <w:b/>
          <w:highlight w:val="none"/>
        </w:rPr>
        <w:t xml:space="preserve"> T</w:t>
      </w:r>
      <w:r>
        <w:rPr>
          <w:rFonts w:hint="eastAsia" w:ascii="Times New Roman" w:hAnsi="Times New Roman" w:cs="Times New Roman"/>
          <w:b/>
        </w:rPr>
        <w:t>he optimal multivariable Cox proportional hazard regression analysis for 30-day mortality stratified by severity of ARDS</w:t>
      </w:r>
    </w:p>
    <w:tbl>
      <w:tblPr>
        <w:tblStyle w:val="5"/>
        <w:tblW w:w="79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3129"/>
        <w:gridCol w:w="209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</w:rPr>
              <w:t>Variables</w:t>
            </w:r>
          </w:p>
        </w:tc>
        <w:tc>
          <w:tcPr>
            <w:tcW w:w="312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</w:rPr>
              <w:t>HR (95% CI)</w:t>
            </w:r>
          </w:p>
        </w:tc>
        <w:tc>
          <w:tcPr>
            <w:tcW w:w="209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sz w:val="22"/>
                <w:shd w:val="clear" w:color="auto" w:fill="FFFFFF"/>
              </w:rPr>
              <w:t>p-</w:t>
            </w:r>
            <w:r>
              <w:rPr>
                <w:rFonts w:ascii="Times New Roman" w:hAnsi="Times New Roman"/>
                <w:b/>
                <w:bCs/>
                <w:sz w:val="22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5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ARDS Severity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Mild ARDS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1.30 (1.03-1.64)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0.027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Moderate ARDS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1.49 (1.20-1.85)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Severe ARDS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1.95 (1.51-2.52)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Age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1.03 (1.02-1.03)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Cancer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1.41 (1.11-1.78)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RRT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1.48 (1.24-1.77)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hint="default" w:ascii="Times New Roman" w:hAnsi="Times New Roman" w:eastAsiaTheme="minorEastAsia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APACHE II</w:t>
            </w:r>
            <w:r>
              <w:rPr>
                <w:rFonts w:hint="eastAsia" w:ascii="Times New Roman" w:hAnsi="Times New Roman"/>
                <w:sz w:val="22"/>
                <w:lang w:val="en-US" w:eastAsia="zh-CN"/>
              </w:rPr>
              <w:t xml:space="preserve"> score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1.05 (1.04-1.07)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MAP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0.99 (0.99-1.00)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</w:tbl>
    <w:p>
      <w:pPr>
        <w:rPr>
          <w:rFonts w:ascii="Times New Roman" w:hAnsi="Times New Roman" w:eastAsia="Segoe UI"/>
          <w:sz w:val="22"/>
          <w:shd w:val="clear" w:color="auto" w:fill="FFFFFF"/>
        </w:rPr>
      </w:pPr>
      <w:r>
        <w:rPr>
          <w:rFonts w:hint="eastAsia" w:ascii="Times New Roman" w:hAnsi="Times New Roman" w:eastAsia="Segoe UI" w:cs="Times New Roman"/>
          <w:sz w:val="22"/>
          <w:shd w:val="clear" w:color="auto" w:fill="FFFFFF"/>
        </w:rPr>
        <w:t xml:space="preserve">Abbreviations: </w:t>
      </w:r>
      <w:r>
        <w:rPr>
          <w:rFonts w:hint="eastAsia" w:ascii="Times New Roman" w:hAnsi="Times New Roman"/>
          <w:sz w:val="22"/>
          <w:shd w:val="clear" w:color="auto" w:fill="FFFFFF"/>
        </w:rPr>
        <w:t>ARDS, a</w:t>
      </w:r>
      <w:r>
        <w:rPr>
          <w:rFonts w:ascii="Times New Roman" w:hAnsi="Times New Roman"/>
          <w:sz w:val="22"/>
          <w:shd w:val="clear" w:color="auto" w:fill="FFFFFF"/>
        </w:rPr>
        <w:t>cute respiratory distress</w:t>
      </w:r>
      <w:r>
        <w:rPr>
          <w:rFonts w:hint="eastAsia" w:ascii="Times New Roman" w:hAnsi="Times New Roman"/>
          <w:sz w:val="22"/>
          <w:shd w:val="clear" w:color="auto" w:fill="FFFFFF"/>
        </w:rPr>
        <w:t xml:space="preserve"> syndrome; </w:t>
      </w:r>
      <w:r>
        <w:rPr>
          <w:rFonts w:ascii="Times New Roman" w:hAnsi="Times New Roman" w:eastAsia="Segoe UI"/>
          <w:sz w:val="22"/>
          <w:shd w:val="clear" w:color="auto" w:fill="FFFFFF"/>
        </w:rPr>
        <w:t>RRT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renal</w:t>
      </w:r>
      <w:r>
        <w:rPr>
          <w:rFonts w:hint="eastAsia"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 w:eastAsia="Segoe UI"/>
          <w:sz w:val="22"/>
          <w:shd w:val="clear" w:color="auto" w:fill="FFFFFF"/>
        </w:rPr>
        <w:t>replacement therapy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; </w:t>
      </w:r>
      <w:r>
        <w:rPr>
          <w:rFonts w:ascii="Times New Roman" w:hAnsi="Times New Roman" w:eastAsia="Segoe UI"/>
          <w:sz w:val="22"/>
          <w:shd w:val="clear" w:color="auto" w:fill="FFFFFF"/>
        </w:rPr>
        <w:t>APACHEII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>,</w:t>
      </w:r>
      <w:r>
        <w:rPr>
          <w:rFonts w:ascii="Times New Roman" w:hAnsi="Times New Roman" w:eastAsia="Segoe UI"/>
          <w:sz w:val="22"/>
          <w:shd w:val="clear" w:color="auto" w:fill="FFFFFF"/>
        </w:rPr>
        <w:t xml:space="preserve"> acute physiologic and</w:t>
      </w:r>
      <w:r>
        <w:rPr>
          <w:rFonts w:hint="eastAsia"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 w:eastAsia="Segoe UI"/>
          <w:sz w:val="22"/>
          <w:shd w:val="clear" w:color="auto" w:fill="FFFFFF"/>
        </w:rPr>
        <w:t>chronic health evaluation II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; </w:t>
      </w:r>
      <w:r>
        <w:rPr>
          <w:rFonts w:ascii="Times New Roman" w:hAnsi="Times New Roman" w:eastAsia="Segoe UI"/>
          <w:sz w:val="22"/>
          <w:shd w:val="clear" w:color="auto" w:fill="FFFFFF"/>
        </w:rPr>
        <w:t>MAP</w:t>
      </w:r>
      <w:r>
        <w:rPr>
          <w:rFonts w:hint="eastAsia" w:ascii="Times New Roman" w:hAnsi="Times New Roman" w:eastAsia="宋体"/>
          <w:sz w:val="22"/>
          <w:shd w:val="clear" w:color="auto" w:fill="FFFFFF"/>
        </w:rPr>
        <w:t xml:space="preserve">, </w:t>
      </w:r>
      <w:r>
        <w:rPr>
          <w:rFonts w:ascii="Times New Roman" w:hAnsi="Times New Roman" w:eastAsia="Segoe UI"/>
          <w:sz w:val="22"/>
          <w:shd w:val="clear" w:color="auto" w:fill="FFFFFF"/>
        </w:rPr>
        <w:t>mean arterial pressure</w:t>
      </w:r>
    </w:p>
    <w:p>
      <w:pPr>
        <w:rPr>
          <w:rFonts w:ascii="Times New Roman" w:hAnsi="Times New Roman" w:eastAsia="Segoe UI"/>
          <w:sz w:val="22"/>
          <w:shd w:val="clear" w:color="auto" w:fill="FFFFFF"/>
        </w:rPr>
      </w:pPr>
    </w:p>
    <w:p>
      <w:pPr>
        <w:rPr>
          <w:rFonts w:ascii="Times New Roman" w:hAnsi="Times New Roman" w:cs="Times New Roman"/>
          <w:b/>
          <w:highlight w:val="none"/>
        </w:rPr>
      </w:pPr>
      <w:r>
        <w:rPr>
          <w:rFonts w:hint="eastAsia" w:ascii="Times New Roman" w:hAnsi="Times New Roman" w:cs="Times New Roman"/>
          <w:b/>
          <w:highlight w:val="none"/>
        </w:rPr>
        <w:t xml:space="preserve">Supplemental Material </w:t>
      </w:r>
      <w:r>
        <w:rPr>
          <w:rFonts w:ascii="Times New Roman" w:hAnsi="Times New Roman" w:cs="Times New Roman"/>
          <w:b/>
          <w:highlight w:val="none"/>
        </w:rPr>
        <w:t>Table S</w:t>
      </w:r>
      <w:r>
        <w:rPr>
          <w:rFonts w:hint="eastAsia" w:ascii="Times New Roman" w:hAnsi="Times New Roman" w:cs="Times New Roman"/>
          <w:b/>
          <w:highlight w:val="none"/>
          <w:lang w:val="en-US" w:eastAsia="zh-CN"/>
        </w:rPr>
        <w:t>5.</w:t>
      </w:r>
      <w:r>
        <w:rPr>
          <w:rFonts w:hint="eastAsia" w:ascii="Times New Roman" w:hAnsi="Times New Roman" w:cs="Times New Roman"/>
          <w:b/>
          <w:highlight w:val="none"/>
        </w:rPr>
        <w:t xml:space="preserve"> </w:t>
      </w:r>
      <w:r>
        <w:rPr>
          <w:rFonts w:hint="eastAsia" w:ascii="Times New Roman" w:hAnsi="Times New Roman"/>
          <w:b/>
          <w:sz w:val="22"/>
          <w:highlight w:val="none"/>
        </w:rPr>
        <w:t xml:space="preserve">The </w:t>
      </w:r>
      <w:r>
        <w:rPr>
          <w:rFonts w:hint="eastAsia" w:ascii="Times New Roman" w:hAnsi="Times New Roman" w:cs="Times New Roman"/>
          <w:b/>
          <w:highlight w:val="none"/>
        </w:rPr>
        <w:t>full model of the multivariable Cox regression</w:t>
      </w:r>
    </w:p>
    <w:tbl>
      <w:tblPr>
        <w:tblStyle w:val="5"/>
        <w:tblW w:w="79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3129"/>
        <w:gridCol w:w="209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</w:rPr>
              <w:t>Variables</w:t>
            </w:r>
          </w:p>
        </w:tc>
        <w:tc>
          <w:tcPr>
            <w:tcW w:w="312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sz w:val="22"/>
              </w:rPr>
              <w:t>HR (95%CI)</w:t>
            </w:r>
          </w:p>
        </w:tc>
        <w:tc>
          <w:tcPr>
            <w:tcW w:w="209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sz w:val="22"/>
                <w:shd w:val="clear" w:color="auto" w:fill="FFFFFF"/>
              </w:rPr>
              <w:t>p-</w:t>
            </w:r>
            <w:r>
              <w:rPr>
                <w:rFonts w:ascii="Times New Roman" w:hAnsi="Times New Roman"/>
                <w:b/>
                <w:bCs/>
                <w:sz w:val="22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5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ARDS Severity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Mild ARDS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1.31 (1.03-1.65)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0.026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Moderate ARDS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1.51 (1.21-1.88)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Severe ARDS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1.99 (1.53-2.59)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Male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1.02 (0.86-1.20)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0.843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Age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1.03 (1.02-1.03)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BMI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0.99 (0.97-1.01)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0.449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75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Chronic comorbidities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COPD/asthma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0.95 (0.73-1.23)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0.688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Cardiovascular disease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1.06 (0.87-1.30)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0.562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Hypertension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0.99 (0.83-1.18)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0.907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Diabetes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1.04 (0.86-1.26)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0.689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Chronic liver disease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1.50 (0.91-2.48)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0.112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Cancer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1.39 (1.09-1.76)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ind w:firstLine="220" w:firstLineChars="10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CKD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0.80 (0.61-1.07)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RRT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1.52 (1.26-1.84)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Segoe UI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Mechanical ventilation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0.91 (0.73-1.15)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0.434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APACHE II score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1.05 (1.04-1.07)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Segoe UI"/>
                <w:sz w:val="22"/>
                <w:shd w:val="clear" w:color="auto" w:fill="FFFFFF"/>
              </w:rPr>
            </w:pPr>
            <w:r>
              <w:rPr>
                <w:rFonts w:ascii="Times New Roman" w:hAnsi="Times New Roman" w:eastAsia="Segoe UI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/>
                <w:sz w:val="22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shd w:val="clear" w:color="auto" w:fill="FFFFFF"/>
              </w:rPr>
              <w:t>S</w:t>
            </w:r>
            <w:r>
              <w:rPr>
                <w:rFonts w:hint="eastAsia" w:ascii="Times New Roman" w:hAnsi="Times New Roman" w:eastAsia="Segoe UI"/>
                <w:sz w:val="22"/>
                <w:shd w:val="clear" w:color="auto" w:fill="FFFFFF"/>
              </w:rPr>
              <w:t>eptic shock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1.08 (0.88-1.33)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0.444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SOFA score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1.00 (0.98-1.03)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0.876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7" w:type="dxa"/>
            <w:vAlign w:val="center"/>
          </w:tcPr>
          <w:p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MAP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0.99 (0.99-1.00)</w:t>
            </w:r>
          </w:p>
        </w:tc>
        <w:tc>
          <w:tcPr>
            <w:tcW w:w="20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2"/>
                <w:shd w:val="clear" w:color="auto" w:fill="FFFFFF"/>
              </w:rPr>
            </w:pPr>
            <w:r>
              <w:rPr>
                <w:rFonts w:hint="eastAsia" w:ascii="Times New Roman" w:hAnsi="Times New Roman" w:eastAsia="宋体"/>
                <w:sz w:val="22"/>
                <w:shd w:val="clear" w:color="auto" w:fill="FFFFFF"/>
              </w:rPr>
              <w:t>0.027</w:t>
            </w:r>
          </w:p>
        </w:tc>
      </w:tr>
    </w:tbl>
    <w:p>
      <w:pPr>
        <w:rPr>
          <w:rFonts w:ascii="Times New Roman" w:hAnsi="Times New Roman" w:eastAsia="宋体"/>
          <w:sz w:val="22"/>
          <w:shd w:val="clear" w:color="auto" w:fill="FFFFFF"/>
        </w:rPr>
      </w:pPr>
      <w:r>
        <w:rPr>
          <w:rFonts w:hint="eastAsia" w:ascii="Times New Roman" w:hAnsi="Times New Roman"/>
          <w:sz w:val="22"/>
        </w:rPr>
        <w:t>Abbreviations: ARDS, acute respiratory distress syndrome; BMI, body mass index; COPD, chronic obstructive pulmonary disease; CKD, chronic kidney disease; RRT, renal replacement therapy; APACHE II, acute physiologic and chronic health evaluation II; SOFA, sequential organ failure assessment; MAP, mean arterial pressure</w:t>
      </w:r>
    </w:p>
    <w:p>
      <w:pPr>
        <w:rPr>
          <w:rFonts w:ascii="Times New Roman" w:hAnsi="Times New Roman" w:cs="Times New Roman"/>
          <w:b/>
        </w:rPr>
      </w:pPr>
    </w:p>
    <w:p>
      <w:pPr>
        <w:ind w:left="-420" w:leftChars="-200"/>
        <w:jc w:val="center"/>
        <w:rPr>
          <w:rFonts w:ascii="Times New Roman" w:hAnsi="Times New Roman" w:cs="Times New Roman"/>
          <w:b/>
          <w:highlight w:val="yellow"/>
        </w:rPr>
      </w:pPr>
      <w:r>
        <w:rPr>
          <w:rFonts w:hint="eastAsia" w:ascii="Times New Roman" w:hAnsi="Times New Roman" w:cs="Times New Roman"/>
          <w:b/>
        </w:rPr>
        <w:drawing>
          <wp:inline distT="0" distB="0" distL="114300" distR="114300">
            <wp:extent cx="5990590" cy="5162550"/>
            <wp:effectExtent l="0" t="0" r="13970" b="3810"/>
            <wp:docPr id="2" name="图片 2" descr="Fig. S5 Forest plot for full model of the multivariable Cox reg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5 Forest plot for full model of the multivariable Cox regressio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highlight w:val="yellow"/>
        </w:rPr>
      </w:pPr>
      <w:r>
        <w:rPr>
          <w:rFonts w:hint="eastAsia" w:ascii="Times New Roman" w:hAnsi="Times New Roman" w:cs="Times New Roman"/>
          <w:b/>
          <w:highlight w:val="none"/>
        </w:rPr>
        <w:t xml:space="preserve">Supplemental Material </w:t>
      </w:r>
      <w:r>
        <w:rPr>
          <w:rFonts w:hint="eastAsia" w:ascii="Times New Roman" w:hAnsi="Times New Roman"/>
          <w:b/>
          <w:sz w:val="22"/>
          <w:highlight w:val="none"/>
        </w:rPr>
        <w:t>Fig. S5</w:t>
      </w:r>
      <w:r>
        <w:rPr>
          <w:rFonts w:hint="eastAsia" w:ascii="Times New Roman" w:hAnsi="Times New Roman"/>
          <w:b/>
          <w:sz w:val="22"/>
          <w:highlight w:val="none"/>
          <w:lang w:val="en-US" w:eastAsia="zh-CN"/>
        </w:rPr>
        <w:t>.</w:t>
      </w:r>
      <w:r>
        <w:rPr>
          <w:rFonts w:hint="eastAsia" w:ascii="Times New Roman" w:hAnsi="Times New Roman"/>
          <w:b/>
          <w:sz w:val="22"/>
          <w:highlight w:val="none"/>
        </w:rPr>
        <w:t xml:space="preserve"> The </w:t>
      </w:r>
      <w:r>
        <w:rPr>
          <w:rFonts w:hint="eastAsia" w:ascii="Times New Roman" w:hAnsi="Times New Roman" w:cs="Times New Roman"/>
          <w:b/>
          <w:highlight w:val="none"/>
        </w:rPr>
        <w:t>forest plot for full model of the multivariable Cox regression</w:t>
      </w:r>
    </w:p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</w:rPr>
        <w:t>Abbreviations: ARDS, acute respiratory distress syndrome; BMI, body mass index; COPD, chronic obstructive pulmonary disease; CKD, chronic kidney disease; RRT, renal replacement therapy; APACHE II, acute physiologic and chronic health evaluation II; SOFA, sequential organ failure assessment; MAP, mean arterial pressure</w:t>
      </w:r>
    </w:p>
    <w:p>
      <w:pPr>
        <w:rPr>
          <w:rFonts w:ascii="Times New Roman" w:hAnsi="Times New Roman"/>
          <w:sz w:val="22"/>
        </w:rPr>
      </w:pPr>
    </w:p>
    <w:p>
      <w:pPr>
        <w:rPr>
          <w:rFonts w:ascii="Times New Roman" w:hAnsi="Times New Roman"/>
          <w:sz w:val="22"/>
        </w:rPr>
      </w:pPr>
    </w:p>
    <w:p>
      <w:pPr>
        <w:rPr>
          <w:rFonts w:ascii="Times New Roman" w:hAnsi="Times New Roman" w:cs="Times New Roman"/>
          <w:b/>
          <w:highlight w:val="yellow"/>
        </w:rPr>
      </w:pPr>
    </w:p>
    <w:p>
      <w:pPr>
        <w:rPr>
          <w:rFonts w:ascii="Times New Roman" w:hAnsi="Times New Roman" w:cs="Times New Roman"/>
          <w:b/>
          <w:highlight w:val="yellow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k3NThmYWY0YWFjMDc4YTRiOTFlNWY5NzdhZjBiMTIifQ=="/>
  </w:docVars>
  <w:rsids>
    <w:rsidRoot w:val="00EC7A1F"/>
    <w:rsid w:val="0002661A"/>
    <w:rsid w:val="002C7C86"/>
    <w:rsid w:val="004229D7"/>
    <w:rsid w:val="00537104"/>
    <w:rsid w:val="00586887"/>
    <w:rsid w:val="006C4AC6"/>
    <w:rsid w:val="008C6BB5"/>
    <w:rsid w:val="009311A3"/>
    <w:rsid w:val="009F254B"/>
    <w:rsid w:val="00A300F3"/>
    <w:rsid w:val="00A903B6"/>
    <w:rsid w:val="00C225A1"/>
    <w:rsid w:val="00CD14C8"/>
    <w:rsid w:val="00D87843"/>
    <w:rsid w:val="00EB1688"/>
    <w:rsid w:val="00EC7A1F"/>
    <w:rsid w:val="00EF15AC"/>
    <w:rsid w:val="02AE1145"/>
    <w:rsid w:val="040D6EAF"/>
    <w:rsid w:val="05573D16"/>
    <w:rsid w:val="06B741DD"/>
    <w:rsid w:val="07895910"/>
    <w:rsid w:val="08844E22"/>
    <w:rsid w:val="09631DB4"/>
    <w:rsid w:val="09C0632E"/>
    <w:rsid w:val="0A821835"/>
    <w:rsid w:val="0DA217D5"/>
    <w:rsid w:val="0DA90E87"/>
    <w:rsid w:val="0DAF0B93"/>
    <w:rsid w:val="0DE14AC5"/>
    <w:rsid w:val="0E5B4877"/>
    <w:rsid w:val="0F3B1FB3"/>
    <w:rsid w:val="10482BD9"/>
    <w:rsid w:val="108F6A5A"/>
    <w:rsid w:val="10B61DA9"/>
    <w:rsid w:val="1105153B"/>
    <w:rsid w:val="1300779B"/>
    <w:rsid w:val="13CA1B57"/>
    <w:rsid w:val="15203286"/>
    <w:rsid w:val="159B19FD"/>
    <w:rsid w:val="15E7586A"/>
    <w:rsid w:val="15F365B7"/>
    <w:rsid w:val="16695657"/>
    <w:rsid w:val="175E0206"/>
    <w:rsid w:val="17D905BB"/>
    <w:rsid w:val="18C4126B"/>
    <w:rsid w:val="19375EE1"/>
    <w:rsid w:val="19C21933"/>
    <w:rsid w:val="1AE259D8"/>
    <w:rsid w:val="1B5222B6"/>
    <w:rsid w:val="1B8B45DD"/>
    <w:rsid w:val="1BF105C9"/>
    <w:rsid w:val="1C2F10F1"/>
    <w:rsid w:val="1C961170"/>
    <w:rsid w:val="1D74500E"/>
    <w:rsid w:val="1EB253BF"/>
    <w:rsid w:val="1ED64C0B"/>
    <w:rsid w:val="1FBC0404"/>
    <w:rsid w:val="20796DDF"/>
    <w:rsid w:val="20EB1A8B"/>
    <w:rsid w:val="216F0859"/>
    <w:rsid w:val="21B97BDA"/>
    <w:rsid w:val="222A2A16"/>
    <w:rsid w:val="22562B71"/>
    <w:rsid w:val="22941EA2"/>
    <w:rsid w:val="239422BA"/>
    <w:rsid w:val="248A3369"/>
    <w:rsid w:val="25606608"/>
    <w:rsid w:val="25CE54D7"/>
    <w:rsid w:val="25E62821"/>
    <w:rsid w:val="25E908F6"/>
    <w:rsid w:val="2604714B"/>
    <w:rsid w:val="277D71B5"/>
    <w:rsid w:val="27D062C9"/>
    <w:rsid w:val="28164F13"/>
    <w:rsid w:val="281D44F4"/>
    <w:rsid w:val="284F59AB"/>
    <w:rsid w:val="28817F6B"/>
    <w:rsid w:val="29E2316A"/>
    <w:rsid w:val="2A2E5218"/>
    <w:rsid w:val="2AC11AAE"/>
    <w:rsid w:val="2AD74E2E"/>
    <w:rsid w:val="2B007CA4"/>
    <w:rsid w:val="2B797C93"/>
    <w:rsid w:val="2BE315B0"/>
    <w:rsid w:val="2C0E2AD1"/>
    <w:rsid w:val="2C9254B0"/>
    <w:rsid w:val="2CE81574"/>
    <w:rsid w:val="2E0777D8"/>
    <w:rsid w:val="2E4647A4"/>
    <w:rsid w:val="2E9A4AF0"/>
    <w:rsid w:val="2EA8720D"/>
    <w:rsid w:val="30731155"/>
    <w:rsid w:val="307750E9"/>
    <w:rsid w:val="30DB0D9F"/>
    <w:rsid w:val="30E16A06"/>
    <w:rsid w:val="31172428"/>
    <w:rsid w:val="31753265"/>
    <w:rsid w:val="31A6555A"/>
    <w:rsid w:val="32715B68"/>
    <w:rsid w:val="327D450D"/>
    <w:rsid w:val="331D184C"/>
    <w:rsid w:val="336F654B"/>
    <w:rsid w:val="33BB353F"/>
    <w:rsid w:val="33C10429"/>
    <w:rsid w:val="33EF31E8"/>
    <w:rsid w:val="34C46423"/>
    <w:rsid w:val="35A10512"/>
    <w:rsid w:val="367B591C"/>
    <w:rsid w:val="36DD557A"/>
    <w:rsid w:val="37132671"/>
    <w:rsid w:val="37530F09"/>
    <w:rsid w:val="37D526F5"/>
    <w:rsid w:val="384C346C"/>
    <w:rsid w:val="38B8163A"/>
    <w:rsid w:val="39046F18"/>
    <w:rsid w:val="398E0DAD"/>
    <w:rsid w:val="39ED01CA"/>
    <w:rsid w:val="3A0A0D7C"/>
    <w:rsid w:val="3A777A93"/>
    <w:rsid w:val="3A900B55"/>
    <w:rsid w:val="3AE35129"/>
    <w:rsid w:val="3B642779"/>
    <w:rsid w:val="3C9368AF"/>
    <w:rsid w:val="3CCA2A44"/>
    <w:rsid w:val="3EA572C5"/>
    <w:rsid w:val="3F577E93"/>
    <w:rsid w:val="3F654F1A"/>
    <w:rsid w:val="3FB62E0C"/>
    <w:rsid w:val="3FC512A1"/>
    <w:rsid w:val="3FFB0BA2"/>
    <w:rsid w:val="40F24F08"/>
    <w:rsid w:val="41526B64"/>
    <w:rsid w:val="41676AB4"/>
    <w:rsid w:val="41731192"/>
    <w:rsid w:val="41BA3087"/>
    <w:rsid w:val="41BD2B78"/>
    <w:rsid w:val="41C57459"/>
    <w:rsid w:val="421309EA"/>
    <w:rsid w:val="427A45C5"/>
    <w:rsid w:val="42A94EAA"/>
    <w:rsid w:val="42B41B97"/>
    <w:rsid w:val="42D9753D"/>
    <w:rsid w:val="43B753A5"/>
    <w:rsid w:val="44906B88"/>
    <w:rsid w:val="45120AE5"/>
    <w:rsid w:val="45D87F80"/>
    <w:rsid w:val="466F28A4"/>
    <w:rsid w:val="46D22C21"/>
    <w:rsid w:val="47354F5E"/>
    <w:rsid w:val="47D057C2"/>
    <w:rsid w:val="483036DC"/>
    <w:rsid w:val="484418FD"/>
    <w:rsid w:val="49CF51F6"/>
    <w:rsid w:val="4AC22FAD"/>
    <w:rsid w:val="4B7818BD"/>
    <w:rsid w:val="4C787DC7"/>
    <w:rsid w:val="4CF60CEC"/>
    <w:rsid w:val="4D9329DF"/>
    <w:rsid w:val="4DEB6377"/>
    <w:rsid w:val="4DF3347D"/>
    <w:rsid w:val="4E3B3B03"/>
    <w:rsid w:val="4F471CD3"/>
    <w:rsid w:val="4F7D56F4"/>
    <w:rsid w:val="4FBD3D43"/>
    <w:rsid w:val="51282C4F"/>
    <w:rsid w:val="51B8376E"/>
    <w:rsid w:val="52093835"/>
    <w:rsid w:val="521F6F37"/>
    <w:rsid w:val="52D65847"/>
    <w:rsid w:val="54F74C68"/>
    <w:rsid w:val="55286102"/>
    <w:rsid w:val="56D57BC4"/>
    <w:rsid w:val="57603931"/>
    <w:rsid w:val="57947A7F"/>
    <w:rsid w:val="57C32112"/>
    <w:rsid w:val="592E180D"/>
    <w:rsid w:val="59613991"/>
    <w:rsid w:val="59955A08"/>
    <w:rsid w:val="5A905FC9"/>
    <w:rsid w:val="5AC25F93"/>
    <w:rsid w:val="5B1F58B2"/>
    <w:rsid w:val="5B413A7A"/>
    <w:rsid w:val="5B876327"/>
    <w:rsid w:val="5BD40D92"/>
    <w:rsid w:val="5C1967A5"/>
    <w:rsid w:val="5D9748FB"/>
    <w:rsid w:val="5DE54B90"/>
    <w:rsid w:val="5E033269"/>
    <w:rsid w:val="602D0A71"/>
    <w:rsid w:val="60EC092C"/>
    <w:rsid w:val="628726BA"/>
    <w:rsid w:val="62A25746"/>
    <w:rsid w:val="63044A7E"/>
    <w:rsid w:val="637C7D45"/>
    <w:rsid w:val="63BA5D30"/>
    <w:rsid w:val="641C6E32"/>
    <w:rsid w:val="64E86435"/>
    <w:rsid w:val="65692BB1"/>
    <w:rsid w:val="657F1D6E"/>
    <w:rsid w:val="65A17CE4"/>
    <w:rsid w:val="660C18CA"/>
    <w:rsid w:val="660C3133"/>
    <w:rsid w:val="665723A3"/>
    <w:rsid w:val="68C55BAC"/>
    <w:rsid w:val="68DC1286"/>
    <w:rsid w:val="69233EA3"/>
    <w:rsid w:val="699A4822"/>
    <w:rsid w:val="69CB374A"/>
    <w:rsid w:val="69D253F9"/>
    <w:rsid w:val="6AEF2AEE"/>
    <w:rsid w:val="6AEF50EA"/>
    <w:rsid w:val="6B142FC9"/>
    <w:rsid w:val="6B3D24B0"/>
    <w:rsid w:val="6B67752D"/>
    <w:rsid w:val="6B7E5C45"/>
    <w:rsid w:val="6C186A79"/>
    <w:rsid w:val="6C327B3B"/>
    <w:rsid w:val="6CB73B9C"/>
    <w:rsid w:val="6D5973EF"/>
    <w:rsid w:val="6E030963"/>
    <w:rsid w:val="6E4C0C5C"/>
    <w:rsid w:val="6E5825CE"/>
    <w:rsid w:val="6F993A2D"/>
    <w:rsid w:val="6FAD572A"/>
    <w:rsid w:val="6FE725B7"/>
    <w:rsid w:val="6FF11ABB"/>
    <w:rsid w:val="703025E3"/>
    <w:rsid w:val="703574A5"/>
    <w:rsid w:val="7075449A"/>
    <w:rsid w:val="724E4FA2"/>
    <w:rsid w:val="72704397"/>
    <w:rsid w:val="729A1F96"/>
    <w:rsid w:val="731F693F"/>
    <w:rsid w:val="732B52E4"/>
    <w:rsid w:val="732D105C"/>
    <w:rsid w:val="740F250F"/>
    <w:rsid w:val="750C4CA1"/>
    <w:rsid w:val="760672CB"/>
    <w:rsid w:val="76C03F95"/>
    <w:rsid w:val="7771703D"/>
    <w:rsid w:val="781A1483"/>
    <w:rsid w:val="78394CE1"/>
    <w:rsid w:val="783A4194"/>
    <w:rsid w:val="78BE2756"/>
    <w:rsid w:val="795A5FDB"/>
    <w:rsid w:val="7A097A01"/>
    <w:rsid w:val="7A61783D"/>
    <w:rsid w:val="7AB43E11"/>
    <w:rsid w:val="7AC758F2"/>
    <w:rsid w:val="7AFC47FC"/>
    <w:rsid w:val="7B0F7299"/>
    <w:rsid w:val="7BB315E0"/>
    <w:rsid w:val="7C6C076F"/>
    <w:rsid w:val="7C8F68E3"/>
    <w:rsid w:val="7CFA3A76"/>
    <w:rsid w:val="7D3B25C7"/>
    <w:rsid w:val="7DA22646"/>
    <w:rsid w:val="7DA43CC8"/>
    <w:rsid w:val="7DC46119"/>
    <w:rsid w:val="7DD80741"/>
    <w:rsid w:val="7DE93DD1"/>
    <w:rsid w:val="7E8F2BCB"/>
    <w:rsid w:val="7EB100E4"/>
    <w:rsid w:val="7F1629A4"/>
    <w:rsid w:val="7F853F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1175</Words>
  <Characters>6702</Characters>
  <Lines>55</Lines>
  <Paragraphs>15</Paragraphs>
  <TotalTime>0</TotalTime>
  <ScaleCrop>false</ScaleCrop>
  <LinksUpToDate>false</LinksUpToDate>
  <CharactersWithSpaces>7862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2023-09-02T13:49:00Z</dcterms:created>
  <dc:creator>王 东辉</dc:creator>
  <cp:lastModifiedBy>辉</cp:lastModifiedBy>
  <dcterms:modified xsi:type="dcterms:W3CDTF">2024-01-22T06:29:16Z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6CF991BE2B7940DAB36EB001036EB1AD_12</vt:lpwstr>
  </property>
  <property fmtid="{D5CDD505-2E9C-101B-9397-08002B2CF9AE}" pid="4" name="GrammarlyDocumentId">
    <vt:lpwstr>3b98b376a1317311115fca1b5fbdd265c90f2397f551a07726be9429eb164cb7</vt:lpwstr>
  </property>
</Properties>
</file>