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r>
        <w:rPr>
          <w:rFonts w:ascii="Times New Roman" w:hAnsi="Times New Roman"/>
          <w:b/>
          <w:bCs/>
          <w:sz w:val="24"/>
          <w:szCs w:val="24"/>
        </w:rPr>
        <w:t>SUPPLEMENTAL MATERIAL</w:t>
      </w:r>
    </w:p>
    <w:p>
      <w:pPr>
        <w:rPr>
          <w:rFonts w:ascii="Times New Roman" w:hAnsi="Times New Roman" w:eastAsia="等线" w:cs="Times New Roman"/>
          <w:b/>
          <w:bCs/>
          <w:sz w:val="24"/>
          <w:szCs w:val="24"/>
          <w14:ligatures w14:val="none"/>
        </w:rPr>
      </w:pPr>
    </w:p>
    <w:p>
      <w:pPr>
        <w:rPr>
          <w:rFonts w:ascii="Times New Roman" w:hAnsi="Times New Roman" w:eastAsia="等线" w:cs="Times New Roman"/>
          <w:b/>
          <w:bCs/>
          <w:sz w:val="24"/>
          <w:szCs w:val="24"/>
          <w14:ligatures w14:val="none"/>
        </w:rPr>
      </w:pPr>
      <w:r>
        <w:rPr>
          <w:rFonts w:ascii="Times New Roman" w:hAnsi="Times New Roman" w:eastAsia="等线" w:cs="Times New Roman"/>
          <w:b/>
          <w:bCs/>
          <w:sz w:val="24"/>
          <w:szCs w:val="24"/>
          <w14:ligatures w14:val="none"/>
        </w:rPr>
        <w:t xml:space="preserve">Diabetes </w:t>
      </w:r>
      <w:r>
        <w:rPr>
          <w:rFonts w:hint="eastAsia" w:ascii="Times New Roman" w:hAnsi="Times New Roman" w:eastAsia="等线" w:cs="Times New Roman"/>
          <w:b/>
          <w:bCs/>
          <w:sz w:val="24"/>
          <w:szCs w:val="24"/>
          <w14:ligatures w14:val="none"/>
        </w:rPr>
        <w:t>mellitus</w:t>
      </w:r>
      <w:r>
        <w:rPr>
          <w:rFonts w:ascii="Times New Roman" w:hAnsi="Times New Roman" w:eastAsia="等线" w:cs="Times New Roman"/>
          <w:b/>
          <w:bCs/>
          <w:sz w:val="24"/>
          <w:szCs w:val="24"/>
          <w14:ligatures w14:val="none"/>
        </w:rPr>
        <w:t xml:space="preserve"> and idiopathic pulmonary fibrosis: A Mendelian randomization </w:t>
      </w:r>
      <w:r>
        <w:rPr>
          <w:rFonts w:hint="eastAsia" w:ascii="Times New Roman" w:hAnsi="Times New Roman" w:eastAsia="等线" w:cs="Times New Roman"/>
          <w:b/>
          <w:bCs/>
          <w:sz w:val="24"/>
          <w:szCs w:val="24"/>
          <w14:ligatures w14:val="none"/>
        </w:rPr>
        <w:t>study</w:t>
      </w:r>
    </w:p>
    <w:p>
      <w:pPr>
        <w:jc w:val="left"/>
        <w:rPr>
          <w:rFonts w:ascii="Times New Roman" w:hAnsi="Times New Roman" w:eastAsia="等线" w:cs="Times New Roman"/>
          <w:sz w:val="20"/>
          <w:szCs w:val="20"/>
          <w14:ligatures w14:val="none"/>
        </w:rPr>
      </w:pPr>
      <w:r>
        <w:rPr>
          <w:rFonts w:hint="eastAsia" w:ascii="Times New Roman" w:hAnsi="Times New Roman" w:eastAsia="等线" w:cs="Times New Roman"/>
          <w:sz w:val="20"/>
          <w:szCs w:val="20"/>
          <w14:ligatures w14:val="none"/>
        </w:rPr>
        <w:t>Quou</w:t>
      </w:r>
      <w:r>
        <w:rPr>
          <w:rFonts w:ascii="Times New Roman" w:hAnsi="Times New Roman" w:eastAsia="等线" w:cs="Times New Roman"/>
          <w:sz w:val="20"/>
          <w:szCs w:val="20"/>
          <w14:ligatures w14:val="none"/>
        </w:rPr>
        <w:t xml:space="preserve"> </w:t>
      </w:r>
      <w:r>
        <w:rPr>
          <w:rFonts w:hint="eastAsia" w:ascii="Times New Roman" w:hAnsi="Times New Roman" w:eastAsia="等线" w:cs="Times New Roman"/>
          <w:sz w:val="20"/>
          <w:szCs w:val="20"/>
          <w14:ligatures w14:val="none"/>
        </w:rPr>
        <w:t>Kang</w:t>
      </w:r>
      <w:r>
        <w:rPr>
          <w:rFonts w:ascii="Times New Roman" w:hAnsi="Times New Roman" w:eastAsia="等线" w:cs="Times New Roman"/>
          <w:sz w:val="20"/>
          <w:szCs w:val="20"/>
          <w:vertAlign w:val="superscript"/>
          <w14:ligatures w14:val="none"/>
        </w:rPr>
        <w:t>1, 2</w:t>
      </w:r>
      <w:r>
        <w:rPr>
          <w:rFonts w:ascii="Times New Roman" w:hAnsi="Times New Roman" w:eastAsia="等线" w:cs="Times New Roman"/>
          <w:sz w:val="20"/>
          <w:szCs w:val="20"/>
          <w14:ligatures w14:val="none"/>
        </w:rPr>
        <w:t>, Jing Ren</w:t>
      </w:r>
      <w:r>
        <w:rPr>
          <w:rFonts w:ascii="Times New Roman" w:hAnsi="Times New Roman" w:eastAsia="等线" w:cs="Times New Roman"/>
          <w:sz w:val="20"/>
          <w:szCs w:val="20"/>
          <w:vertAlign w:val="superscript"/>
          <w14:ligatures w14:val="none"/>
        </w:rPr>
        <w:t>1, 2</w:t>
      </w:r>
      <w:r>
        <w:rPr>
          <w:rFonts w:ascii="Times New Roman" w:hAnsi="Times New Roman" w:eastAsia="等线" w:cs="Times New Roman"/>
          <w:sz w:val="20"/>
          <w:szCs w:val="20"/>
          <w14:ligatures w14:val="none"/>
        </w:rPr>
        <w:t>, Jinpeng Cong</w:t>
      </w:r>
      <w:r>
        <w:rPr>
          <w:rFonts w:ascii="Times New Roman" w:hAnsi="Times New Roman" w:eastAsia="等线" w:cs="Times New Roman"/>
          <w:sz w:val="20"/>
          <w:szCs w:val="20"/>
          <w:vertAlign w:val="superscript"/>
          <w14:ligatures w14:val="none"/>
        </w:rPr>
        <w:t>1</w:t>
      </w:r>
      <w:r>
        <w:rPr>
          <w:rFonts w:ascii="Times New Roman" w:hAnsi="Times New Roman" w:eastAsia="等线" w:cs="Times New Roman"/>
          <w:sz w:val="20"/>
          <w:szCs w:val="20"/>
          <w14:ligatures w14:val="none"/>
        </w:rPr>
        <w:t>, Wencheng Yu</w:t>
      </w:r>
      <w:r>
        <w:rPr>
          <w:rFonts w:ascii="Times New Roman" w:hAnsi="Times New Roman" w:eastAsia="等线" w:cs="Times New Roman"/>
          <w:sz w:val="20"/>
          <w:szCs w:val="20"/>
          <w:vertAlign w:val="superscript"/>
          <w14:ligatures w14:val="none"/>
        </w:rPr>
        <w:t>1*</w:t>
      </w:r>
    </w:p>
    <w:p>
      <w:pPr>
        <w:jc w:val="left"/>
        <w:rPr>
          <w:rFonts w:ascii="Times New Roman" w:hAnsi="Times New Roman" w:eastAsia="等线" w:cs="Times New Roman"/>
          <w:sz w:val="20"/>
          <w:szCs w:val="20"/>
          <w14:ligatures w14:val="none"/>
        </w:rPr>
      </w:pPr>
      <w:r>
        <w:rPr>
          <w:rFonts w:hint="eastAsia" w:ascii="Times New Roman" w:hAnsi="Times New Roman" w:eastAsia="等线" w:cs="Times New Roman"/>
          <w:sz w:val="20"/>
          <w:szCs w:val="20"/>
          <w:vertAlign w:val="superscript"/>
          <w14:ligatures w14:val="none"/>
        </w:rPr>
        <w:t>1</w:t>
      </w:r>
      <w:r>
        <w:rPr>
          <w:rFonts w:ascii="Times New Roman" w:hAnsi="Times New Roman" w:eastAsia="等线" w:cs="Times New Roman"/>
          <w:sz w:val="20"/>
          <w:szCs w:val="20"/>
          <w14:ligatures w14:val="none"/>
        </w:rPr>
        <w:t xml:space="preserve">Department of Pulmonary and Critical Care Medicine, the affiliated hospital of Qingdao University, Qingdao University, </w:t>
      </w:r>
      <w:bookmarkStart w:id="0" w:name="OLE_LINK2"/>
      <w:r>
        <w:rPr>
          <w:rFonts w:ascii="Times New Roman" w:hAnsi="Times New Roman" w:eastAsia="等线" w:cs="Times New Roman"/>
          <w:sz w:val="20"/>
          <w:szCs w:val="20"/>
          <w14:ligatures w14:val="none"/>
        </w:rPr>
        <w:t>Qingdao, China</w:t>
      </w:r>
      <w:bookmarkEnd w:id="0"/>
    </w:p>
    <w:p>
      <w:pPr>
        <w:jc w:val="left"/>
        <w:rPr>
          <w:rFonts w:ascii="Times New Roman" w:hAnsi="Times New Roman" w:eastAsia="等线" w:cs="Times New Roman"/>
          <w:sz w:val="20"/>
          <w:szCs w:val="20"/>
          <w14:ligatures w14:val="none"/>
        </w:rPr>
      </w:pPr>
      <w:r>
        <w:rPr>
          <w:rFonts w:hint="eastAsia" w:ascii="Times New Roman" w:hAnsi="Times New Roman" w:eastAsia="等线" w:cs="Times New Roman"/>
          <w:sz w:val="20"/>
          <w:szCs w:val="20"/>
          <w:vertAlign w:val="superscript"/>
          <w14:ligatures w14:val="none"/>
        </w:rPr>
        <w:t>2</w:t>
      </w:r>
      <w:r>
        <w:rPr>
          <w:rFonts w:ascii="Times New Roman" w:hAnsi="Times New Roman" w:eastAsia="等线" w:cs="Times New Roman"/>
          <w:sz w:val="20"/>
          <w:szCs w:val="20"/>
          <w14:ligatures w14:val="none"/>
        </w:rPr>
        <w:t>Medical Department of Qingdao University, Qingdao, China</w:t>
      </w:r>
    </w:p>
    <w:p>
      <w:pPr>
        <w:jc w:val="left"/>
        <w:rPr>
          <w:rFonts w:ascii="Times New Roman" w:hAnsi="Times New Roman" w:eastAsia="等线" w:cs="Times New Roman"/>
          <w:sz w:val="20"/>
          <w:szCs w:val="20"/>
          <w14:ligatures w14:val="none"/>
        </w:rPr>
      </w:pPr>
      <w:r>
        <w:rPr>
          <w:rFonts w:ascii="Times New Roman" w:hAnsi="Times New Roman" w:eastAsia="等线" w:cs="Times New Roman"/>
          <w:sz w:val="20"/>
          <w:szCs w:val="20"/>
          <w:vertAlign w:val="superscript"/>
          <w14:ligatures w14:val="none"/>
        </w:rPr>
        <w:t>*</w:t>
      </w:r>
      <w:r>
        <w:rPr>
          <w:rFonts w:ascii="Times New Roman" w:hAnsi="Times New Roman" w:eastAsia="等线" w:cs="Times New Roman"/>
          <w:sz w:val="20"/>
          <w:szCs w:val="20"/>
          <w14:ligatures w14:val="none"/>
        </w:rPr>
        <w:t xml:space="preserve">Correspondence: Wencheng Yu, </w:t>
      </w:r>
      <w:r>
        <w:fldChar w:fldCharType="begin"/>
      </w:r>
      <w:r>
        <w:instrText xml:space="preserve"> HYPERLINK "mailto:ywcheng00@sina.com" </w:instrText>
      </w:r>
      <w:r>
        <w:fldChar w:fldCharType="separate"/>
      </w:r>
      <w:r>
        <w:rPr>
          <w:rStyle w:val="7"/>
          <w:rFonts w:ascii="Times New Roman" w:hAnsi="Times New Roman" w:eastAsia="等线" w:cs="Times New Roman"/>
          <w:sz w:val="20"/>
          <w:szCs w:val="20"/>
          <w14:ligatures w14:val="none"/>
        </w:rPr>
        <w:t>ywcheng00@sina.com</w:t>
      </w:r>
      <w:r>
        <w:rPr>
          <w:rStyle w:val="7"/>
          <w:rFonts w:ascii="Times New Roman" w:hAnsi="Times New Roman" w:eastAsia="等线" w:cs="Times New Roman"/>
          <w:sz w:val="20"/>
          <w:szCs w:val="20"/>
          <w14:ligatures w14:val="none"/>
        </w:rPr>
        <w:fldChar w:fldCharType="end"/>
      </w:r>
    </w:p>
    <w:p>
      <w:pPr>
        <w:jc w:val="left"/>
        <w:rPr>
          <w:rFonts w:ascii="Times New Roman" w:hAnsi="Times New Roman" w:eastAsia="等线" w:cs="Times New Roman"/>
          <w:sz w:val="20"/>
          <w:szCs w:val="20"/>
          <w14:ligatures w14:val="none"/>
        </w:rPr>
      </w:pPr>
    </w:p>
    <w:p>
      <w:pPr>
        <w:rPr>
          <w:rFonts w:ascii="Times New Roman" w:hAnsi="Times New Roman"/>
          <w:b/>
          <w:bCs/>
          <w:color w:val="000000" w:themeColor="text1"/>
          <w:szCs w:val="21"/>
          <w14:textFill>
            <w14:solidFill>
              <w14:schemeClr w14:val="tx1"/>
            </w14:solidFill>
          </w14:textFill>
        </w:rPr>
      </w:pPr>
      <w:r>
        <w:rPr>
          <w:rFonts w:ascii="Times New Roman" w:hAnsi="Times New Roman"/>
          <w:b/>
          <w:bCs/>
          <w:color w:val="000000" w:themeColor="text1"/>
          <w:szCs w:val="21"/>
          <w14:textFill>
            <w14:solidFill>
              <w14:schemeClr w14:val="tx1"/>
            </w14:solidFill>
          </w14:textFill>
        </w:rPr>
        <w:t>Supplementary Materials</w:t>
      </w:r>
    </w:p>
    <w:p>
      <w:pPr>
        <w:rPr>
          <w:rFonts w:ascii="Times New Roman" w:hAnsi="Times New Roman"/>
          <w:sz w:val="20"/>
          <w:szCs w:val="20"/>
        </w:rPr>
      </w:pPr>
      <w:r>
        <w:rPr>
          <w:rFonts w:ascii="Times New Roman" w:hAnsi="Times New Roman"/>
          <w:b/>
          <w:bCs/>
          <w:sz w:val="20"/>
          <w:szCs w:val="20"/>
        </w:rPr>
        <w:t>Supplementary Table 1</w:t>
      </w:r>
      <w:r>
        <w:rPr>
          <w:rFonts w:hint="eastAsia" w:ascii="Times New Roman" w:hAnsi="Times New Roman"/>
          <w:b/>
          <w:bCs/>
          <w:sz w:val="20"/>
          <w:szCs w:val="20"/>
        </w:rPr>
        <w:t>.</w:t>
      </w:r>
      <w:r>
        <w:rPr>
          <w:rFonts w:ascii="Times New Roman" w:hAnsi="Times New Roman"/>
          <w:sz w:val="20"/>
          <w:szCs w:val="20"/>
        </w:rPr>
        <w:t xml:space="preserve"> </w:t>
      </w:r>
      <w:r>
        <w:rPr>
          <w:rFonts w:hint="eastAsia" w:ascii="Times New Roman" w:hAnsi="Times New Roman"/>
          <w:sz w:val="20"/>
          <w:szCs w:val="20"/>
        </w:rPr>
        <w:t>SNPs used as valid instrumental variables for T1D on IPF.</w:t>
      </w:r>
    </w:p>
    <w:p>
      <w:pPr>
        <w:rPr>
          <w:rFonts w:ascii="Times New Roman" w:hAnsi="Times New Roman"/>
          <w:color w:val="000000"/>
          <w:sz w:val="20"/>
          <w:szCs w:val="20"/>
        </w:rPr>
      </w:pPr>
      <w:r>
        <w:rPr>
          <w:rFonts w:ascii="Times New Roman" w:hAnsi="Times New Roman"/>
          <w:b/>
          <w:bCs/>
          <w:sz w:val="20"/>
          <w:szCs w:val="20"/>
        </w:rPr>
        <w:t>Supplementary</w:t>
      </w:r>
      <w:r>
        <w:rPr>
          <w:rFonts w:ascii="Times New Roman" w:hAnsi="Times New Roman"/>
          <w:b/>
          <w:bCs/>
          <w:color w:val="000000"/>
          <w:sz w:val="20"/>
          <w:szCs w:val="20"/>
        </w:rPr>
        <w:t xml:space="preserve"> Table 2. </w:t>
      </w:r>
      <w:r>
        <w:rPr>
          <w:rFonts w:hint="eastAsia" w:ascii="Times New Roman" w:hAnsi="Times New Roman"/>
          <w:color w:val="000000"/>
          <w:sz w:val="20"/>
          <w:szCs w:val="20"/>
        </w:rPr>
        <w:t>SNPs used as valid instrumental variables for T2D on IPF.</w:t>
      </w:r>
    </w:p>
    <w:p>
      <w:pPr>
        <w:rPr>
          <w:rFonts w:ascii="Times New Roman" w:hAnsi="Times New Roman"/>
          <w:color w:val="000000"/>
          <w:sz w:val="20"/>
          <w:szCs w:val="20"/>
        </w:rPr>
      </w:pPr>
      <w:r>
        <w:rPr>
          <w:rFonts w:ascii="Times New Roman" w:hAnsi="Times New Roman"/>
          <w:b/>
          <w:bCs/>
          <w:sz w:val="20"/>
          <w:szCs w:val="20"/>
        </w:rPr>
        <w:t>Supplementary</w:t>
      </w:r>
      <w:r>
        <w:rPr>
          <w:rFonts w:ascii="Times New Roman" w:hAnsi="Times New Roman"/>
          <w:b/>
          <w:bCs/>
          <w:color w:val="000000"/>
          <w:sz w:val="20"/>
          <w:szCs w:val="20"/>
        </w:rPr>
        <w:t xml:space="preserve"> Table 3. </w:t>
      </w:r>
      <w:r>
        <w:rPr>
          <w:rFonts w:hint="eastAsia" w:ascii="Times New Roman" w:hAnsi="Times New Roman"/>
          <w:color w:val="000000"/>
          <w:sz w:val="20"/>
          <w:szCs w:val="20"/>
        </w:rPr>
        <w:t>SNPs used as genetic instruments for multivariable Mendelian randomization analysis.</w:t>
      </w:r>
    </w:p>
    <w:p>
      <w:pPr>
        <w:rPr>
          <w:rFonts w:ascii="Times New Roman" w:hAnsi="Times New Roman"/>
          <w:color w:val="000000"/>
          <w:sz w:val="20"/>
          <w:szCs w:val="20"/>
        </w:rPr>
      </w:pPr>
      <w:r>
        <w:rPr>
          <w:rFonts w:ascii="Times New Roman" w:hAnsi="Times New Roman"/>
          <w:b/>
          <w:bCs/>
          <w:sz w:val="20"/>
          <w:szCs w:val="20"/>
        </w:rPr>
        <w:t>Supplementary</w:t>
      </w:r>
      <w:r>
        <w:rPr>
          <w:rFonts w:ascii="Times New Roman" w:hAnsi="Times New Roman"/>
          <w:b/>
          <w:bCs/>
          <w:color w:val="000000"/>
          <w:sz w:val="20"/>
          <w:szCs w:val="20"/>
        </w:rPr>
        <w:t xml:space="preserve"> Table 4. </w:t>
      </w:r>
      <w:r>
        <w:rPr>
          <w:rFonts w:hint="eastAsia" w:ascii="Times New Roman" w:hAnsi="Times New Roman"/>
          <w:color w:val="000000"/>
          <w:sz w:val="20"/>
          <w:szCs w:val="20"/>
          <w:lang w:eastAsia="en-GB"/>
        </w:rPr>
        <w:t>STROBE-MR checklist of recommended items to address in reports of Mendelian randomization studies</w:t>
      </w:r>
      <w:r>
        <w:rPr>
          <w:rFonts w:hint="eastAsia" w:ascii="Times New Roman" w:hAnsi="Times New Roman"/>
          <w:color w:val="000000"/>
          <w:sz w:val="20"/>
          <w:szCs w:val="20"/>
        </w:rPr>
        <w:t>.</w:t>
      </w:r>
    </w:p>
    <w:p>
      <w:pPr>
        <w:rPr>
          <w:rFonts w:hint="eastAsia" w:ascii="Times New Roman" w:hAnsi="Times New Roman"/>
          <w:color w:val="000000"/>
          <w:sz w:val="20"/>
          <w:szCs w:val="20"/>
          <w:lang w:eastAsia="en-GB"/>
        </w:rPr>
        <w:sectPr>
          <w:pgSz w:w="16838" w:h="11906" w:orient="landscape"/>
          <w:pgMar w:top="1800" w:right="1440" w:bottom="1800" w:left="1440" w:header="851" w:footer="992" w:gutter="0"/>
          <w:cols w:space="425" w:num="1"/>
          <w:docGrid w:type="lines" w:linePitch="312" w:charSpace="0"/>
        </w:sectPr>
      </w:pPr>
      <w:r>
        <w:rPr>
          <w:rFonts w:ascii="Times New Roman" w:hAnsi="Times New Roman"/>
          <w:b/>
          <w:bCs/>
          <w:sz w:val="20"/>
          <w:szCs w:val="20"/>
        </w:rPr>
        <w:t>Supplementary</w:t>
      </w:r>
      <w:r>
        <w:rPr>
          <w:rFonts w:ascii="Times New Roman" w:hAnsi="Times New Roman"/>
          <w:b/>
          <w:bCs/>
          <w:color w:val="000000"/>
          <w:sz w:val="20"/>
          <w:szCs w:val="20"/>
        </w:rPr>
        <w:t xml:space="preserve"> </w:t>
      </w:r>
      <w:r>
        <w:rPr>
          <w:rFonts w:hint="eastAsia" w:ascii="Times New Roman" w:hAnsi="Times New Roman"/>
          <w:b/>
          <w:bCs/>
          <w:color w:val="000000"/>
          <w:sz w:val="20"/>
          <w:szCs w:val="20"/>
        </w:rPr>
        <w:t xml:space="preserve">File. </w:t>
      </w:r>
      <w:r>
        <w:rPr>
          <w:rFonts w:hint="eastAsia" w:ascii="Times New Roman" w:hAnsi="Times New Roman"/>
          <w:color w:val="000000"/>
          <w:sz w:val="20"/>
          <w:szCs w:val="20"/>
          <w:lang w:eastAsia="en-GB"/>
        </w:rPr>
        <w:t>The main code used in the MR analyses.</w:t>
      </w:r>
    </w:p>
    <w:p>
      <w:pPr>
        <w:rPr>
          <w:rFonts w:ascii="Times New Roman" w:hAnsi="Times New Roman"/>
          <w:sz w:val="20"/>
          <w:szCs w:val="20"/>
        </w:rPr>
      </w:pPr>
      <w:r>
        <w:rPr>
          <w:rFonts w:ascii="Times New Roman" w:hAnsi="Times New Roman"/>
          <w:b/>
          <w:bCs/>
          <w:sz w:val="20"/>
          <w:szCs w:val="20"/>
        </w:rPr>
        <w:t>Supplementary Table 1</w:t>
      </w:r>
      <w:r>
        <w:rPr>
          <w:rFonts w:hint="eastAsia" w:ascii="Times New Roman" w:hAnsi="Times New Roman"/>
          <w:b/>
          <w:bCs/>
          <w:sz w:val="20"/>
          <w:szCs w:val="20"/>
        </w:rPr>
        <w:t>.</w:t>
      </w:r>
      <w:r>
        <w:rPr>
          <w:rFonts w:ascii="Times New Roman" w:hAnsi="Times New Roman"/>
          <w:sz w:val="20"/>
          <w:szCs w:val="20"/>
        </w:rPr>
        <w:t xml:space="preserve"> </w:t>
      </w:r>
      <w:r>
        <w:rPr>
          <w:rFonts w:hint="eastAsia" w:ascii="Times New Roman" w:hAnsi="Times New Roman"/>
          <w:sz w:val="20"/>
          <w:szCs w:val="20"/>
        </w:rPr>
        <w:t>SNPs used as valid instrumental variables for T1D on IPF.</w:t>
      </w:r>
    </w:p>
    <w:tbl>
      <w:tblPr>
        <w:tblStyle w:val="5"/>
        <w:tblW w:w="15120" w:type="dxa"/>
        <w:tblInd w:w="96" w:type="dxa"/>
        <w:tblLayout w:type="autofit"/>
        <w:tblCellMar>
          <w:top w:w="0" w:type="dxa"/>
          <w:left w:w="108" w:type="dxa"/>
          <w:bottom w:w="0" w:type="dxa"/>
          <w:right w:w="108" w:type="dxa"/>
        </w:tblCellMar>
      </w:tblPr>
      <w:tblGrid>
        <w:gridCol w:w="1080"/>
        <w:gridCol w:w="1080"/>
        <w:gridCol w:w="1080"/>
        <w:gridCol w:w="1080"/>
        <w:gridCol w:w="1080"/>
        <w:gridCol w:w="1080"/>
        <w:gridCol w:w="1080"/>
        <w:gridCol w:w="1080"/>
        <w:gridCol w:w="1080"/>
        <w:gridCol w:w="1080"/>
        <w:gridCol w:w="1080"/>
        <w:gridCol w:w="1080"/>
        <w:gridCol w:w="1080"/>
        <w:gridCol w:w="1080"/>
      </w:tblGrid>
      <w:tr>
        <w:tblPrEx>
          <w:tblCellMar>
            <w:top w:w="0" w:type="dxa"/>
            <w:left w:w="108" w:type="dxa"/>
            <w:bottom w:w="0" w:type="dxa"/>
            <w:right w:w="108" w:type="dxa"/>
          </w:tblCellMar>
        </w:tblPrEx>
        <w:trPr>
          <w:trHeight w:val="23" w:hRule="atLeast"/>
        </w:trPr>
        <w:tc>
          <w:tcPr>
            <w:tcW w:w="1080" w:type="dxa"/>
            <w:vMerge w:val="restart"/>
            <w:tcBorders>
              <w:top w:val="single" w:color="000000" w:sz="4" w:space="0"/>
              <w:left w:val="nil"/>
              <w:bottom w:val="single" w:color="000000" w:sz="4" w:space="0"/>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SNP</w:t>
            </w:r>
          </w:p>
        </w:tc>
        <w:tc>
          <w:tcPr>
            <w:tcW w:w="1080" w:type="dxa"/>
            <w:vMerge w:val="restart"/>
            <w:tcBorders>
              <w:top w:val="single" w:color="000000" w:sz="4" w:space="0"/>
              <w:left w:val="nil"/>
              <w:bottom w:val="single" w:color="000000" w:sz="4" w:space="0"/>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Chr</w:t>
            </w:r>
          </w:p>
        </w:tc>
        <w:tc>
          <w:tcPr>
            <w:tcW w:w="1080" w:type="dxa"/>
            <w:vMerge w:val="restart"/>
            <w:tcBorders>
              <w:top w:val="single" w:color="000000" w:sz="4" w:space="0"/>
              <w:left w:val="nil"/>
              <w:bottom w:val="single" w:color="000000" w:sz="4" w:space="0"/>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EA</w:t>
            </w:r>
          </w:p>
        </w:tc>
        <w:tc>
          <w:tcPr>
            <w:tcW w:w="1080" w:type="dxa"/>
            <w:vMerge w:val="restart"/>
            <w:tcBorders>
              <w:top w:val="single" w:color="000000" w:sz="4" w:space="0"/>
              <w:left w:val="nil"/>
              <w:bottom w:val="single" w:color="000000" w:sz="4" w:space="0"/>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OA</w:t>
            </w:r>
          </w:p>
        </w:tc>
        <w:tc>
          <w:tcPr>
            <w:tcW w:w="1080" w:type="dxa"/>
            <w:vMerge w:val="restart"/>
            <w:tcBorders>
              <w:top w:val="single" w:color="000000" w:sz="4" w:space="0"/>
              <w:left w:val="nil"/>
              <w:bottom w:val="single" w:color="000000" w:sz="4" w:space="0"/>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Position</w:t>
            </w:r>
          </w:p>
        </w:tc>
        <w:tc>
          <w:tcPr>
            <w:tcW w:w="5400" w:type="dxa"/>
            <w:gridSpan w:val="5"/>
            <w:tcBorders>
              <w:top w:val="single" w:color="000000" w:sz="4" w:space="0"/>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T1D</w:t>
            </w:r>
          </w:p>
        </w:tc>
        <w:tc>
          <w:tcPr>
            <w:tcW w:w="3240" w:type="dxa"/>
            <w:gridSpan w:val="3"/>
            <w:tcBorders>
              <w:top w:val="single" w:color="000000" w:sz="4" w:space="0"/>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IPF</w:t>
            </w:r>
          </w:p>
        </w:tc>
        <w:tc>
          <w:tcPr>
            <w:tcW w:w="1080" w:type="dxa"/>
            <w:vMerge w:val="restart"/>
            <w:tcBorders>
              <w:top w:val="single" w:color="000000" w:sz="4" w:space="0"/>
              <w:left w:val="nil"/>
              <w:bottom w:val="single" w:color="000000" w:sz="4" w:space="0"/>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Keep</w:t>
            </w:r>
          </w:p>
        </w:tc>
      </w:tr>
      <w:tr>
        <w:tblPrEx>
          <w:tblCellMar>
            <w:top w:w="0" w:type="dxa"/>
            <w:left w:w="108" w:type="dxa"/>
            <w:bottom w:w="0" w:type="dxa"/>
            <w:right w:w="108" w:type="dxa"/>
          </w:tblCellMar>
        </w:tblPrEx>
        <w:trPr>
          <w:trHeight w:val="23" w:hRule="atLeast"/>
        </w:trPr>
        <w:tc>
          <w:tcPr>
            <w:tcW w:w="1080" w:type="dxa"/>
            <w:vMerge w:val="continue"/>
            <w:tcBorders>
              <w:top w:val="single" w:color="000000" w:sz="4" w:space="0"/>
              <w:left w:val="nil"/>
              <w:bottom w:val="single" w:color="000000" w:sz="4" w:space="0"/>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p>
        </w:tc>
        <w:tc>
          <w:tcPr>
            <w:tcW w:w="1080" w:type="dxa"/>
            <w:vMerge w:val="continue"/>
            <w:tcBorders>
              <w:top w:val="single" w:color="000000" w:sz="4" w:space="0"/>
              <w:left w:val="nil"/>
              <w:bottom w:val="single" w:color="000000" w:sz="4" w:space="0"/>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p>
        </w:tc>
        <w:tc>
          <w:tcPr>
            <w:tcW w:w="1080" w:type="dxa"/>
            <w:vMerge w:val="continue"/>
            <w:tcBorders>
              <w:top w:val="single" w:color="000000" w:sz="4" w:space="0"/>
              <w:left w:val="nil"/>
              <w:bottom w:val="single" w:color="000000" w:sz="4" w:space="0"/>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p>
        </w:tc>
        <w:tc>
          <w:tcPr>
            <w:tcW w:w="1080" w:type="dxa"/>
            <w:vMerge w:val="continue"/>
            <w:tcBorders>
              <w:top w:val="single" w:color="000000" w:sz="4" w:space="0"/>
              <w:left w:val="nil"/>
              <w:bottom w:val="single" w:color="000000" w:sz="4" w:space="0"/>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p>
        </w:tc>
        <w:tc>
          <w:tcPr>
            <w:tcW w:w="1080" w:type="dxa"/>
            <w:vMerge w:val="continue"/>
            <w:tcBorders>
              <w:top w:val="single" w:color="000000" w:sz="4" w:space="0"/>
              <w:left w:val="nil"/>
              <w:bottom w:val="single" w:color="000000" w:sz="4" w:space="0"/>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p>
        </w:tc>
        <w:tc>
          <w:tcPr>
            <w:tcW w:w="1080" w:type="dxa"/>
            <w:tcBorders>
              <w:top w:val="nil"/>
              <w:left w:val="nil"/>
              <w:bottom w:val="single" w:color="000000" w:sz="4" w:space="0"/>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Beta</w:t>
            </w:r>
          </w:p>
        </w:tc>
        <w:tc>
          <w:tcPr>
            <w:tcW w:w="1080" w:type="dxa"/>
            <w:tcBorders>
              <w:top w:val="nil"/>
              <w:left w:val="nil"/>
              <w:bottom w:val="single" w:color="000000" w:sz="4" w:space="0"/>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SE</w:t>
            </w:r>
          </w:p>
        </w:tc>
        <w:tc>
          <w:tcPr>
            <w:tcW w:w="1080" w:type="dxa"/>
            <w:tcBorders>
              <w:top w:val="nil"/>
              <w:left w:val="nil"/>
              <w:bottom w:val="single" w:color="000000" w:sz="4" w:space="0"/>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EAF</w:t>
            </w:r>
          </w:p>
        </w:tc>
        <w:tc>
          <w:tcPr>
            <w:tcW w:w="1080" w:type="dxa"/>
            <w:tcBorders>
              <w:top w:val="nil"/>
              <w:left w:val="nil"/>
              <w:bottom w:val="single" w:color="000000" w:sz="4" w:space="0"/>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P</w:t>
            </w:r>
          </w:p>
        </w:tc>
        <w:tc>
          <w:tcPr>
            <w:tcW w:w="1080" w:type="dxa"/>
            <w:tcBorders>
              <w:top w:val="nil"/>
              <w:left w:val="nil"/>
              <w:bottom w:val="single" w:color="000000" w:sz="4" w:space="0"/>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F</w:t>
            </w:r>
          </w:p>
        </w:tc>
        <w:tc>
          <w:tcPr>
            <w:tcW w:w="1080" w:type="dxa"/>
            <w:tcBorders>
              <w:top w:val="nil"/>
              <w:left w:val="nil"/>
              <w:bottom w:val="single" w:color="000000" w:sz="4" w:space="0"/>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Beta</w:t>
            </w:r>
          </w:p>
        </w:tc>
        <w:tc>
          <w:tcPr>
            <w:tcW w:w="1080" w:type="dxa"/>
            <w:tcBorders>
              <w:top w:val="nil"/>
              <w:left w:val="nil"/>
              <w:bottom w:val="single" w:color="000000" w:sz="4" w:space="0"/>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SE</w:t>
            </w:r>
          </w:p>
        </w:tc>
        <w:tc>
          <w:tcPr>
            <w:tcW w:w="1080" w:type="dxa"/>
            <w:tcBorders>
              <w:top w:val="nil"/>
              <w:left w:val="nil"/>
              <w:bottom w:val="single" w:color="000000" w:sz="4" w:space="0"/>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P</w:t>
            </w:r>
          </w:p>
        </w:tc>
        <w:tc>
          <w:tcPr>
            <w:tcW w:w="1080" w:type="dxa"/>
            <w:vMerge w:val="continue"/>
            <w:tcBorders>
              <w:top w:val="single" w:color="000000" w:sz="4" w:space="0"/>
              <w:left w:val="nil"/>
              <w:bottom w:val="single" w:color="000000" w:sz="4" w:space="0"/>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p>
        </w:tc>
      </w:tr>
      <w:tr>
        <w:tblPrEx>
          <w:tblCellMar>
            <w:top w:w="0" w:type="dxa"/>
            <w:left w:w="108" w:type="dxa"/>
            <w:bottom w:w="0" w:type="dxa"/>
            <w:right w:w="108" w:type="dxa"/>
          </w:tblCellMar>
        </w:tblPrEx>
        <w:trPr>
          <w:trHeight w:val="23" w:hRule="atLeast"/>
        </w:trPr>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rs11203203</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21</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A</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G</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43836186</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0.149971</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0.0189963</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0.197883</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2.91E-15</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62.32704479</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0.0671</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0.050944669</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0.1878</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TRUE</w:t>
            </w:r>
          </w:p>
        </w:tc>
      </w:tr>
      <w:tr>
        <w:tblPrEx>
          <w:tblCellMar>
            <w:top w:w="0" w:type="dxa"/>
            <w:left w:w="108" w:type="dxa"/>
            <w:bottom w:w="0" w:type="dxa"/>
            <w:right w:w="108" w:type="dxa"/>
          </w:tblCellMar>
        </w:tblPrEx>
        <w:trPr>
          <w:trHeight w:val="23" w:hRule="atLeast"/>
        </w:trPr>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rs113010081</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3</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C</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T</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46457412</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-0.16405</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0.0300091</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0.028355</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4.59E-08</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29.88453674</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-0.2239</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0.067887467</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0.000973397</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TRUE</w:t>
            </w:r>
          </w:p>
        </w:tc>
      </w:tr>
      <w:tr>
        <w:tblPrEx>
          <w:tblCellMar>
            <w:top w:w="0" w:type="dxa"/>
            <w:left w:w="108" w:type="dxa"/>
            <w:bottom w:w="0" w:type="dxa"/>
            <w:right w:w="108" w:type="dxa"/>
          </w:tblCellMar>
        </w:tblPrEx>
        <w:trPr>
          <w:trHeight w:val="23" w:hRule="atLeast"/>
        </w:trPr>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rs12150079</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17</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A</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G</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38025417</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0.114043</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0.0200075</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0.186302</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1.20E-08</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32.49014245</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0.0085</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0.048472852</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0.8608</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TRUE</w:t>
            </w:r>
          </w:p>
        </w:tc>
      </w:tr>
      <w:tr>
        <w:tblPrEx>
          <w:tblCellMar>
            <w:top w:w="0" w:type="dxa"/>
            <w:left w:w="108" w:type="dxa"/>
            <w:bottom w:w="0" w:type="dxa"/>
            <w:right w:w="108" w:type="dxa"/>
          </w:tblCellMar>
        </w:tblPrEx>
        <w:trPr>
          <w:trHeight w:val="23" w:hRule="atLeast"/>
        </w:trPr>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rs12416116</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10</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A</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C</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90035654</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-0.164993</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0.0209991</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0.296326</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3.93E-15</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61.73474733</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0.0064</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0.053568232</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0.9049</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TRUE</w:t>
            </w:r>
          </w:p>
        </w:tc>
      </w:tr>
      <w:tr>
        <w:tblPrEx>
          <w:tblCellMar>
            <w:top w:w="0" w:type="dxa"/>
            <w:left w:w="108" w:type="dxa"/>
            <w:bottom w:w="0" w:type="dxa"/>
            <w:right w:w="108" w:type="dxa"/>
          </w:tblCellMar>
        </w:tblPrEx>
        <w:trPr>
          <w:trHeight w:val="23" w:hRule="atLeast"/>
        </w:trPr>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rs12927355</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16</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T</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C</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11194771</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-0.193949</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0.0199947</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0.271565</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3.02E-22</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94.09039781</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-0.03</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0.049515439</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0.5446</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TRUE</w:t>
            </w:r>
          </w:p>
        </w:tc>
      </w:tr>
      <w:tr>
        <w:tblPrEx>
          <w:tblCellMar>
            <w:top w:w="0" w:type="dxa"/>
            <w:left w:w="108" w:type="dxa"/>
            <w:bottom w:w="0" w:type="dxa"/>
            <w:right w:w="108" w:type="dxa"/>
          </w:tblCellMar>
        </w:tblPrEx>
        <w:trPr>
          <w:trHeight w:val="23" w:hRule="atLeast"/>
        </w:trPr>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rs1456988</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14</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T</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G</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98488007</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-0.111005</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0.0200008</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0.542931</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2.86E-08</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30.80281079</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0.0127</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0.0469784</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0.786901</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TRUE</w:t>
            </w:r>
          </w:p>
        </w:tc>
      </w:tr>
      <w:tr>
        <w:tblPrEx>
          <w:tblCellMar>
            <w:top w:w="0" w:type="dxa"/>
            <w:left w:w="108" w:type="dxa"/>
            <w:bottom w:w="0" w:type="dxa"/>
            <w:right w:w="108" w:type="dxa"/>
          </w:tblCellMar>
        </w:tblPrEx>
        <w:trPr>
          <w:trHeight w:val="23" w:hRule="atLeast"/>
        </w:trPr>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rs151233</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16</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T</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C</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28506428</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0.171008</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0.0260012</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0.155751</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4.80E-11</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43.25597164</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-0.0163</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0.068867465</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0.8129</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TRUE</w:t>
            </w:r>
          </w:p>
        </w:tc>
      </w:tr>
      <w:tr>
        <w:tblPrEx>
          <w:tblCellMar>
            <w:top w:w="0" w:type="dxa"/>
            <w:left w:w="108" w:type="dxa"/>
            <w:bottom w:w="0" w:type="dxa"/>
            <w:right w:w="108" w:type="dxa"/>
          </w:tblCellMar>
        </w:tblPrEx>
        <w:trPr>
          <w:trHeight w:val="23" w:hRule="atLeast"/>
        </w:trPr>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rs1574285</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9</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T</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G</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4283137</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-0.115024</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0.0190039</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0.510184</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1.42E-09</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36.63460047</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0.024</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0.045879741</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0.6009</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TRUE</w:t>
            </w:r>
          </w:p>
        </w:tc>
      </w:tr>
      <w:tr>
        <w:tblPrEx>
          <w:tblCellMar>
            <w:top w:w="0" w:type="dxa"/>
            <w:left w:w="108" w:type="dxa"/>
            <w:bottom w:w="0" w:type="dxa"/>
            <w:right w:w="108" w:type="dxa"/>
          </w:tblCellMar>
        </w:tblPrEx>
        <w:trPr>
          <w:trHeight w:val="23" w:hRule="atLeast"/>
        </w:trPr>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rs1701704</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12</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G</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T</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56412487</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0.222984</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0.0189986</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0.201877</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8.25E-32</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137.7539958</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-0.0756</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0.048834288</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0.1216</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TRUE</w:t>
            </w:r>
          </w:p>
        </w:tc>
      </w:tr>
      <w:tr>
        <w:tblPrEx>
          <w:tblCellMar>
            <w:top w:w="0" w:type="dxa"/>
            <w:left w:w="108" w:type="dxa"/>
            <w:bottom w:w="0" w:type="dxa"/>
            <w:right w:w="108" w:type="dxa"/>
          </w:tblCellMar>
        </w:tblPrEx>
        <w:trPr>
          <w:trHeight w:val="23" w:hRule="atLeast"/>
        </w:trPr>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rs1893217</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18</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G</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A</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12809340</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0.192024</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0.024003</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0.119609</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1.24E-15</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64</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0.0858</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0.062497873</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0.1698</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TRUE</w:t>
            </w:r>
          </w:p>
        </w:tc>
      </w:tr>
      <w:tr>
        <w:tblPrEx>
          <w:tblCellMar>
            <w:top w:w="0" w:type="dxa"/>
            <w:left w:w="108" w:type="dxa"/>
            <w:bottom w:w="0" w:type="dxa"/>
            <w:right w:w="108" w:type="dxa"/>
          </w:tblCellMar>
        </w:tblPrEx>
        <w:trPr>
          <w:trHeight w:val="23" w:hRule="atLeast"/>
        </w:trPr>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rs2045258</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6</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G</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A</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126674354</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0.116983</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0.0189972</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0.553115</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7.37E-10</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37.91982455</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0.0172</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0.04588979</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0.707801</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TRUE</w:t>
            </w:r>
          </w:p>
        </w:tc>
      </w:tr>
      <w:tr>
        <w:tblPrEx>
          <w:tblCellMar>
            <w:top w:w="0" w:type="dxa"/>
            <w:left w:w="108" w:type="dxa"/>
            <w:bottom w:w="0" w:type="dxa"/>
            <w:right w:w="108" w:type="dxa"/>
          </w:tblCellMar>
        </w:tblPrEx>
        <w:trPr>
          <w:trHeight w:val="23" w:hRule="atLeast"/>
        </w:trPr>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rs2111485</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2</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G</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A</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163110536</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0.164993</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0.0189991</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0.339257</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3.81E-18</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75.41625824</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0.0782</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0.046202296</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0.0905399</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TRUE</w:t>
            </w:r>
          </w:p>
        </w:tc>
      </w:tr>
      <w:tr>
        <w:tblPrEx>
          <w:tblCellMar>
            <w:top w:w="0" w:type="dxa"/>
            <w:left w:w="108" w:type="dxa"/>
            <w:bottom w:w="0" w:type="dxa"/>
            <w:right w:w="108" w:type="dxa"/>
          </w:tblCellMar>
        </w:tblPrEx>
        <w:trPr>
          <w:trHeight w:val="23" w:hRule="atLeast"/>
        </w:trPr>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rs229533</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22</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C</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A</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37587111</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0.106969</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0.0189945</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0.554113</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1.79E-08</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31.71466584</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0.07</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0.046424567</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0.1316</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TRUE</w:t>
            </w:r>
          </w:p>
        </w:tc>
      </w:tr>
      <w:tr>
        <w:tblPrEx>
          <w:tblCellMar>
            <w:top w:w="0" w:type="dxa"/>
            <w:left w:w="108" w:type="dxa"/>
            <w:bottom w:w="0" w:type="dxa"/>
            <w:right w:w="108" w:type="dxa"/>
          </w:tblCellMar>
        </w:tblPrEx>
        <w:trPr>
          <w:trHeight w:val="23" w:hRule="atLeast"/>
        </w:trPr>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rs2304256</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19</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A</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C</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10475652</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-0.139032</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0.0210049</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0.265775</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3.61E-11</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43.81151828</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-0.0628</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0.052598796</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0.2325</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TRUE</w:t>
            </w:r>
          </w:p>
        </w:tc>
      </w:tr>
      <w:tr>
        <w:tblPrEx>
          <w:tblCellMar>
            <w:top w:w="0" w:type="dxa"/>
            <w:left w:w="108" w:type="dxa"/>
            <w:bottom w:w="0" w:type="dxa"/>
            <w:right w:w="108" w:type="dxa"/>
          </w:tblCellMar>
        </w:tblPrEx>
        <w:trPr>
          <w:trHeight w:val="23" w:hRule="atLeast"/>
        </w:trPr>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rs2611215</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4</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G</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A</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166574267</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-0.167969</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0.0249954</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0.818291</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1.82E-11</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45.15835268</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-0.0866</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0.053635982</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0.1064</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TRUE</w:t>
            </w:r>
          </w:p>
        </w:tc>
      </w:tr>
      <w:tr>
        <w:tblPrEx>
          <w:tblCellMar>
            <w:top w:w="0" w:type="dxa"/>
            <w:left w:w="108" w:type="dxa"/>
            <w:bottom w:w="0" w:type="dxa"/>
            <w:right w:w="108" w:type="dxa"/>
          </w:tblCellMar>
        </w:tblPrEx>
        <w:trPr>
          <w:trHeight w:val="23" w:hRule="atLeast"/>
        </w:trPr>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rs3087243</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2</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A</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G</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204738919</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-0.178051</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0.0190054</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0.36901</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7.36E-21</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87.76771775</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-0.0691</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0.048378541</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0.1532</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TRUE</w:t>
            </w:r>
          </w:p>
        </w:tc>
      </w:tr>
      <w:tr>
        <w:tblPrEx>
          <w:tblCellMar>
            <w:top w:w="0" w:type="dxa"/>
            <w:left w:w="108" w:type="dxa"/>
            <w:bottom w:w="0" w:type="dxa"/>
            <w:right w:w="108" w:type="dxa"/>
          </w:tblCellMar>
        </w:tblPrEx>
        <w:trPr>
          <w:trHeight w:val="23" w:hRule="atLeast"/>
        </w:trPr>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rs3184504</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12</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C</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T</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111884608</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-0.266051</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0.0190036</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0.852636</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1.56E-44</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196.000884</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-0.0885</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0.046388986</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0.0564196</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FALSE</w:t>
            </w:r>
          </w:p>
        </w:tc>
      </w:tr>
      <w:tr>
        <w:tblPrEx>
          <w:tblCellMar>
            <w:top w:w="0" w:type="dxa"/>
            <w:left w:w="108" w:type="dxa"/>
            <w:bottom w:w="0" w:type="dxa"/>
            <w:right w:w="108" w:type="dxa"/>
          </w:tblCellMar>
        </w:tblPrEx>
        <w:trPr>
          <w:trHeight w:val="23" w:hRule="atLeast"/>
        </w:trPr>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rs34593439</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15</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A</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G</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79234957</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-0.246028</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0.0330038</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0.096446</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9.02E-14</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55.57010009</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0.0372</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0.068210742</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0.5855</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TRUE</w:t>
            </w:r>
          </w:p>
        </w:tc>
      </w:tr>
      <w:tr>
        <w:tblPrEx>
          <w:tblCellMar>
            <w:top w:w="0" w:type="dxa"/>
            <w:left w:w="108" w:type="dxa"/>
            <w:bottom w:w="0" w:type="dxa"/>
            <w:right w:w="108" w:type="dxa"/>
          </w:tblCellMar>
        </w:tblPrEx>
        <w:trPr>
          <w:trHeight w:val="23" w:hRule="atLeast"/>
        </w:trPr>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rs3842727</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11</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T</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G</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2184848</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0.686966</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0.0229989</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0.642372</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4.89E-196</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892.1879561</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0.0802</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0.05318929</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0.1316</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TRUE</w:t>
            </w:r>
          </w:p>
        </w:tc>
      </w:tr>
      <w:tr>
        <w:tblPrEx>
          <w:tblCellMar>
            <w:top w:w="0" w:type="dxa"/>
            <w:left w:w="108" w:type="dxa"/>
            <w:bottom w:w="0" w:type="dxa"/>
            <w:right w:w="108" w:type="dxa"/>
          </w:tblCellMar>
        </w:tblPrEx>
        <w:trPr>
          <w:trHeight w:val="23" w:hRule="atLeast"/>
        </w:trPr>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rs402072</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19</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C</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T</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47219122</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-0.142025</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0.0260045</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0.098043</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4.72E-08</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29.82858008</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0.0327</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0.064943221</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0.614601</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TRUE</w:t>
            </w:r>
          </w:p>
        </w:tc>
      </w:tr>
      <w:tr>
        <w:tblPrEx>
          <w:tblCellMar>
            <w:top w:w="0" w:type="dxa"/>
            <w:left w:w="108" w:type="dxa"/>
            <w:bottom w:w="0" w:type="dxa"/>
            <w:right w:w="108" w:type="dxa"/>
          </w:tblCellMar>
        </w:tblPrEx>
        <w:trPr>
          <w:trHeight w:val="23" w:hRule="atLeast"/>
        </w:trPr>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rs41295121</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10</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T</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C</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6129643</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-0.652965</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0.111994</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0.025759</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5.53E-09</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33.99306255</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-0.3716</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0.577052579</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0.5196</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TRUE</w:t>
            </w:r>
          </w:p>
        </w:tc>
      </w:tr>
      <w:tr>
        <w:tblPrEx>
          <w:tblCellMar>
            <w:top w:w="0" w:type="dxa"/>
            <w:left w:w="108" w:type="dxa"/>
            <w:bottom w:w="0" w:type="dxa"/>
            <w:right w:w="108" w:type="dxa"/>
          </w:tblCellMar>
        </w:tblPrEx>
        <w:trPr>
          <w:trHeight w:val="23" w:hRule="atLeast"/>
        </w:trPr>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rs4820830</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22</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T</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C</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30531091</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-0.134968</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0.0189955</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0.722843</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1.20E-12</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50.48474486</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-0.1354</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0.049108881</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0.00583096</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TRUE</w:t>
            </w:r>
          </w:p>
        </w:tc>
      </w:tr>
      <w:tr>
        <w:tblPrEx>
          <w:tblCellMar>
            <w:top w:w="0" w:type="dxa"/>
            <w:left w:w="108" w:type="dxa"/>
            <w:bottom w:w="0" w:type="dxa"/>
            <w:right w:w="108" w:type="dxa"/>
          </w:tblCellMar>
        </w:tblPrEx>
        <w:trPr>
          <w:trHeight w:val="23" w:hRule="atLeast"/>
        </w:trPr>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rs4849135</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2</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G</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T</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111615079</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0.114962</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0.0209931</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0.692891</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4.35E-08</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29.98855034</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0.0301</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0.056713428</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0.5956</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TRUE</w:t>
            </w:r>
          </w:p>
        </w:tc>
      </w:tr>
      <w:tr>
        <w:tblPrEx>
          <w:tblCellMar>
            <w:top w:w="0" w:type="dxa"/>
            <w:left w:w="108" w:type="dxa"/>
            <w:bottom w:w="0" w:type="dxa"/>
            <w:right w:w="108" w:type="dxa"/>
          </w:tblCellMar>
        </w:tblPrEx>
        <w:trPr>
          <w:trHeight w:val="23" w:hRule="atLeast"/>
        </w:trPr>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rs516246</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19</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T</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C</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49206172</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0.142947</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0.018993</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0.320687</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5.22E-14</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56.64517909</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-0.0139</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0.047119924</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0.768</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TRUE</w:t>
            </w:r>
          </w:p>
        </w:tc>
      </w:tr>
      <w:tr>
        <w:tblPrEx>
          <w:tblCellMar>
            <w:top w:w="0" w:type="dxa"/>
            <w:left w:w="108" w:type="dxa"/>
            <w:bottom w:w="0" w:type="dxa"/>
            <w:right w:w="108" w:type="dxa"/>
          </w:tblCellMar>
        </w:tblPrEx>
        <w:trPr>
          <w:trHeight w:val="23" w:hRule="atLeast"/>
        </w:trPr>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rs56994090</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14</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C</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T</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101306447</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-0.12897</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0.0189956</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0.369209</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1.13E-11</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46.09686261</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-0.0408</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0.045750155</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0.3725</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TRUE</w:t>
            </w:r>
          </w:p>
        </w:tc>
      </w:tr>
      <w:tr>
        <w:tblPrEx>
          <w:tblCellMar>
            <w:top w:w="0" w:type="dxa"/>
            <w:left w:w="108" w:type="dxa"/>
            <w:bottom w:w="0" w:type="dxa"/>
            <w:right w:w="108" w:type="dxa"/>
          </w:tblCellMar>
        </w:tblPrEx>
        <w:trPr>
          <w:trHeight w:val="23" w:hRule="atLeast"/>
        </w:trPr>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rs6043409</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20</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G</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A</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1616206</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0.126017</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0.0200027</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0.797125</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2.98E-10</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39.6899937</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-0.0333</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0.04972969</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0.5031</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TRUE</w:t>
            </w:r>
          </w:p>
        </w:tc>
      </w:tr>
      <w:tr>
        <w:tblPrEx>
          <w:tblCellMar>
            <w:top w:w="0" w:type="dxa"/>
            <w:left w:w="108" w:type="dxa"/>
            <w:bottom w:w="0" w:type="dxa"/>
            <w:right w:w="108" w:type="dxa"/>
          </w:tblCellMar>
        </w:tblPrEx>
        <w:trPr>
          <w:trHeight w:val="23" w:hRule="atLeast"/>
        </w:trPr>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rs61839660</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10</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T</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C</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6094697</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-0.471925</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0.0359943</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0.028155</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2.84E-39</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171.9010403</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0.1293</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0.114430492</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0.2585</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TRUE</w:t>
            </w:r>
          </w:p>
        </w:tc>
      </w:tr>
      <w:tr>
        <w:tblPrEx>
          <w:tblCellMar>
            <w:top w:w="0" w:type="dxa"/>
            <w:left w:w="108" w:type="dxa"/>
            <w:bottom w:w="0" w:type="dxa"/>
            <w:right w:w="108" w:type="dxa"/>
          </w:tblCellMar>
        </w:tblPrEx>
        <w:trPr>
          <w:trHeight w:val="23" w:hRule="atLeast"/>
        </w:trPr>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rs62447205</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7</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G</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A</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50465830</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-0.116983</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0.020997</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0.226238</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2.53E-08</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31.0406647</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-0.0275</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0.048904792</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0.5739</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TRUE</w:t>
            </w:r>
          </w:p>
        </w:tc>
      </w:tr>
      <w:tr>
        <w:tblPrEx>
          <w:tblCellMar>
            <w:top w:w="0" w:type="dxa"/>
            <w:left w:w="108" w:type="dxa"/>
            <w:bottom w:w="0" w:type="dxa"/>
            <w:right w:w="108" w:type="dxa"/>
          </w:tblCellMar>
        </w:tblPrEx>
        <w:trPr>
          <w:trHeight w:val="23" w:hRule="atLeast"/>
        </w:trPr>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rs6679677</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1</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A</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C</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114303808</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0.635995</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0.0269998</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0.025759</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1.10E-122</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554.8636935</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0.0618</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0.064782069</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0.3401</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TRUE</w:t>
            </w:r>
          </w:p>
        </w:tc>
      </w:tr>
      <w:tr>
        <w:tblPrEx>
          <w:tblCellMar>
            <w:top w:w="0" w:type="dxa"/>
            <w:left w:w="108" w:type="dxa"/>
            <w:bottom w:w="0" w:type="dxa"/>
            <w:right w:w="108" w:type="dxa"/>
          </w:tblCellMar>
        </w:tblPrEx>
        <w:trPr>
          <w:trHeight w:val="23" w:hRule="atLeast"/>
        </w:trPr>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rs6691977</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1</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C</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T</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200814959</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0.126016</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0.0230029</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0.424521</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4.30E-08</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30.011396</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-0.0069</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0.048861623</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0.8877</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TRUE</w:t>
            </w:r>
          </w:p>
        </w:tc>
      </w:tr>
      <w:tr>
        <w:tblPrEx>
          <w:tblCellMar>
            <w:top w:w="0" w:type="dxa"/>
            <w:left w:w="108" w:type="dxa"/>
            <w:bottom w:w="0" w:type="dxa"/>
            <w:right w:w="108" w:type="dxa"/>
          </w:tblCellMar>
        </w:tblPrEx>
        <w:trPr>
          <w:trHeight w:val="23" w:hRule="atLeast"/>
        </w:trPr>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rs6827756</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4</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C</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T</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123184411</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-0.131028</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0.0190041</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0.591653</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5.40E-12</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47.53720135</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0.0181</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0.045565874</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0.6912</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TRUE</w:t>
            </w:r>
          </w:p>
        </w:tc>
      </w:tr>
      <w:tr>
        <w:tblPrEx>
          <w:tblCellMar>
            <w:top w:w="0" w:type="dxa"/>
            <w:left w:w="108" w:type="dxa"/>
            <w:bottom w:w="0" w:type="dxa"/>
            <w:right w:w="108" w:type="dxa"/>
          </w:tblCellMar>
        </w:tblPrEx>
        <w:trPr>
          <w:trHeight w:val="23" w:hRule="atLeast"/>
        </w:trPr>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rs7239671</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18</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G</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A</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67523260</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0.120978</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0.0179967</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0.464058</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1.79E-11</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45.18840856</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0.009</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0.045766162</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0.8441</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TRUE</w:t>
            </w:r>
          </w:p>
        </w:tc>
      </w:tr>
      <w:tr>
        <w:tblPrEx>
          <w:tblCellMar>
            <w:top w:w="0" w:type="dxa"/>
            <w:left w:w="108" w:type="dxa"/>
            <w:bottom w:w="0" w:type="dxa"/>
            <w:right w:w="108" w:type="dxa"/>
          </w:tblCellMar>
        </w:tblPrEx>
        <w:trPr>
          <w:trHeight w:val="23" w:hRule="atLeast"/>
        </w:trPr>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rs72727394</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15</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T</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C</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38847022</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0.138021</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0.0220034</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0.13778</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3.55E-10</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39.34692084</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-0.0784</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0.056572753</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0.1658</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TRUE</w:t>
            </w:r>
          </w:p>
        </w:tc>
      </w:tr>
      <w:tr>
        <w:tblPrEx>
          <w:tblCellMar>
            <w:top w:w="0" w:type="dxa"/>
            <w:left w:w="108" w:type="dxa"/>
            <w:bottom w:w="0" w:type="dxa"/>
            <w:right w:w="108" w:type="dxa"/>
          </w:tblCellMar>
        </w:tblPrEx>
        <w:trPr>
          <w:trHeight w:val="23" w:hRule="atLeast"/>
        </w:trPr>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rs72928038</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6</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A</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G</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90976768</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0.179985</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0.0239981</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0.071486</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6.38E-14</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56.24953121</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0.0145</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0.072370178</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0.8412</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TRUE</w:t>
            </w:r>
          </w:p>
        </w:tc>
      </w:tr>
      <w:tr>
        <w:tblPrEx>
          <w:tblCellMar>
            <w:top w:w="0" w:type="dxa"/>
            <w:left w:w="108" w:type="dxa"/>
            <w:bottom w:w="0" w:type="dxa"/>
            <w:right w:w="108" w:type="dxa"/>
          </w:tblCellMar>
        </w:tblPrEx>
        <w:trPr>
          <w:trHeight w:val="23" w:hRule="atLeast"/>
        </w:trPr>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rs8056814</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16</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A</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G</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75252327</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0.27801</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0.0310012</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0.180911</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3.03E-19</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80.41995498</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-0.0095</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0.082931561</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0.9088</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TRUE</w:t>
            </w:r>
          </w:p>
        </w:tc>
      </w:tr>
      <w:tr>
        <w:tblPrEx>
          <w:tblCellMar>
            <w:top w:w="0" w:type="dxa"/>
            <w:left w:w="108" w:type="dxa"/>
            <w:bottom w:w="0" w:type="dxa"/>
            <w:right w:w="108" w:type="dxa"/>
          </w:tblCellMar>
        </w:tblPrEx>
        <w:trPr>
          <w:trHeight w:val="23" w:hRule="atLeast"/>
        </w:trPr>
        <w:tc>
          <w:tcPr>
            <w:tcW w:w="1080" w:type="dxa"/>
            <w:tcBorders>
              <w:top w:val="nil"/>
              <w:left w:val="nil"/>
              <w:bottom w:val="single" w:color="000000" w:sz="4" w:space="0"/>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rs9585056</w:t>
            </w:r>
          </w:p>
        </w:tc>
        <w:tc>
          <w:tcPr>
            <w:tcW w:w="1080" w:type="dxa"/>
            <w:tcBorders>
              <w:top w:val="nil"/>
              <w:left w:val="nil"/>
              <w:bottom w:val="single" w:color="000000" w:sz="4" w:space="0"/>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13</w:t>
            </w:r>
          </w:p>
        </w:tc>
        <w:tc>
          <w:tcPr>
            <w:tcW w:w="1080" w:type="dxa"/>
            <w:tcBorders>
              <w:top w:val="nil"/>
              <w:left w:val="nil"/>
              <w:bottom w:val="single" w:color="000000" w:sz="4" w:space="0"/>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T</w:t>
            </w:r>
          </w:p>
        </w:tc>
        <w:tc>
          <w:tcPr>
            <w:tcW w:w="1080" w:type="dxa"/>
            <w:tcBorders>
              <w:top w:val="nil"/>
              <w:left w:val="nil"/>
              <w:bottom w:val="single" w:color="000000" w:sz="4" w:space="0"/>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C</w:t>
            </w:r>
          </w:p>
        </w:tc>
        <w:tc>
          <w:tcPr>
            <w:tcW w:w="1080" w:type="dxa"/>
            <w:tcBorders>
              <w:top w:val="nil"/>
              <w:left w:val="nil"/>
              <w:bottom w:val="single" w:color="000000" w:sz="4" w:space="0"/>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100081766</w:t>
            </w:r>
          </w:p>
        </w:tc>
        <w:tc>
          <w:tcPr>
            <w:tcW w:w="1080" w:type="dxa"/>
            <w:tcBorders>
              <w:top w:val="nil"/>
              <w:left w:val="nil"/>
              <w:bottom w:val="single" w:color="000000" w:sz="4" w:space="0"/>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-0.116004</w:t>
            </w:r>
          </w:p>
        </w:tc>
        <w:tc>
          <w:tcPr>
            <w:tcW w:w="1080" w:type="dxa"/>
            <w:tcBorders>
              <w:top w:val="nil"/>
              <w:left w:val="nil"/>
              <w:bottom w:val="single" w:color="000000" w:sz="4" w:space="0"/>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0.0210007</w:t>
            </w:r>
          </w:p>
        </w:tc>
        <w:tc>
          <w:tcPr>
            <w:tcW w:w="1080" w:type="dxa"/>
            <w:tcBorders>
              <w:top w:val="nil"/>
              <w:left w:val="nil"/>
              <w:bottom w:val="single" w:color="000000" w:sz="4" w:space="0"/>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0.717652</w:t>
            </w:r>
          </w:p>
        </w:tc>
        <w:tc>
          <w:tcPr>
            <w:tcW w:w="1080" w:type="dxa"/>
            <w:tcBorders>
              <w:top w:val="nil"/>
              <w:left w:val="nil"/>
              <w:bottom w:val="single" w:color="000000" w:sz="4" w:space="0"/>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3.32E-08</w:t>
            </w:r>
          </w:p>
        </w:tc>
        <w:tc>
          <w:tcPr>
            <w:tcW w:w="1080" w:type="dxa"/>
            <w:tcBorders>
              <w:top w:val="nil"/>
              <w:left w:val="nil"/>
              <w:bottom w:val="single" w:color="000000" w:sz="4" w:space="0"/>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30.5125418</w:t>
            </w:r>
          </w:p>
        </w:tc>
        <w:tc>
          <w:tcPr>
            <w:tcW w:w="1080" w:type="dxa"/>
            <w:tcBorders>
              <w:top w:val="nil"/>
              <w:left w:val="nil"/>
              <w:bottom w:val="single" w:color="000000" w:sz="4" w:space="0"/>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0.0037</w:t>
            </w:r>
          </w:p>
        </w:tc>
        <w:tc>
          <w:tcPr>
            <w:tcW w:w="1080" w:type="dxa"/>
            <w:tcBorders>
              <w:top w:val="nil"/>
              <w:left w:val="nil"/>
              <w:bottom w:val="single" w:color="000000" w:sz="4" w:space="0"/>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0.05229986</w:t>
            </w:r>
          </w:p>
        </w:tc>
        <w:tc>
          <w:tcPr>
            <w:tcW w:w="1080" w:type="dxa"/>
            <w:tcBorders>
              <w:top w:val="nil"/>
              <w:left w:val="nil"/>
              <w:bottom w:val="single" w:color="000000" w:sz="4" w:space="0"/>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0.9436</w:t>
            </w:r>
          </w:p>
        </w:tc>
        <w:tc>
          <w:tcPr>
            <w:tcW w:w="1080" w:type="dxa"/>
            <w:tcBorders>
              <w:top w:val="nil"/>
              <w:left w:val="nil"/>
              <w:bottom w:val="single" w:color="000000" w:sz="4" w:space="0"/>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TRUE</w:t>
            </w:r>
          </w:p>
        </w:tc>
      </w:tr>
    </w:tbl>
    <w:p>
      <w:pPr>
        <w:rPr>
          <w:rFonts w:ascii="Times New Roman" w:hAnsi="Times New Roman"/>
          <w:sz w:val="20"/>
          <w:szCs w:val="20"/>
        </w:rPr>
      </w:pPr>
      <w:r>
        <w:rPr>
          <w:rFonts w:hint="eastAsia" w:ascii="Times New Roman" w:hAnsi="Times New Roman"/>
          <w:sz w:val="20"/>
          <w:szCs w:val="20"/>
        </w:rPr>
        <w:t>rs3184504 were removed for its correlation with smoking.</w:t>
      </w:r>
    </w:p>
    <w:p>
      <w:pPr>
        <w:rPr>
          <w:rFonts w:ascii="Times New Roman" w:hAnsi="Times New Roman"/>
          <w:sz w:val="20"/>
          <w:szCs w:val="20"/>
        </w:rPr>
        <w:sectPr>
          <w:pgSz w:w="16838" w:h="11906" w:orient="landscape"/>
          <w:pgMar w:top="1800" w:right="1440" w:bottom="1800" w:left="1440" w:header="851" w:footer="992" w:gutter="0"/>
          <w:cols w:space="425" w:num="1"/>
          <w:docGrid w:type="lines" w:linePitch="312" w:charSpace="0"/>
        </w:sectPr>
      </w:pPr>
      <w:r>
        <w:rPr>
          <w:rFonts w:hint="eastAsia" w:ascii="Times New Roman" w:hAnsi="Times New Roman"/>
          <w:sz w:val="20"/>
          <w:szCs w:val="20"/>
        </w:rPr>
        <w:t>SNPs, single-nucleotide polymorphisms. T1D, type 1 diabetes. IPF, idiopathic pulmonary fibrosis. Chr, chromosome. EA, effect allele. OA, other allele. SE, standard error. EAF, effect allele frequency.</w:t>
      </w:r>
    </w:p>
    <w:p>
      <w:pPr>
        <w:rPr>
          <w:rFonts w:ascii="Times New Roman" w:hAnsi="Times New Roman"/>
          <w:color w:val="000000"/>
          <w:sz w:val="20"/>
          <w:szCs w:val="20"/>
        </w:rPr>
      </w:pPr>
      <w:r>
        <w:rPr>
          <w:rFonts w:ascii="Times New Roman" w:hAnsi="Times New Roman"/>
          <w:b/>
          <w:bCs/>
          <w:sz w:val="20"/>
          <w:szCs w:val="20"/>
        </w:rPr>
        <w:t>Supplementary</w:t>
      </w:r>
      <w:r>
        <w:rPr>
          <w:rFonts w:ascii="Times New Roman" w:hAnsi="Times New Roman"/>
          <w:b/>
          <w:bCs/>
          <w:color w:val="000000"/>
          <w:sz w:val="20"/>
          <w:szCs w:val="20"/>
        </w:rPr>
        <w:t xml:space="preserve"> Table 2. </w:t>
      </w:r>
      <w:r>
        <w:rPr>
          <w:rFonts w:hint="eastAsia" w:ascii="Times New Roman" w:hAnsi="Times New Roman"/>
          <w:color w:val="000000"/>
          <w:sz w:val="20"/>
          <w:szCs w:val="20"/>
        </w:rPr>
        <w:t>SNPs used as valid instrumental variables for T2D on IPF.</w:t>
      </w:r>
    </w:p>
    <w:tbl>
      <w:tblPr>
        <w:tblStyle w:val="5"/>
        <w:tblW w:w="15120" w:type="dxa"/>
        <w:tblInd w:w="96" w:type="dxa"/>
        <w:tblLayout w:type="autofit"/>
        <w:tblCellMar>
          <w:top w:w="0" w:type="dxa"/>
          <w:left w:w="108" w:type="dxa"/>
          <w:bottom w:w="0" w:type="dxa"/>
          <w:right w:w="108" w:type="dxa"/>
        </w:tblCellMar>
      </w:tblPr>
      <w:tblGrid>
        <w:gridCol w:w="1080"/>
        <w:gridCol w:w="1080"/>
        <w:gridCol w:w="1080"/>
        <w:gridCol w:w="1080"/>
        <w:gridCol w:w="1080"/>
        <w:gridCol w:w="1080"/>
        <w:gridCol w:w="1080"/>
        <w:gridCol w:w="1080"/>
        <w:gridCol w:w="1080"/>
        <w:gridCol w:w="1080"/>
        <w:gridCol w:w="1080"/>
        <w:gridCol w:w="1080"/>
        <w:gridCol w:w="1080"/>
        <w:gridCol w:w="1080"/>
      </w:tblGrid>
      <w:tr>
        <w:tblPrEx>
          <w:tblCellMar>
            <w:top w:w="0" w:type="dxa"/>
            <w:left w:w="108" w:type="dxa"/>
            <w:bottom w:w="0" w:type="dxa"/>
            <w:right w:w="108" w:type="dxa"/>
          </w:tblCellMar>
        </w:tblPrEx>
        <w:trPr>
          <w:trHeight w:val="23" w:hRule="atLeast"/>
        </w:trPr>
        <w:tc>
          <w:tcPr>
            <w:tcW w:w="1080" w:type="dxa"/>
            <w:vMerge w:val="restart"/>
            <w:tcBorders>
              <w:top w:val="single" w:color="000000" w:sz="4" w:space="0"/>
              <w:left w:val="nil"/>
              <w:bottom w:val="single" w:color="000000" w:sz="4" w:space="0"/>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SNP</w:t>
            </w:r>
          </w:p>
        </w:tc>
        <w:tc>
          <w:tcPr>
            <w:tcW w:w="1080" w:type="dxa"/>
            <w:vMerge w:val="restart"/>
            <w:tcBorders>
              <w:top w:val="single" w:color="000000" w:sz="4" w:space="0"/>
              <w:left w:val="nil"/>
              <w:bottom w:val="single" w:color="000000" w:sz="4" w:space="0"/>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Chr</w:t>
            </w:r>
          </w:p>
        </w:tc>
        <w:tc>
          <w:tcPr>
            <w:tcW w:w="1080" w:type="dxa"/>
            <w:vMerge w:val="restart"/>
            <w:tcBorders>
              <w:top w:val="single" w:color="000000" w:sz="4" w:space="0"/>
              <w:left w:val="nil"/>
              <w:bottom w:val="single" w:color="000000" w:sz="4" w:space="0"/>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EA</w:t>
            </w:r>
          </w:p>
        </w:tc>
        <w:tc>
          <w:tcPr>
            <w:tcW w:w="1080" w:type="dxa"/>
            <w:vMerge w:val="restart"/>
            <w:tcBorders>
              <w:top w:val="single" w:color="000000" w:sz="4" w:space="0"/>
              <w:left w:val="nil"/>
              <w:bottom w:val="single" w:color="000000" w:sz="4" w:space="0"/>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OA</w:t>
            </w:r>
          </w:p>
        </w:tc>
        <w:tc>
          <w:tcPr>
            <w:tcW w:w="1080" w:type="dxa"/>
            <w:vMerge w:val="restart"/>
            <w:tcBorders>
              <w:top w:val="single" w:color="000000" w:sz="4" w:space="0"/>
              <w:left w:val="nil"/>
              <w:bottom w:val="single" w:color="000000" w:sz="4" w:space="0"/>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Position</w:t>
            </w:r>
          </w:p>
        </w:tc>
        <w:tc>
          <w:tcPr>
            <w:tcW w:w="5400" w:type="dxa"/>
            <w:gridSpan w:val="5"/>
            <w:tcBorders>
              <w:top w:val="single" w:color="000000" w:sz="4" w:space="0"/>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T2D</w:t>
            </w:r>
          </w:p>
        </w:tc>
        <w:tc>
          <w:tcPr>
            <w:tcW w:w="3240" w:type="dxa"/>
            <w:gridSpan w:val="3"/>
            <w:tcBorders>
              <w:top w:val="single" w:color="000000" w:sz="4" w:space="0"/>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IPF</w:t>
            </w:r>
          </w:p>
        </w:tc>
        <w:tc>
          <w:tcPr>
            <w:tcW w:w="1080" w:type="dxa"/>
            <w:vMerge w:val="restart"/>
            <w:tcBorders>
              <w:top w:val="single" w:color="000000" w:sz="4" w:space="0"/>
              <w:left w:val="nil"/>
              <w:bottom w:val="single" w:color="000000" w:sz="4" w:space="0"/>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Keep</w:t>
            </w:r>
          </w:p>
        </w:tc>
      </w:tr>
      <w:tr>
        <w:tblPrEx>
          <w:tblCellMar>
            <w:top w:w="0" w:type="dxa"/>
            <w:left w:w="108" w:type="dxa"/>
            <w:bottom w:w="0" w:type="dxa"/>
            <w:right w:w="108" w:type="dxa"/>
          </w:tblCellMar>
        </w:tblPrEx>
        <w:trPr>
          <w:trHeight w:val="23" w:hRule="atLeast"/>
        </w:trPr>
        <w:tc>
          <w:tcPr>
            <w:tcW w:w="1080" w:type="dxa"/>
            <w:vMerge w:val="continue"/>
            <w:tcBorders>
              <w:top w:val="single" w:color="000000" w:sz="4" w:space="0"/>
              <w:left w:val="nil"/>
              <w:bottom w:val="single" w:color="000000" w:sz="4" w:space="0"/>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p>
        </w:tc>
        <w:tc>
          <w:tcPr>
            <w:tcW w:w="1080" w:type="dxa"/>
            <w:vMerge w:val="continue"/>
            <w:tcBorders>
              <w:top w:val="single" w:color="000000" w:sz="4" w:space="0"/>
              <w:left w:val="nil"/>
              <w:bottom w:val="single" w:color="000000" w:sz="4" w:space="0"/>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p>
        </w:tc>
        <w:tc>
          <w:tcPr>
            <w:tcW w:w="1080" w:type="dxa"/>
            <w:vMerge w:val="continue"/>
            <w:tcBorders>
              <w:top w:val="single" w:color="000000" w:sz="4" w:space="0"/>
              <w:left w:val="nil"/>
              <w:bottom w:val="single" w:color="000000" w:sz="4" w:space="0"/>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p>
        </w:tc>
        <w:tc>
          <w:tcPr>
            <w:tcW w:w="1080" w:type="dxa"/>
            <w:vMerge w:val="continue"/>
            <w:tcBorders>
              <w:top w:val="single" w:color="000000" w:sz="4" w:space="0"/>
              <w:left w:val="nil"/>
              <w:bottom w:val="single" w:color="000000" w:sz="4" w:space="0"/>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p>
        </w:tc>
        <w:tc>
          <w:tcPr>
            <w:tcW w:w="1080" w:type="dxa"/>
            <w:vMerge w:val="continue"/>
            <w:tcBorders>
              <w:top w:val="single" w:color="000000" w:sz="4" w:space="0"/>
              <w:left w:val="nil"/>
              <w:bottom w:val="single" w:color="000000" w:sz="4" w:space="0"/>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p>
        </w:tc>
        <w:tc>
          <w:tcPr>
            <w:tcW w:w="1080" w:type="dxa"/>
            <w:tcBorders>
              <w:top w:val="nil"/>
              <w:left w:val="nil"/>
              <w:bottom w:val="single" w:color="000000" w:sz="4" w:space="0"/>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Beta</w:t>
            </w:r>
          </w:p>
        </w:tc>
        <w:tc>
          <w:tcPr>
            <w:tcW w:w="1080" w:type="dxa"/>
            <w:tcBorders>
              <w:top w:val="nil"/>
              <w:left w:val="nil"/>
              <w:bottom w:val="single" w:color="000000" w:sz="4" w:space="0"/>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SE</w:t>
            </w:r>
          </w:p>
        </w:tc>
        <w:tc>
          <w:tcPr>
            <w:tcW w:w="1080" w:type="dxa"/>
            <w:tcBorders>
              <w:top w:val="nil"/>
              <w:left w:val="nil"/>
              <w:bottom w:val="single" w:color="000000" w:sz="4" w:space="0"/>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EAF</w:t>
            </w:r>
          </w:p>
        </w:tc>
        <w:tc>
          <w:tcPr>
            <w:tcW w:w="1080" w:type="dxa"/>
            <w:tcBorders>
              <w:top w:val="nil"/>
              <w:left w:val="nil"/>
              <w:bottom w:val="single" w:color="000000" w:sz="4" w:space="0"/>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P</w:t>
            </w:r>
          </w:p>
        </w:tc>
        <w:tc>
          <w:tcPr>
            <w:tcW w:w="1080" w:type="dxa"/>
            <w:tcBorders>
              <w:top w:val="nil"/>
              <w:left w:val="nil"/>
              <w:bottom w:val="single" w:color="000000" w:sz="4" w:space="0"/>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F</w:t>
            </w:r>
          </w:p>
        </w:tc>
        <w:tc>
          <w:tcPr>
            <w:tcW w:w="1080" w:type="dxa"/>
            <w:tcBorders>
              <w:top w:val="nil"/>
              <w:left w:val="nil"/>
              <w:bottom w:val="single" w:color="000000" w:sz="4" w:space="0"/>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Beta</w:t>
            </w:r>
          </w:p>
        </w:tc>
        <w:tc>
          <w:tcPr>
            <w:tcW w:w="1080" w:type="dxa"/>
            <w:tcBorders>
              <w:top w:val="nil"/>
              <w:left w:val="nil"/>
              <w:bottom w:val="single" w:color="000000" w:sz="4" w:space="0"/>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SE</w:t>
            </w:r>
          </w:p>
        </w:tc>
        <w:tc>
          <w:tcPr>
            <w:tcW w:w="1080" w:type="dxa"/>
            <w:tcBorders>
              <w:top w:val="nil"/>
              <w:left w:val="nil"/>
              <w:bottom w:val="single" w:color="000000" w:sz="4" w:space="0"/>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P</w:t>
            </w:r>
          </w:p>
        </w:tc>
        <w:tc>
          <w:tcPr>
            <w:tcW w:w="1080" w:type="dxa"/>
            <w:vMerge w:val="continue"/>
            <w:tcBorders>
              <w:top w:val="single" w:color="000000" w:sz="4" w:space="0"/>
              <w:left w:val="nil"/>
              <w:bottom w:val="single" w:color="000000" w:sz="4" w:space="0"/>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p>
        </w:tc>
      </w:tr>
      <w:tr>
        <w:tblPrEx>
          <w:tblCellMar>
            <w:top w:w="0" w:type="dxa"/>
            <w:left w:w="108" w:type="dxa"/>
            <w:bottom w:w="0" w:type="dxa"/>
            <w:right w:w="108" w:type="dxa"/>
          </w:tblCellMar>
        </w:tblPrEx>
        <w:trPr>
          <w:trHeight w:val="23" w:hRule="atLeast"/>
        </w:trPr>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rs10077431</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5</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A</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C</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112927686</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-0.0487</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0.0089</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0.214668</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4.75E-08</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29.94180028</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0.0688</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0.059934289</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0.251</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TRUE</w:t>
            </w:r>
          </w:p>
        </w:tc>
      </w:tr>
      <w:tr>
        <w:tblPrEx>
          <w:tblCellMar>
            <w:top w:w="0" w:type="dxa"/>
            <w:left w:w="108" w:type="dxa"/>
            <w:bottom w:w="0" w:type="dxa"/>
            <w:right w:w="108" w:type="dxa"/>
          </w:tblCellMar>
        </w:tblPrEx>
        <w:trPr>
          <w:trHeight w:val="23" w:hRule="atLeast"/>
        </w:trPr>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rs10087241</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8</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A</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G</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30863722</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-0.0475</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0.008</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0.594893</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2.80E-09</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35.25390625</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0.001</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0.045589748</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0.9825</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TRUE</w:t>
            </w:r>
          </w:p>
        </w:tc>
      </w:tr>
      <w:tr>
        <w:tblPrEx>
          <w:tblCellMar>
            <w:top w:w="0" w:type="dxa"/>
            <w:left w:w="108" w:type="dxa"/>
            <w:bottom w:w="0" w:type="dxa"/>
            <w:right w:w="108" w:type="dxa"/>
          </w:tblCellMar>
        </w:tblPrEx>
        <w:trPr>
          <w:trHeight w:val="23" w:hRule="atLeast"/>
        </w:trPr>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rs10100265</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8</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C</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A</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10633159</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-0.0491</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0.0079</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0.61049</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6.29E-10</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38.62858516</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0.0042</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0.061895476</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0.9459</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TRUE</w:t>
            </w:r>
          </w:p>
        </w:tc>
      </w:tr>
      <w:tr>
        <w:tblPrEx>
          <w:tblCellMar>
            <w:top w:w="0" w:type="dxa"/>
            <w:left w:w="108" w:type="dxa"/>
            <w:bottom w:w="0" w:type="dxa"/>
            <w:right w:w="108" w:type="dxa"/>
          </w:tblCellMar>
        </w:tblPrEx>
        <w:trPr>
          <w:trHeight w:val="23" w:hRule="atLeast"/>
        </w:trPr>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rs10114341</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9</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C</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T</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96919182</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-0.0409</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0.0072</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0.440754</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1.15E-08</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32.26871142</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0.0302</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0.045925096</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0.5108</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TRUE</w:t>
            </w:r>
          </w:p>
        </w:tc>
      </w:tr>
      <w:tr>
        <w:tblPrEx>
          <w:tblCellMar>
            <w:top w:w="0" w:type="dxa"/>
            <w:left w:w="108" w:type="dxa"/>
            <w:bottom w:w="0" w:type="dxa"/>
            <w:right w:w="108" w:type="dxa"/>
          </w:tblCellMar>
        </w:tblPrEx>
        <w:trPr>
          <w:trHeight w:val="23" w:hRule="atLeast"/>
        </w:trPr>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rs10401969</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19</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C</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T</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19407718</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0.0921</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0.0133</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0.0765858</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4.13E-12</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47.95302165</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0.1178</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0.094302018</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0.2116</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TRUE</w:t>
            </w:r>
          </w:p>
        </w:tc>
      </w:tr>
      <w:tr>
        <w:tblPrEx>
          <w:tblCellMar>
            <w:top w:w="0" w:type="dxa"/>
            <w:left w:w="108" w:type="dxa"/>
            <w:bottom w:w="0" w:type="dxa"/>
            <w:right w:w="108" w:type="dxa"/>
          </w:tblCellMar>
        </w:tblPrEx>
        <w:trPr>
          <w:trHeight w:val="23" w:hRule="atLeast"/>
        </w:trPr>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rs1050226</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6</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G</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A</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7281654</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-0.0491</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0.0074</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0.406792</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3.34E-11</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44.02501826</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0.0561</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0.047057592</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0.2332</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TRUE</w:t>
            </w:r>
          </w:p>
        </w:tc>
      </w:tr>
      <w:tr>
        <w:tblPrEx>
          <w:tblCellMar>
            <w:top w:w="0" w:type="dxa"/>
            <w:left w:w="108" w:type="dxa"/>
            <w:bottom w:w="0" w:type="dxa"/>
            <w:right w:w="108" w:type="dxa"/>
          </w:tblCellMar>
        </w:tblPrEx>
        <w:trPr>
          <w:trHeight w:val="23" w:hRule="atLeast"/>
        </w:trPr>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rs1061813</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5</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A</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G</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14847331</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-0.0429</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0.0073</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0.537119</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3.37E-09</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34.5357478</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0.094</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0.047175461</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0.0463095</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TRUE</w:t>
            </w:r>
          </w:p>
        </w:tc>
      </w:tr>
      <w:tr>
        <w:tblPrEx>
          <w:tblCellMar>
            <w:top w:w="0" w:type="dxa"/>
            <w:left w:w="108" w:type="dxa"/>
            <w:bottom w:w="0" w:type="dxa"/>
            <w:right w:w="108" w:type="dxa"/>
          </w:tblCellMar>
        </w:tblPrEx>
        <w:trPr>
          <w:trHeight w:val="23" w:hRule="atLeast"/>
        </w:trPr>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rs1063355</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6</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G</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T</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32627714</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0.0709</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0.0079</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0.602436</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3.72E-19</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80.54494472</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0.0032</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0.048505318</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0.9474</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TRUE</w:t>
            </w:r>
          </w:p>
        </w:tc>
      </w:tr>
      <w:tr>
        <w:tblPrEx>
          <w:tblCellMar>
            <w:top w:w="0" w:type="dxa"/>
            <w:left w:w="108" w:type="dxa"/>
            <w:bottom w:w="0" w:type="dxa"/>
            <w:right w:w="108" w:type="dxa"/>
          </w:tblCellMar>
        </w:tblPrEx>
        <w:trPr>
          <w:trHeight w:val="23" w:hRule="atLeast"/>
        </w:trPr>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rs10740322</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10</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A</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G</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71485458</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0.0477</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0.0085</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0.687104</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2.11E-08</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31.49190311</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-0.0453</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0.052047024</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0.3841</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TRUE</w:t>
            </w:r>
          </w:p>
        </w:tc>
      </w:tr>
      <w:tr>
        <w:tblPrEx>
          <w:tblCellMar>
            <w:top w:w="0" w:type="dxa"/>
            <w:left w:w="108" w:type="dxa"/>
            <w:bottom w:w="0" w:type="dxa"/>
            <w:right w:w="108" w:type="dxa"/>
          </w:tblCellMar>
        </w:tblPrEx>
        <w:trPr>
          <w:trHeight w:val="23" w:hRule="atLeast"/>
        </w:trPr>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rs10811661</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9</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C</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T</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22134094</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-0.1569</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0.0098</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0.173605</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4.13E-58</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256.3266347</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0.0245</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0.065039523</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0.706401</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TRUE</w:t>
            </w:r>
          </w:p>
        </w:tc>
      </w:tr>
      <w:tr>
        <w:tblPrEx>
          <w:tblCellMar>
            <w:top w:w="0" w:type="dxa"/>
            <w:left w:w="108" w:type="dxa"/>
            <w:bottom w:w="0" w:type="dxa"/>
            <w:right w:w="108" w:type="dxa"/>
          </w:tblCellMar>
        </w:tblPrEx>
        <w:trPr>
          <w:trHeight w:val="23" w:hRule="atLeast"/>
        </w:trPr>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rs10830963</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11</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G</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C</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92708710</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0.0909</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0.008</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0.275768</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5.85E-30</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129.1064063</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-0.0394</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0.047638313</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0.4082</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TRUE</w:t>
            </w:r>
          </w:p>
        </w:tc>
      </w:tr>
      <w:tr>
        <w:tblPrEx>
          <w:tblCellMar>
            <w:top w:w="0" w:type="dxa"/>
            <w:left w:w="108" w:type="dxa"/>
            <w:bottom w:w="0" w:type="dxa"/>
            <w:right w:w="108" w:type="dxa"/>
          </w:tblCellMar>
        </w:tblPrEx>
        <w:trPr>
          <w:trHeight w:val="23" w:hRule="atLeast"/>
        </w:trPr>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rs10842994</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12</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T</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C</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27965150</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-0.0755</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0.0091</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0.197025</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1.02E-16</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68.83528559</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0.045</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0.059926516</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0.452701</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TRUE</w:t>
            </w:r>
          </w:p>
        </w:tc>
      </w:tr>
      <w:tr>
        <w:tblPrEx>
          <w:tblCellMar>
            <w:top w:w="0" w:type="dxa"/>
            <w:left w:w="108" w:type="dxa"/>
            <w:bottom w:w="0" w:type="dxa"/>
            <w:right w:w="108" w:type="dxa"/>
          </w:tblCellMar>
        </w:tblPrEx>
        <w:trPr>
          <w:trHeight w:val="23" w:hRule="atLeast"/>
        </w:trPr>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rs10974438</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9</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C</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A</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4291928</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0.0591</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0.0075</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0.351215</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3.01E-15</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62.0944</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-0.0211</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0.046974369</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0.653301</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TRUE</w:t>
            </w:r>
          </w:p>
        </w:tc>
      </w:tr>
      <w:tr>
        <w:tblPrEx>
          <w:tblCellMar>
            <w:top w:w="0" w:type="dxa"/>
            <w:left w:w="108" w:type="dxa"/>
            <w:bottom w:w="0" w:type="dxa"/>
            <w:right w:w="108" w:type="dxa"/>
          </w:tblCellMar>
        </w:tblPrEx>
        <w:trPr>
          <w:trHeight w:val="23" w:hRule="atLeast"/>
        </w:trPr>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rs11098676</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4</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C</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T</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123833154</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0.054</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0.0096</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0.787639</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2.03E-08</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31.640625</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-0.0122</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0.059226646</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0.8368</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TRUE</w:t>
            </w:r>
          </w:p>
        </w:tc>
      </w:tr>
      <w:tr>
        <w:tblPrEx>
          <w:tblCellMar>
            <w:top w:w="0" w:type="dxa"/>
            <w:left w:w="108" w:type="dxa"/>
            <w:bottom w:w="0" w:type="dxa"/>
            <w:right w:w="108" w:type="dxa"/>
          </w:tblCellMar>
        </w:tblPrEx>
        <w:trPr>
          <w:trHeight w:val="23" w:hRule="atLeast"/>
        </w:trPr>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rs11107116</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12</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T</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G</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93978504</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0.0467</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0.0085</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0.219714</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3.75E-08</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30.18532872</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-0.0216</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0.052822355</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0.6826</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TRUE</w:t>
            </w:r>
          </w:p>
        </w:tc>
      </w:tr>
      <w:tr>
        <w:tblPrEx>
          <w:tblCellMar>
            <w:top w:w="0" w:type="dxa"/>
            <w:left w:w="108" w:type="dxa"/>
            <w:bottom w:w="0" w:type="dxa"/>
            <w:right w:w="108" w:type="dxa"/>
          </w:tblCellMar>
        </w:tblPrEx>
        <w:trPr>
          <w:trHeight w:val="23" w:hRule="atLeast"/>
        </w:trPr>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rs1111875</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10</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T</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C</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94462882</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-0.0948</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0.0072</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0.408262</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3.61E-39</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173.3611111</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-0.0092</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0.045626397</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0.8402</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TRUE</w:t>
            </w:r>
          </w:p>
        </w:tc>
      </w:tr>
      <w:tr>
        <w:tblPrEx>
          <w:tblCellMar>
            <w:top w:w="0" w:type="dxa"/>
            <w:left w:w="108" w:type="dxa"/>
            <w:bottom w:w="0" w:type="dxa"/>
            <w:right w:w="108" w:type="dxa"/>
          </w:tblCellMar>
        </w:tblPrEx>
        <w:trPr>
          <w:trHeight w:val="23" w:hRule="atLeast"/>
        </w:trPr>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rs11257655</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10</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T</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C</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12307894</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0.0737</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0.0087</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0.206773</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1.97E-17</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71.76231999</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-0.0227</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0.05202512</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0.662599</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TRUE</w:t>
            </w:r>
          </w:p>
        </w:tc>
      </w:tr>
      <w:tr>
        <w:tblPrEx>
          <w:tblCellMar>
            <w:top w:w="0" w:type="dxa"/>
            <w:left w:w="108" w:type="dxa"/>
            <w:bottom w:w="0" w:type="dxa"/>
            <w:right w:w="108" w:type="dxa"/>
          </w:tblCellMar>
        </w:tblPrEx>
        <w:trPr>
          <w:trHeight w:val="23" w:hRule="atLeast"/>
        </w:trPr>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rs1127655</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1</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T</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C</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117530507</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-0.0438</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0.0079</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0.529064</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2.47E-08</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30.7393046</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-0.0043</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0.046234331</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0.9259</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TRUE</w:t>
            </w:r>
          </w:p>
        </w:tc>
      </w:tr>
      <w:tr>
        <w:tblPrEx>
          <w:tblCellMar>
            <w:top w:w="0" w:type="dxa"/>
            <w:left w:w="108" w:type="dxa"/>
            <w:bottom w:w="0" w:type="dxa"/>
            <w:right w:w="108" w:type="dxa"/>
          </w:tblCellMar>
        </w:tblPrEx>
        <w:trPr>
          <w:trHeight w:val="23" w:hRule="atLeast"/>
        </w:trPr>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rs11708067</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3</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G</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A</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123065778</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-0.0965</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0.0086</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0.23899</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5.93E-29</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125.9092753</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-0.0719</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0.060932175</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0.238</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TRUE</w:t>
            </w:r>
          </w:p>
        </w:tc>
      </w:tr>
      <w:tr>
        <w:tblPrEx>
          <w:tblCellMar>
            <w:top w:w="0" w:type="dxa"/>
            <w:left w:w="108" w:type="dxa"/>
            <w:bottom w:w="0" w:type="dxa"/>
            <w:right w:w="108" w:type="dxa"/>
          </w:tblCellMar>
        </w:tblPrEx>
        <w:trPr>
          <w:trHeight w:val="23" w:hRule="atLeast"/>
        </w:trPr>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rs11925227</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3</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A</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G</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170766618</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-0.0534</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0.0095</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0.183439</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2.25E-08</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31.59623269</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0.0004</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0.054093376</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0.9941</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TRUE</w:t>
            </w:r>
          </w:p>
        </w:tc>
      </w:tr>
      <w:tr>
        <w:tblPrEx>
          <w:tblCellMar>
            <w:top w:w="0" w:type="dxa"/>
            <w:left w:w="108" w:type="dxa"/>
            <w:bottom w:w="0" w:type="dxa"/>
            <w:right w:w="108" w:type="dxa"/>
          </w:tblCellMar>
        </w:tblPrEx>
        <w:trPr>
          <w:trHeight w:val="23" w:hRule="atLeast"/>
        </w:trPr>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rs11926707</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3</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C</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T</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46925539</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0.0463</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0.0082</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0.625556</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1.69E-08</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31.88117192</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-0.0767</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0.048288134</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0.1122</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TRUE</w:t>
            </w:r>
          </w:p>
        </w:tc>
      </w:tr>
      <w:tr>
        <w:tblPrEx>
          <w:tblCellMar>
            <w:top w:w="0" w:type="dxa"/>
            <w:left w:w="108" w:type="dxa"/>
            <w:bottom w:w="0" w:type="dxa"/>
            <w:right w:w="108" w:type="dxa"/>
          </w:tblCellMar>
        </w:tblPrEx>
        <w:trPr>
          <w:trHeight w:val="23" w:hRule="atLeast"/>
        </w:trPr>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rs12088739</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1</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G</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A</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51506886</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-0.0884</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0.013</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0.0898481</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9.79E-12</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46.24</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0.0216</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0.096618529</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0.8231</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TRUE</w:t>
            </w:r>
          </w:p>
        </w:tc>
      </w:tr>
      <w:tr>
        <w:tblPrEx>
          <w:tblCellMar>
            <w:top w:w="0" w:type="dxa"/>
            <w:left w:w="108" w:type="dxa"/>
            <w:bottom w:w="0" w:type="dxa"/>
            <w:right w:w="108" w:type="dxa"/>
          </w:tblCellMar>
        </w:tblPrEx>
        <w:trPr>
          <w:trHeight w:val="23" w:hRule="atLeast"/>
        </w:trPr>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rs12299509</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12</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G</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A</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4406281</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0.0467</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0.0073</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0.478622</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2.09E-10</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40.92493901</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0.0013</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0.047793642</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0.9783</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TRUE</w:t>
            </w:r>
          </w:p>
        </w:tc>
      </w:tr>
      <w:tr>
        <w:tblPrEx>
          <w:tblCellMar>
            <w:top w:w="0" w:type="dxa"/>
            <w:left w:w="108" w:type="dxa"/>
            <w:bottom w:w="0" w:type="dxa"/>
            <w:right w:w="108" w:type="dxa"/>
          </w:tblCellMar>
        </w:tblPrEx>
        <w:trPr>
          <w:trHeight w:val="23" w:hRule="atLeast"/>
        </w:trPr>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rs12617659</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2</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T</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C</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121309759</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-0.0685</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0.0103</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0.147238</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2.83E-11</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44.22895655</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0.017</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0.064210558</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0.791199</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TRUE</w:t>
            </w:r>
          </w:p>
        </w:tc>
      </w:tr>
      <w:tr>
        <w:tblPrEx>
          <w:tblCellMar>
            <w:top w:w="0" w:type="dxa"/>
            <w:left w:w="108" w:type="dxa"/>
            <w:bottom w:w="0" w:type="dxa"/>
            <w:right w:w="108" w:type="dxa"/>
          </w:tblCellMar>
        </w:tblPrEx>
        <w:trPr>
          <w:trHeight w:val="23" w:hRule="atLeast"/>
        </w:trPr>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rs12910825</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15</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G</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A</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91511260</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0.0517</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0.0074</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0.360391</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2.16E-12</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48.81099343</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-0.0506</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0.047140743</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0.2831</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TRUE</w:t>
            </w:r>
          </w:p>
        </w:tc>
      </w:tr>
      <w:tr>
        <w:tblPrEx>
          <w:tblCellMar>
            <w:top w:w="0" w:type="dxa"/>
            <w:left w:w="108" w:type="dxa"/>
            <w:bottom w:w="0" w:type="dxa"/>
            <w:right w:w="108" w:type="dxa"/>
          </w:tblCellMar>
        </w:tblPrEx>
        <w:trPr>
          <w:trHeight w:val="23" w:hRule="atLeast"/>
        </w:trPr>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rs12945601</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17</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C</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T</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17653411</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-0.048</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0.008</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0.613603</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1.72E-09</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36</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-0.0316</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0.045871688</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0.4909</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TRUE</w:t>
            </w:r>
          </w:p>
        </w:tc>
      </w:tr>
      <w:tr>
        <w:tblPrEx>
          <w:tblCellMar>
            <w:top w:w="0" w:type="dxa"/>
            <w:left w:w="108" w:type="dxa"/>
            <w:bottom w:w="0" w:type="dxa"/>
            <w:right w:w="108" w:type="dxa"/>
          </w:tblCellMar>
        </w:tblPrEx>
        <w:trPr>
          <w:trHeight w:val="23" w:hRule="atLeast"/>
        </w:trPr>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rs12970134</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18</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A</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G</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57884750</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0.0555</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0.008</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0.26512</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5.31E-12</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48.12890625</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-0.0619</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0.057752128</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0.2838</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TRUE</w:t>
            </w:r>
          </w:p>
        </w:tc>
      </w:tr>
      <w:tr>
        <w:tblPrEx>
          <w:tblCellMar>
            <w:top w:w="0" w:type="dxa"/>
            <w:left w:w="108" w:type="dxa"/>
            <w:bottom w:w="0" w:type="dxa"/>
            <w:right w:w="108" w:type="dxa"/>
          </w:tblCellMar>
        </w:tblPrEx>
        <w:trPr>
          <w:trHeight w:val="23" w:hRule="atLeast"/>
        </w:trPr>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rs13234269</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7</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A</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T</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130429186</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-0.0583</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0.0078</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0.492515</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6.98E-14</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55.86604208</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0.0045</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0.045317175</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0.9209</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FALSE</w:t>
            </w:r>
          </w:p>
        </w:tc>
      </w:tr>
      <w:tr>
        <w:tblPrEx>
          <w:tblCellMar>
            <w:top w:w="0" w:type="dxa"/>
            <w:left w:w="108" w:type="dxa"/>
            <w:bottom w:w="0" w:type="dxa"/>
            <w:right w:w="108" w:type="dxa"/>
          </w:tblCellMar>
        </w:tblPrEx>
        <w:trPr>
          <w:trHeight w:val="23" w:hRule="atLeast"/>
        </w:trPr>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rs13239186</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7</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T</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C</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117510621</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0.0539</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0.0085</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0.302029</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2.70E-10</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40.21051903</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0.0411</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0.047530588</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0.3872</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TRUE</w:t>
            </w:r>
          </w:p>
        </w:tc>
      </w:tr>
      <w:tr>
        <w:tblPrEx>
          <w:tblCellMar>
            <w:top w:w="0" w:type="dxa"/>
            <w:left w:w="108" w:type="dxa"/>
            <w:bottom w:w="0" w:type="dxa"/>
            <w:right w:w="108" w:type="dxa"/>
          </w:tblCellMar>
        </w:tblPrEx>
        <w:trPr>
          <w:trHeight w:val="23" w:hRule="atLeast"/>
        </w:trPr>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rs13330951</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16</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G</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A</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69563842</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-0.0456</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0.0081</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0.488314</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1.54E-08</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31.69272977</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0.001</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0.04777403</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0.9833</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TRUE</w:t>
            </w:r>
          </w:p>
        </w:tc>
      </w:tr>
      <w:tr>
        <w:tblPrEx>
          <w:tblCellMar>
            <w:top w:w="0" w:type="dxa"/>
            <w:left w:w="108" w:type="dxa"/>
            <w:bottom w:w="0" w:type="dxa"/>
            <w:right w:w="108" w:type="dxa"/>
          </w:tblCellMar>
        </w:tblPrEx>
        <w:trPr>
          <w:trHeight w:val="23" w:hRule="atLeast"/>
        </w:trPr>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rs13389219</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2</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T</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C</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165528876</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-0.0722</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0.0074</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0.394368</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2.11E-22</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95.19430241</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0.0338</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0.048084515</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0.4821</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TRUE</w:t>
            </w:r>
          </w:p>
        </w:tc>
      </w:tr>
      <w:tr>
        <w:tblPrEx>
          <w:tblCellMar>
            <w:top w:w="0" w:type="dxa"/>
            <w:left w:w="108" w:type="dxa"/>
            <w:bottom w:w="0" w:type="dxa"/>
            <w:right w:w="108" w:type="dxa"/>
          </w:tblCellMar>
        </w:tblPrEx>
        <w:trPr>
          <w:trHeight w:val="23" w:hRule="atLeast"/>
        </w:trPr>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rs1359790</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13</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A</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G</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80717156</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-0.0796</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0.008</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0.2867</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2.80E-23</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99.0025</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0.0357</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0.050031024</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0.475501</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TRUE</w:t>
            </w:r>
          </w:p>
        </w:tc>
      </w:tr>
      <w:tr>
        <w:tblPrEx>
          <w:tblCellMar>
            <w:top w:w="0" w:type="dxa"/>
            <w:left w:w="108" w:type="dxa"/>
            <w:bottom w:w="0" w:type="dxa"/>
            <w:right w:w="108" w:type="dxa"/>
          </w:tblCellMar>
        </w:tblPrEx>
        <w:trPr>
          <w:trHeight w:val="23" w:hRule="atLeast"/>
        </w:trPr>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rs1496653</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3</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G</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A</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23454790</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-0.0769</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0.0088</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0.204782</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2.57E-18</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76.3637655</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-0.0143</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0.04919564</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0.771299</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TRUE</w:t>
            </w:r>
          </w:p>
        </w:tc>
      </w:tr>
      <w:tr>
        <w:tblPrEx>
          <w:tblCellMar>
            <w:top w:w="0" w:type="dxa"/>
            <w:left w:w="108" w:type="dxa"/>
            <w:bottom w:w="0" w:type="dxa"/>
            <w:right w:w="108" w:type="dxa"/>
          </w:tblCellMar>
        </w:tblPrEx>
        <w:trPr>
          <w:trHeight w:val="23" w:hRule="atLeast"/>
        </w:trPr>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rs1552224</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11</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C</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A</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72433098</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-0.1034</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0.0101</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0.15421</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8.64E-25</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104.8089403</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-0.0685</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0.053379555</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0.1994</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TRUE</w:t>
            </w:r>
          </w:p>
        </w:tc>
      </w:tr>
      <w:tr>
        <w:tblPrEx>
          <w:tblCellMar>
            <w:top w:w="0" w:type="dxa"/>
            <w:left w:w="108" w:type="dxa"/>
            <w:bottom w:w="0" w:type="dxa"/>
            <w:right w:w="108" w:type="dxa"/>
          </w:tblCellMar>
        </w:tblPrEx>
        <w:trPr>
          <w:trHeight w:val="23" w:hRule="atLeast"/>
        </w:trPr>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rs16988333</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22</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G</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A</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30552813</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-0.0745</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0.013</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0.0904035</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9.17E-09</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32.84171598</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-0.0369</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0.082225362</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0.6536</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TRUE</w:t>
            </w:r>
          </w:p>
        </w:tc>
      </w:tr>
      <w:tr>
        <w:tblPrEx>
          <w:tblCellMar>
            <w:top w:w="0" w:type="dxa"/>
            <w:left w:w="108" w:type="dxa"/>
            <w:bottom w:w="0" w:type="dxa"/>
            <w:right w:w="108" w:type="dxa"/>
          </w:tblCellMar>
        </w:tblPrEx>
        <w:trPr>
          <w:trHeight w:val="23" w:hRule="atLeast"/>
        </w:trPr>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rs17086692</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4</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T</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G</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53134293</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-0.0467</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0.0084</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0.313426</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2.48E-08</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30.90830499</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0.0194</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0.049072866</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0.692599</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TRUE</w:t>
            </w:r>
          </w:p>
        </w:tc>
      </w:tr>
      <w:tr>
        <w:tblPrEx>
          <w:tblCellMar>
            <w:top w:w="0" w:type="dxa"/>
            <w:left w:w="108" w:type="dxa"/>
            <w:bottom w:w="0" w:type="dxa"/>
            <w:right w:w="108" w:type="dxa"/>
          </w:tblCellMar>
        </w:tblPrEx>
        <w:trPr>
          <w:trHeight w:val="23" w:hRule="atLeast"/>
        </w:trPr>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rs17168486</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7</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T</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C</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14898282</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0.0742</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0.0094</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0.173603</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2.18E-15</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62.30918968</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-0.1415</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0.056913259</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0.0129101</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TRUE</w:t>
            </w:r>
          </w:p>
        </w:tc>
      </w:tr>
      <w:tr>
        <w:tblPrEx>
          <w:tblCellMar>
            <w:top w:w="0" w:type="dxa"/>
            <w:left w:w="108" w:type="dxa"/>
            <w:bottom w:w="0" w:type="dxa"/>
            <w:right w:w="108" w:type="dxa"/>
          </w:tblCellMar>
        </w:tblPrEx>
        <w:trPr>
          <w:trHeight w:val="23" w:hRule="atLeast"/>
        </w:trPr>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rs17405722</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17</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A</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G</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40542501</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0.087</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0.0146</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0.0741526</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2.28E-09</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35.50853819</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0.0605</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0.075281668</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0.4216</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TRUE</w:t>
            </w:r>
          </w:p>
        </w:tc>
      </w:tr>
      <w:tr>
        <w:tblPrEx>
          <w:tblCellMar>
            <w:top w:w="0" w:type="dxa"/>
            <w:left w:w="108" w:type="dxa"/>
            <w:bottom w:w="0" w:type="dxa"/>
            <w:right w:w="108" w:type="dxa"/>
          </w:tblCellMar>
        </w:tblPrEx>
        <w:trPr>
          <w:trHeight w:val="23" w:hRule="atLeast"/>
        </w:trPr>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rs17411031</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8</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G</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C</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19852310</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-0.045</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0.0081</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0.261729</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3.04E-08</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30.86419753</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-0.0143</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0.052795128</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0.7865</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TRUE</w:t>
            </w:r>
          </w:p>
        </w:tc>
      </w:tr>
      <w:tr>
        <w:tblPrEx>
          <w:tblCellMar>
            <w:top w:w="0" w:type="dxa"/>
            <w:left w:w="108" w:type="dxa"/>
            <w:bottom w:w="0" w:type="dxa"/>
            <w:right w:w="108" w:type="dxa"/>
          </w:tblCellMar>
        </w:tblPrEx>
        <w:trPr>
          <w:trHeight w:val="23" w:hRule="atLeast"/>
        </w:trPr>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rs1758632</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9</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G</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C</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34025640</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0.0491</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0.0081</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0.623407</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1.36E-09</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36.74455114</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-0.0537</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0.045731813</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0.2403</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FALSE</w:t>
            </w:r>
          </w:p>
        </w:tc>
      </w:tr>
      <w:tr>
        <w:tblPrEx>
          <w:tblCellMar>
            <w:top w:w="0" w:type="dxa"/>
            <w:left w:w="108" w:type="dxa"/>
            <w:bottom w:w="0" w:type="dxa"/>
            <w:right w:w="108" w:type="dxa"/>
          </w:tblCellMar>
        </w:tblPrEx>
        <w:trPr>
          <w:trHeight w:val="23" w:hRule="atLeast"/>
        </w:trPr>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rs17631783</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17</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T</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C</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61687600</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-0.0487</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0.0089</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0.26346</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3.95E-08</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29.94180028</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0.0444</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0.055058073</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0.42</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TRUE</w:t>
            </w:r>
          </w:p>
        </w:tc>
      </w:tr>
      <w:tr>
        <w:tblPrEx>
          <w:tblCellMar>
            <w:top w:w="0" w:type="dxa"/>
            <w:left w:w="108" w:type="dxa"/>
            <w:bottom w:w="0" w:type="dxa"/>
            <w:right w:w="108" w:type="dxa"/>
          </w:tblCellMar>
        </w:tblPrEx>
        <w:trPr>
          <w:trHeight w:val="23" w:hRule="atLeast"/>
        </w:trPr>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rs17791513</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9</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G</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A</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81905590</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-0.1027</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0.0148</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0.0605985</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4.61E-12</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48.1523466</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-0.0145</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0.069699107</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0.8352</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TRUE</w:t>
            </w:r>
          </w:p>
        </w:tc>
      </w:tr>
      <w:tr>
        <w:tblPrEx>
          <w:tblCellMar>
            <w:top w:w="0" w:type="dxa"/>
            <w:left w:w="108" w:type="dxa"/>
            <w:bottom w:w="0" w:type="dxa"/>
            <w:right w:w="108" w:type="dxa"/>
          </w:tblCellMar>
        </w:tblPrEx>
        <w:trPr>
          <w:trHeight w:val="23" w:hRule="atLeast"/>
        </w:trPr>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rs1801214</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4</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T</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C</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6303022</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0.0903</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0.0074</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0.599585</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5.52E-34</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148.9059533</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0.0087</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0.046065077</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0.8502</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TRUE</w:t>
            </w:r>
          </w:p>
        </w:tc>
      </w:tr>
      <w:tr>
        <w:tblPrEx>
          <w:tblCellMar>
            <w:top w:w="0" w:type="dxa"/>
            <w:left w:w="108" w:type="dxa"/>
            <w:bottom w:w="0" w:type="dxa"/>
            <w:right w:w="108" w:type="dxa"/>
          </w:tblCellMar>
        </w:tblPrEx>
        <w:trPr>
          <w:trHeight w:val="23" w:hRule="atLeast"/>
        </w:trPr>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rs1899951</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3</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T</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C</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12394840</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-0.1118</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0.0109</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0.123288</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1.64E-24</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105.2036024</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-0.0166</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0.060617156</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0.7842</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TRUE</w:t>
            </w:r>
          </w:p>
        </w:tc>
      </w:tr>
      <w:tr>
        <w:tblPrEx>
          <w:tblCellMar>
            <w:top w:w="0" w:type="dxa"/>
            <w:left w:w="108" w:type="dxa"/>
            <w:bottom w:w="0" w:type="dxa"/>
            <w:right w:w="108" w:type="dxa"/>
          </w:tblCellMar>
        </w:tblPrEx>
        <w:trPr>
          <w:trHeight w:val="23" w:hRule="atLeast"/>
        </w:trPr>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rs2058913</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15</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T</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A</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63831869</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-0.0491</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0.0078</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0.565008</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3.26E-10</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39.62541091</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0.0385</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0.046057048</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0.4032</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FALSE</w:t>
            </w:r>
          </w:p>
        </w:tc>
      </w:tr>
      <w:tr>
        <w:tblPrEx>
          <w:tblCellMar>
            <w:top w:w="0" w:type="dxa"/>
            <w:left w:w="108" w:type="dxa"/>
            <w:bottom w:w="0" w:type="dxa"/>
            <w:right w:w="108" w:type="dxa"/>
          </w:tblCellMar>
        </w:tblPrEx>
        <w:trPr>
          <w:trHeight w:val="23" w:hRule="atLeast"/>
        </w:trPr>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rs2237892</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11</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T</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C</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2839751</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-0.096</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0.0157</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0.0624896</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8.75E-10</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37.38894073</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-0.145</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0.104531854</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0.1654</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TRUE</w:t>
            </w:r>
          </w:p>
        </w:tc>
      </w:tr>
      <w:tr>
        <w:tblPrEx>
          <w:tblCellMar>
            <w:top w:w="0" w:type="dxa"/>
            <w:left w:w="108" w:type="dxa"/>
            <w:bottom w:w="0" w:type="dxa"/>
            <w:right w:w="108" w:type="dxa"/>
          </w:tblCellMar>
        </w:tblPrEx>
        <w:trPr>
          <w:trHeight w:val="23" w:hRule="atLeast"/>
        </w:trPr>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rs2246618</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6</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T</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C</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31478986</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0.0513</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0.0084</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0.307253</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1.20E-09</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37.29719388</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-0.049</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0.053286051</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0.3578</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TRUE</w:t>
            </w:r>
          </w:p>
        </w:tc>
      </w:tr>
      <w:tr>
        <w:tblPrEx>
          <w:tblCellMar>
            <w:top w:w="0" w:type="dxa"/>
            <w:left w:w="108" w:type="dxa"/>
            <w:bottom w:w="0" w:type="dxa"/>
            <w:right w:w="108" w:type="dxa"/>
          </w:tblCellMar>
        </w:tblPrEx>
        <w:trPr>
          <w:trHeight w:val="23" w:hRule="atLeast"/>
        </w:trPr>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rs2261181</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12</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T</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C</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66212318</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0.0985</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0.0118</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0.09647</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9.18E-17</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69.68004884</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0.0587</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0.08747717</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0.5022</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TRUE</w:t>
            </w:r>
          </w:p>
        </w:tc>
      </w:tr>
      <w:tr>
        <w:tblPrEx>
          <w:tblCellMar>
            <w:top w:w="0" w:type="dxa"/>
            <w:left w:w="108" w:type="dxa"/>
            <w:bottom w:w="0" w:type="dxa"/>
            <w:right w:w="108" w:type="dxa"/>
          </w:tblCellMar>
        </w:tblPrEx>
        <w:trPr>
          <w:trHeight w:val="23" w:hRule="atLeast"/>
        </w:trPr>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rs2294120</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8</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G</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A</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146003567</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-0.0443</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0.0079</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0.455879</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1.62E-08</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31.44512097</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0.0117</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0.045970319</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0.7991</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TRUE</w:t>
            </w:r>
          </w:p>
        </w:tc>
      </w:tr>
      <w:tr>
        <w:tblPrEx>
          <w:tblCellMar>
            <w:top w:w="0" w:type="dxa"/>
            <w:left w:w="108" w:type="dxa"/>
            <w:bottom w:w="0" w:type="dxa"/>
            <w:right w:w="108" w:type="dxa"/>
          </w:tblCellMar>
        </w:tblPrEx>
        <w:trPr>
          <w:trHeight w:val="23" w:hRule="atLeast"/>
        </w:trPr>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rs2296173</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1</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G</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A</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39913351</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0.065</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0.0087</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0.212011</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7.66E-14</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55.81979125</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0.0072</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0.057586296</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0.9005</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TRUE</w:t>
            </w:r>
          </w:p>
        </w:tc>
      </w:tr>
      <w:tr>
        <w:tblPrEx>
          <w:tblCellMar>
            <w:top w:w="0" w:type="dxa"/>
            <w:left w:w="108" w:type="dxa"/>
            <w:bottom w:w="0" w:type="dxa"/>
            <w:right w:w="108" w:type="dxa"/>
          </w:tblCellMar>
        </w:tblPrEx>
        <w:trPr>
          <w:trHeight w:val="23" w:hRule="atLeast"/>
        </w:trPr>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rs2299383</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7</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T</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C</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103418846</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0.0412</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0.0073</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0.423455</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1.49E-08</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31.85288047</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0.0508</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0.045679808</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0.2661</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TRUE</w:t>
            </w:r>
          </w:p>
        </w:tc>
      </w:tr>
      <w:tr>
        <w:tblPrEx>
          <w:tblCellMar>
            <w:top w:w="0" w:type="dxa"/>
            <w:left w:w="108" w:type="dxa"/>
            <w:bottom w:w="0" w:type="dxa"/>
            <w:right w:w="108" w:type="dxa"/>
          </w:tblCellMar>
        </w:tblPrEx>
        <w:trPr>
          <w:trHeight w:val="23" w:hRule="atLeast"/>
        </w:trPr>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rs243019</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2</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C</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T</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60585806</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0.0566</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0.0071</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0.455831</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2.29E-15</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63.55008927</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-0.0161</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0.045818944</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0.725301</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TRUE</w:t>
            </w:r>
          </w:p>
        </w:tc>
      </w:tr>
      <w:tr>
        <w:tblPrEx>
          <w:tblCellMar>
            <w:top w:w="0" w:type="dxa"/>
            <w:left w:w="108" w:type="dxa"/>
            <w:bottom w:w="0" w:type="dxa"/>
            <w:right w:w="108" w:type="dxa"/>
          </w:tblCellMar>
        </w:tblPrEx>
        <w:trPr>
          <w:trHeight w:val="23" w:hRule="atLeast"/>
        </w:trPr>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rs2493394</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1</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G</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A</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120471224</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0.073</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0.0113</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0.107338</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1.15E-10</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41.73388676</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0.0874</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0.066101717</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0.1861</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TRUE</w:t>
            </w:r>
          </w:p>
        </w:tc>
      </w:tr>
      <w:tr>
        <w:tblPrEx>
          <w:tblCellMar>
            <w:top w:w="0" w:type="dxa"/>
            <w:left w:w="108" w:type="dxa"/>
            <w:bottom w:w="0" w:type="dxa"/>
            <w:right w:w="108" w:type="dxa"/>
          </w:tblCellMar>
        </w:tblPrEx>
        <w:trPr>
          <w:trHeight w:val="23" w:hRule="atLeast"/>
        </w:trPr>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rs2796441</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9</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A</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G</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84308948</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-0.0715</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0.0073</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0.416458</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1.96E-22</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95.93263276</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0.0475</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0.046106014</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0.3029</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TRUE</w:t>
            </w:r>
          </w:p>
        </w:tc>
      </w:tr>
      <w:tr>
        <w:tblPrEx>
          <w:tblCellMar>
            <w:top w:w="0" w:type="dxa"/>
            <w:left w:w="108" w:type="dxa"/>
            <w:bottom w:w="0" w:type="dxa"/>
            <w:right w:w="108" w:type="dxa"/>
          </w:tblCellMar>
        </w:tblPrEx>
        <w:trPr>
          <w:trHeight w:val="23" w:hRule="atLeast"/>
        </w:trPr>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rs2820426</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1</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G</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A</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219660535</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0.0521</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0.0073</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0.610058</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1.30E-12</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50.93657347</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-0.0768</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0.046965755</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0.102</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TRUE</w:t>
            </w:r>
          </w:p>
        </w:tc>
      </w:tr>
      <w:tr>
        <w:tblPrEx>
          <w:tblCellMar>
            <w:top w:w="0" w:type="dxa"/>
            <w:left w:w="108" w:type="dxa"/>
            <w:bottom w:w="0" w:type="dxa"/>
            <w:right w:w="108" w:type="dxa"/>
          </w:tblCellMar>
        </w:tblPrEx>
        <w:trPr>
          <w:trHeight w:val="23" w:hRule="atLeast"/>
        </w:trPr>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rs2867125</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2</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C</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T</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622827</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0.0601</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0.0096</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0.827825</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4.33E-10</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39.19281684</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0.0278</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0.061947562</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0.6536</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FALSE</w:t>
            </w:r>
          </w:p>
        </w:tc>
      </w:tr>
      <w:tr>
        <w:tblPrEx>
          <w:tblCellMar>
            <w:top w:w="0" w:type="dxa"/>
            <w:left w:w="108" w:type="dxa"/>
            <w:bottom w:w="0" w:type="dxa"/>
            <w:right w:w="108" w:type="dxa"/>
          </w:tblCellMar>
        </w:tblPrEx>
        <w:trPr>
          <w:trHeight w:val="23" w:hRule="atLeast"/>
        </w:trPr>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rs2908282</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7</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A</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G</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44248828</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0.0552</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0.0094</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0.177395</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4.25E-09</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34.48438207</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-0.0264</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0.074341153</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0.7225</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TRUE</w:t>
            </w:r>
          </w:p>
        </w:tc>
      </w:tr>
      <w:tr>
        <w:tblPrEx>
          <w:tblCellMar>
            <w:top w:w="0" w:type="dxa"/>
            <w:left w:w="108" w:type="dxa"/>
            <w:bottom w:w="0" w:type="dxa"/>
            <w:right w:w="108" w:type="dxa"/>
          </w:tblCellMar>
        </w:tblPrEx>
        <w:trPr>
          <w:trHeight w:val="23" w:hRule="atLeast"/>
        </w:trPr>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rs2925979</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16</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C</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T</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81534790</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-0.0534</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0.0078</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0.70085</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9.06E-12</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46.86982249</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0.0105</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0.048643541</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0.8291</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TRUE</w:t>
            </w:r>
          </w:p>
        </w:tc>
      </w:tr>
      <w:tr>
        <w:tblPrEx>
          <w:tblCellMar>
            <w:top w:w="0" w:type="dxa"/>
            <w:left w:w="108" w:type="dxa"/>
            <w:bottom w:w="0" w:type="dxa"/>
            <w:right w:w="108" w:type="dxa"/>
          </w:tblCellMar>
        </w:tblPrEx>
        <w:trPr>
          <w:trHeight w:val="23" w:hRule="atLeast"/>
        </w:trPr>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rs2943656</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2</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G</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A</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227121918</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0.0902</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0.0074</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0.635133</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6.70E-34</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148.5763331</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-0.0495</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0.046626057</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0.2884</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TRUE</w:t>
            </w:r>
          </w:p>
        </w:tc>
      </w:tr>
      <w:tr>
        <w:tblPrEx>
          <w:tblCellMar>
            <w:top w:w="0" w:type="dxa"/>
            <w:left w:w="108" w:type="dxa"/>
            <w:bottom w:w="0" w:type="dxa"/>
            <w:right w:w="108" w:type="dxa"/>
          </w:tblCellMar>
        </w:tblPrEx>
        <w:trPr>
          <w:trHeight w:val="23" w:hRule="atLeast"/>
        </w:trPr>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rs3217992</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9</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T</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C</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22003223</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0.0527</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0.0073</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0.369901</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7.23E-13</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52.11653218</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-0.0261</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0.046793303</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0.577</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TRUE</w:t>
            </w:r>
          </w:p>
        </w:tc>
      </w:tr>
      <w:tr>
        <w:tblPrEx>
          <w:tblCellMar>
            <w:top w:w="0" w:type="dxa"/>
            <w:left w:w="108" w:type="dxa"/>
            <w:bottom w:w="0" w:type="dxa"/>
            <w:right w:w="108" w:type="dxa"/>
          </w:tblCellMar>
        </w:tblPrEx>
        <w:trPr>
          <w:trHeight w:val="23" w:hRule="atLeast"/>
        </w:trPr>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rs340874</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1</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C</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T</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214159256</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0.0626</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0.0073</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0.563904</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8.41E-18</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73.5364984</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0.0227</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0.04630878</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0.624001</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TRUE</w:t>
            </w:r>
          </w:p>
        </w:tc>
      </w:tr>
      <w:tr>
        <w:tblPrEx>
          <w:tblCellMar>
            <w:top w:w="0" w:type="dxa"/>
            <w:left w:w="108" w:type="dxa"/>
            <w:bottom w:w="0" w:type="dxa"/>
            <w:right w:w="108" w:type="dxa"/>
          </w:tblCellMar>
        </w:tblPrEx>
        <w:trPr>
          <w:trHeight w:val="23" w:hRule="atLeast"/>
        </w:trPr>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rs348330</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1</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A</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G</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229672955</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-0.0487</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0.0081</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0.633451</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1.86E-09</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36.14830056</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-0.0196</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0.048107839</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0.683701</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TRUE</w:t>
            </w:r>
          </w:p>
        </w:tc>
      </w:tr>
      <w:tr>
        <w:tblPrEx>
          <w:tblCellMar>
            <w:top w:w="0" w:type="dxa"/>
            <w:left w:w="108" w:type="dxa"/>
            <w:bottom w:w="0" w:type="dxa"/>
            <w:right w:w="108" w:type="dxa"/>
          </w:tblCellMar>
        </w:tblPrEx>
        <w:trPr>
          <w:trHeight w:val="23" w:hRule="atLeast"/>
        </w:trPr>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rs3756784</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6</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G</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T</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131950233</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0.0505</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0.0091</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0.185838</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2.59E-08</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30.7964014</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0.0464</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0.055436957</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0.4026</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TRUE</w:t>
            </w:r>
          </w:p>
        </w:tc>
      </w:tr>
      <w:tr>
        <w:tblPrEx>
          <w:tblCellMar>
            <w:top w:w="0" w:type="dxa"/>
            <w:left w:w="108" w:type="dxa"/>
            <w:bottom w:w="0" w:type="dxa"/>
            <w:right w:w="108" w:type="dxa"/>
          </w:tblCellMar>
        </w:tblPrEx>
        <w:trPr>
          <w:trHeight w:val="23" w:hRule="atLeast"/>
        </w:trPr>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rs3802177</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8</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A</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G</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118185025</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-0.1217</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0.008</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0.311281</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2.32E-52</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231.4201563</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0.0061</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0.04680184</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0.8963</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TRUE</w:t>
            </w:r>
          </w:p>
        </w:tc>
      </w:tr>
      <w:tr>
        <w:tblPrEx>
          <w:tblCellMar>
            <w:top w:w="0" w:type="dxa"/>
            <w:left w:w="108" w:type="dxa"/>
            <w:bottom w:w="0" w:type="dxa"/>
            <w:right w:w="108" w:type="dxa"/>
          </w:tblCellMar>
        </w:tblPrEx>
        <w:trPr>
          <w:trHeight w:val="23" w:hRule="atLeast"/>
        </w:trPr>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rs459193</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5</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G</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A</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55806751</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0.0711</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0.0083</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0.745338</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8.81E-18</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73.38089708</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-0.0268</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0.04862163</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0.5815</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TRUE</w:t>
            </w:r>
          </w:p>
        </w:tc>
      </w:tr>
      <w:tr>
        <w:tblPrEx>
          <w:tblCellMar>
            <w:top w:w="0" w:type="dxa"/>
            <w:left w:w="108" w:type="dxa"/>
            <w:bottom w:w="0" w:type="dxa"/>
            <w:right w:w="108" w:type="dxa"/>
          </w:tblCellMar>
        </w:tblPrEx>
        <w:trPr>
          <w:trHeight w:val="23" w:hRule="atLeast"/>
        </w:trPr>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rs4622883</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3</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G</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A</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152188290</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-0.0435</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0.0078</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0.508544</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3.02E-08</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31.10207101</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0.0418</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0.047146965</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0.3753</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TRUE</w:t>
            </w:r>
          </w:p>
        </w:tc>
      </w:tr>
      <w:tr>
        <w:tblPrEx>
          <w:tblCellMar>
            <w:top w:w="0" w:type="dxa"/>
            <w:left w:w="108" w:type="dxa"/>
            <w:bottom w:w="0" w:type="dxa"/>
            <w:right w:w="108" w:type="dxa"/>
          </w:tblCellMar>
        </w:tblPrEx>
        <w:trPr>
          <w:trHeight w:val="23" w:hRule="atLeast"/>
        </w:trPr>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rs4686471</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3</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C</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T</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187740899</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0.0534</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0.0081</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0.609775</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4.28E-11</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43.46227709</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-0.0236</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0.046883451</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0.6147</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TRUE</w:t>
            </w:r>
          </w:p>
        </w:tc>
      </w:tr>
      <w:tr>
        <w:tblPrEx>
          <w:tblCellMar>
            <w:top w:w="0" w:type="dxa"/>
            <w:left w:w="108" w:type="dxa"/>
            <w:bottom w:w="0" w:type="dxa"/>
            <w:right w:w="108" w:type="dxa"/>
          </w:tblCellMar>
        </w:tblPrEx>
        <w:trPr>
          <w:trHeight w:val="23" w:hRule="atLeast"/>
        </w:trPr>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rs4812829</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20</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A</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G</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42989267</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0.0532</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0.0095</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0.160871</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2.44E-08</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31.36</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0.0611</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0.056076864</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0.2759</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TRUE</w:t>
            </w:r>
          </w:p>
        </w:tc>
      </w:tr>
      <w:tr>
        <w:tblPrEx>
          <w:tblCellMar>
            <w:top w:w="0" w:type="dxa"/>
            <w:left w:w="108" w:type="dxa"/>
            <w:bottom w:w="0" w:type="dxa"/>
            <w:right w:w="108" w:type="dxa"/>
          </w:tblCellMar>
        </w:tblPrEx>
        <w:trPr>
          <w:trHeight w:val="23" w:hRule="atLeast"/>
        </w:trPr>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rs4823182</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22</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G</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A</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44377442</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0.0482</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0.0077</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0.335748</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3.36E-10</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39.18434812</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-0.0356</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0.045592264</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0.4349</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TRUE</w:t>
            </w:r>
          </w:p>
        </w:tc>
      </w:tr>
      <w:tr>
        <w:tblPrEx>
          <w:tblCellMar>
            <w:top w:w="0" w:type="dxa"/>
            <w:left w:w="108" w:type="dxa"/>
            <w:bottom w:w="0" w:type="dxa"/>
            <w:right w:w="108" w:type="dxa"/>
          </w:tblCellMar>
        </w:tblPrEx>
        <w:trPr>
          <w:trHeight w:val="23" w:hRule="atLeast"/>
        </w:trPr>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rs4865796</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5</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A</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G</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53272664</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0.053</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0.0078</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0.69309</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1.33E-11</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46.17028271</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0.0372</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0.048407026</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0.4422</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TRUE</w:t>
            </w:r>
          </w:p>
        </w:tc>
      </w:tr>
      <w:tr>
        <w:tblPrEx>
          <w:tblCellMar>
            <w:top w:w="0" w:type="dxa"/>
            <w:left w:w="108" w:type="dxa"/>
            <w:bottom w:w="0" w:type="dxa"/>
            <w:right w:w="108" w:type="dxa"/>
          </w:tblCellMar>
        </w:tblPrEx>
        <w:trPr>
          <w:trHeight w:val="23" w:hRule="atLeast"/>
        </w:trPr>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rs516946</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8</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C</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T</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41519248</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0.0824</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0.0085</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0.760633</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3.16E-22</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93.97591696</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-0.0093</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0.056257945</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0.8687</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TRUE</w:t>
            </w:r>
          </w:p>
        </w:tc>
      </w:tr>
      <w:tr>
        <w:tblPrEx>
          <w:tblCellMar>
            <w:top w:w="0" w:type="dxa"/>
            <w:left w:w="108" w:type="dxa"/>
            <w:bottom w:w="0" w:type="dxa"/>
            <w:right w:w="108" w:type="dxa"/>
          </w:tblCellMar>
        </w:tblPrEx>
        <w:trPr>
          <w:trHeight w:val="23" w:hRule="atLeast"/>
        </w:trPr>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rs5215</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11</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T</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C</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17408630</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-0.0678</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0.0073</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0.639941</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2.09E-20</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86.26083693</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0.0377</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0.0457095</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0.4095</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TRUE</w:t>
            </w:r>
          </w:p>
        </w:tc>
      </w:tr>
      <w:tr>
        <w:tblPrEx>
          <w:tblCellMar>
            <w:top w:w="0" w:type="dxa"/>
            <w:left w:w="108" w:type="dxa"/>
            <w:bottom w:w="0" w:type="dxa"/>
            <w:right w:w="108" w:type="dxa"/>
          </w:tblCellMar>
        </w:tblPrEx>
        <w:trPr>
          <w:trHeight w:val="23" w:hRule="atLeast"/>
        </w:trPr>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rs55966194</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20</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G</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C</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45599090</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-0.0526</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0.0088</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0.281312</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2.25E-09</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35.72778926</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0.0147</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0.055523247</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0.791199</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TRUE</w:t>
            </w:r>
          </w:p>
        </w:tc>
      </w:tr>
      <w:tr>
        <w:tblPrEx>
          <w:tblCellMar>
            <w:top w:w="0" w:type="dxa"/>
            <w:left w:w="108" w:type="dxa"/>
            <w:bottom w:w="0" w:type="dxa"/>
            <w:right w:w="108" w:type="dxa"/>
          </w:tblCellMar>
        </w:tblPrEx>
        <w:trPr>
          <w:trHeight w:val="23" w:hRule="atLeast"/>
        </w:trPr>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rs576674</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13</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A</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G</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33554302</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-0.0654</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0.0097</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0.832515</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1.79E-11</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45.45817834</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0.1548</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0.078894632</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0.0497496</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TRUE</w:t>
            </w:r>
          </w:p>
        </w:tc>
      </w:tr>
      <w:tr>
        <w:tblPrEx>
          <w:tblCellMar>
            <w:top w:w="0" w:type="dxa"/>
            <w:left w:w="108" w:type="dxa"/>
            <w:bottom w:w="0" w:type="dxa"/>
            <w:right w:w="108" w:type="dxa"/>
          </w:tblCellMar>
        </w:tblPrEx>
        <w:trPr>
          <w:trHeight w:val="23" w:hRule="atLeast"/>
        </w:trPr>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rs6059662</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20</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G</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A</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32675727</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0.0446</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0.0079</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0.663176</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1.51E-08</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31.87245634</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-0.0161</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0.054674552</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0.768399</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TRUE</w:t>
            </w:r>
          </w:p>
        </w:tc>
      </w:tr>
      <w:tr>
        <w:tblPrEx>
          <w:tblCellMar>
            <w:top w:w="0" w:type="dxa"/>
            <w:left w:w="108" w:type="dxa"/>
            <w:bottom w:w="0" w:type="dxa"/>
            <w:right w:w="108" w:type="dxa"/>
          </w:tblCellMar>
        </w:tblPrEx>
        <w:trPr>
          <w:trHeight w:val="23" w:hRule="atLeast"/>
        </w:trPr>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rs61953351</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12</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T</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G</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121456616</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-0.07</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0.0091</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0.249902</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1.98E-14</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59.17159763</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-0.0232</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0.050417036</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0.6454</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TRUE</w:t>
            </w:r>
          </w:p>
        </w:tc>
      </w:tr>
      <w:tr>
        <w:tblPrEx>
          <w:tblCellMar>
            <w:top w:w="0" w:type="dxa"/>
            <w:left w:w="108" w:type="dxa"/>
            <w:bottom w:w="0" w:type="dxa"/>
            <w:right w:w="108" w:type="dxa"/>
          </w:tblCellMar>
        </w:tblPrEx>
        <w:trPr>
          <w:trHeight w:val="23" w:hRule="atLeast"/>
        </w:trPr>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rs622217</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6</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C</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T</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160766770</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-0.0485</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0.0077</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0.483932</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3.13E-10</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39.67363805</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0.0477</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0.045521055</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0.2947</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TRUE</w:t>
            </w:r>
          </w:p>
        </w:tc>
      </w:tr>
      <w:tr>
        <w:tblPrEx>
          <w:tblCellMar>
            <w:top w:w="0" w:type="dxa"/>
            <w:left w:w="108" w:type="dxa"/>
            <w:bottom w:w="0" w:type="dxa"/>
            <w:right w:w="108" w:type="dxa"/>
          </w:tblCellMar>
        </w:tblPrEx>
        <w:trPr>
          <w:trHeight w:val="23" w:hRule="atLeast"/>
        </w:trPr>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rs6494307</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15</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G</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C</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62394690</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-0.0443</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0.0078</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0.426225</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1.67E-08</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32.25657462</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-0.0132</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0.045719934</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0.7728</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FALSE</w:t>
            </w:r>
          </w:p>
        </w:tc>
      </w:tr>
      <w:tr>
        <w:tblPrEx>
          <w:tblCellMar>
            <w:top w:w="0" w:type="dxa"/>
            <w:left w:w="108" w:type="dxa"/>
            <w:bottom w:w="0" w:type="dxa"/>
            <w:right w:w="108" w:type="dxa"/>
          </w:tblCellMar>
        </w:tblPrEx>
        <w:trPr>
          <w:trHeight w:val="23" w:hRule="atLeast"/>
        </w:trPr>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rs6515236</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20</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C</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A</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22435749</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-0.0504</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0.0091</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0.24933</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3.34E-08</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30.67455621</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0.0644</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0.056290902</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0.2526</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TRUE</w:t>
            </w:r>
          </w:p>
        </w:tc>
      </w:tr>
      <w:tr>
        <w:tblPrEx>
          <w:tblCellMar>
            <w:top w:w="0" w:type="dxa"/>
            <w:left w:w="108" w:type="dxa"/>
            <w:bottom w:w="0" w:type="dxa"/>
            <w:right w:w="108" w:type="dxa"/>
          </w:tblCellMar>
        </w:tblPrEx>
        <w:trPr>
          <w:trHeight w:val="23" w:hRule="atLeast"/>
        </w:trPr>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rs67232546</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11</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T</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C</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128398938</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0.0596</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0.0096</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0.209222</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4.66E-10</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38.54340278</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-0.0026</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0.064407968</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0.9678</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TRUE</w:t>
            </w:r>
          </w:p>
        </w:tc>
      </w:tr>
      <w:tr>
        <w:tblPrEx>
          <w:tblCellMar>
            <w:top w:w="0" w:type="dxa"/>
            <w:left w:w="108" w:type="dxa"/>
            <w:bottom w:w="0" w:type="dxa"/>
            <w:right w:w="108" w:type="dxa"/>
          </w:tblCellMar>
        </w:tblPrEx>
        <w:trPr>
          <w:trHeight w:val="23" w:hRule="atLeast"/>
        </w:trPr>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rs6767484</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3</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G</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A</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185520578</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0.1209</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0.0076</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0.312261</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2.70E-56</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253.061115</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-0.021</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0.049167787</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0.6693</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TRUE</w:t>
            </w:r>
          </w:p>
        </w:tc>
      </w:tr>
      <w:tr>
        <w:tblPrEx>
          <w:tblCellMar>
            <w:top w:w="0" w:type="dxa"/>
            <w:left w:w="108" w:type="dxa"/>
            <w:bottom w:w="0" w:type="dxa"/>
            <w:right w:w="108" w:type="dxa"/>
          </w:tblCellMar>
        </w:tblPrEx>
        <w:trPr>
          <w:trHeight w:val="23" w:hRule="atLeast"/>
        </w:trPr>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rs6785040</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3</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C</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T</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63897915</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-0.0633</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0.0111</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0.15066</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1.26E-08</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32.52081812</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-0.0826</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0.055050453</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0.1335</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TRUE</w:t>
            </w:r>
          </w:p>
        </w:tc>
      </w:tr>
      <w:tr>
        <w:tblPrEx>
          <w:tblCellMar>
            <w:top w:w="0" w:type="dxa"/>
            <w:left w:w="108" w:type="dxa"/>
            <w:bottom w:w="0" w:type="dxa"/>
            <w:right w:w="108" w:type="dxa"/>
          </w:tblCellMar>
        </w:tblPrEx>
        <w:trPr>
          <w:trHeight w:val="23" w:hRule="atLeast"/>
        </w:trPr>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rs6795735</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3</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T</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C</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64705365</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-0.0558</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0.0073</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0.410912</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1.63E-14</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58.42822293</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0.1298</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0.047096956</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0.005851</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TRUE</w:t>
            </w:r>
          </w:p>
        </w:tc>
      </w:tr>
      <w:tr>
        <w:tblPrEx>
          <w:tblCellMar>
            <w:top w:w="0" w:type="dxa"/>
            <w:left w:w="108" w:type="dxa"/>
            <w:bottom w:w="0" w:type="dxa"/>
            <w:right w:w="108" w:type="dxa"/>
          </w:tblCellMar>
        </w:tblPrEx>
        <w:trPr>
          <w:trHeight w:val="23" w:hRule="atLeast"/>
        </w:trPr>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rs6878122</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5</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A</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G</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76427311</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-0.0564</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0.0079</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0.681791</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1.19E-12</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50.96875501</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-0.0042</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0.054347118</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0.9384</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TRUE</w:t>
            </w:r>
          </w:p>
        </w:tc>
      </w:tr>
      <w:tr>
        <w:tblPrEx>
          <w:tblCellMar>
            <w:top w:w="0" w:type="dxa"/>
            <w:left w:w="108" w:type="dxa"/>
            <w:bottom w:w="0" w:type="dxa"/>
            <w:right w:w="108" w:type="dxa"/>
          </w:tblCellMar>
        </w:tblPrEx>
        <w:trPr>
          <w:trHeight w:val="23" w:hRule="atLeast"/>
        </w:trPr>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rs6960043</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7</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C</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T</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15052860</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0.064</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0.0071</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0.521837</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3.61E-19</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81.2537195</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0.0048</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0.046623061</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0.918</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TRUE</w:t>
            </w:r>
          </w:p>
        </w:tc>
      </w:tr>
      <w:tr>
        <w:tblPrEx>
          <w:tblCellMar>
            <w:top w:w="0" w:type="dxa"/>
            <w:left w:w="108" w:type="dxa"/>
            <w:bottom w:w="0" w:type="dxa"/>
            <w:right w:w="108" w:type="dxa"/>
          </w:tblCellMar>
        </w:tblPrEx>
        <w:trPr>
          <w:trHeight w:val="23" w:hRule="atLeast"/>
        </w:trPr>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rs7144011</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14</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T</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G</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79940383</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0.0482</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0.0085</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0.221063</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1.64E-08</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32.15557093</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0.0791</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0.053124613</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0.1365</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TRUE</w:t>
            </w:r>
          </w:p>
        </w:tc>
      </w:tr>
      <w:tr>
        <w:tblPrEx>
          <w:tblCellMar>
            <w:top w:w="0" w:type="dxa"/>
            <w:left w:w="108" w:type="dxa"/>
            <w:bottom w:w="0" w:type="dxa"/>
            <w:right w:w="108" w:type="dxa"/>
          </w:tblCellMar>
        </w:tblPrEx>
        <w:trPr>
          <w:trHeight w:val="23" w:hRule="atLeast"/>
        </w:trPr>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rs7177055</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15</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A</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G</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77832762</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0.0647</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0.0079</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0.718289</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2.75E-16</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67.0740266</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0.0507</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0.049334385</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0.3041</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TRUE</w:t>
            </w:r>
          </w:p>
        </w:tc>
      </w:tr>
      <w:tr>
        <w:tblPrEx>
          <w:tblCellMar>
            <w:top w:w="0" w:type="dxa"/>
            <w:left w:w="108" w:type="dxa"/>
            <w:bottom w:w="0" w:type="dxa"/>
            <w:right w:w="108" w:type="dxa"/>
          </w:tblCellMar>
        </w:tblPrEx>
        <w:trPr>
          <w:trHeight w:val="23" w:hRule="atLeast"/>
        </w:trPr>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rs7240767</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18</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C</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T</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7070642</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0.0451</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0.0081</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0.383677</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2.16E-08</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31.00152416</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0.0193</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0.046668669</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0.679201</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TRUE</w:t>
            </w:r>
          </w:p>
        </w:tc>
      </w:tr>
      <w:tr>
        <w:tblPrEx>
          <w:tblCellMar>
            <w:top w:w="0" w:type="dxa"/>
            <w:left w:w="108" w:type="dxa"/>
            <w:bottom w:w="0" w:type="dxa"/>
            <w:right w:w="108" w:type="dxa"/>
          </w:tblCellMar>
        </w:tblPrEx>
        <w:trPr>
          <w:trHeight w:val="23" w:hRule="atLeast"/>
        </w:trPr>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rs72802358</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16</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C</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G</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75243657</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-0.1168</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0.0133</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0.101594</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1.97E-18</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77.12273164</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-0.0068</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0.076858795</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0.9295</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TRUE</w:t>
            </w:r>
          </w:p>
        </w:tc>
      </w:tr>
      <w:tr>
        <w:tblPrEx>
          <w:tblCellMar>
            <w:top w:w="0" w:type="dxa"/>
            <w:left w:w="108" w:type="dxa"/>
            <w:bottom w:w="0" w:type="dxa"/>
            <w:right w:w="108" w:type="dxa"/>
          </w:tblCellMar>
        </w:tblPrEx>
        <w:trPr>
          <w:trHeight w:val="23" w:hRule="atLeast"/>
        </w:trPr>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rs72892910</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6</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T</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G</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50816887</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0.0648</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0.0099</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0.172394</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6.43E-11</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42.84297521</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0.1123</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0.056919471</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0.0484998</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TRUE</w:t>
            </w:r>
          </w:p>
        </w:tc>
      </w:tr>
      <w:tr>
        <w:tblPrEx>
          <w:tblCellMar>
            <w:top w:w="0" w:type="dxa"/>
            <w:left w:w="108" w:type="dxa"/>
            <w:bottom w:w="0" w:type="dxa"/>
            <w:right w:w="108" w:type="dxa"/>
          </w:tblCellMar>
        </w:tblPrEx>
        <w:trPr>
          <w:trHeight w:val="23" w:hRule="atLeast"/>
        </w:trPr>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rs735949</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4</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C</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T</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185716232</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-0.0711</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0.0106</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0.14115</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1.95E-11</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44.99118904</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-0.0414</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0.075388735</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0.5829</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TRUE</w:t>
            </w:r>
          </w:p>
        </w:tc>
      </w:tr>
      <w:tr>
        <w:tblPrEx>
          <w:tblCellMar>
            <w:top w:w="0" w:type="dxa"/>
            <w:left w:w="108" w:type="dxa"/>
            <w:bottom w:w="0" w:type="dxa"/>
            <w:right w:w="108" w:type="dxa"/>
          </w:tblCellMar>
        </w:tblPrEx>
        <w:trPr>
          <w:trHeight w:val="23" w:hRule="atLeast"/>
        </w:trPr>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rs753270</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10</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C</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T</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80964975</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0.0528</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0.0079</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0.583535</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2.70E-11</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44.66976446</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0.0125</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0.046215915</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0.786799</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TRUE</w:t>
            </w:r>
          </w:p>
        </w:tc>
      </w:tr>
      <w:tr>
        <w:tblPrEx>
          <w:tblCellMar>
            <w:top w:w="0" w:type="dxa"/>
            <w:left w:w="108" w:type="dxa"/>
            <w:bottom w:w="0" w:type="dxa"/>
            <w:right w:w="108" w:type="dxa"/>
          </w:tblCellMar>
        </w:tblPrEx>
        <w:trPr>
          <w:trHeight w:val="23" w:hRule="atLeast"/>
        </w:trPr>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rs7561798</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2</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G</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A</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228973660</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0.04</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0.0072</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0.482171</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2.79E-08</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30.86419753</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0.08</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0.045685768</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0.07993</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TRUE</w:t>
            </w:r>
          </w:p>
        </w:tc>
      </w:tr>
      <w:tr>
        <w:tblPrEx>
          <w:tblCellMar>
            <w:top w:w="0" w:type="dxa"/>
            <w:left w:w="108" w:type="dxa"/>
            <w:bottom w:w="0" w:type="dxa"/>
            <w:right w:w="108" w:type="dxa"/>
          </w:tblCellMar>
        </w:tblPrEx>
        <w:trPr>
          <w:trHeight w:val="23" w:hRule="atLeast"/>
        </w:trPr>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rs7572970</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2</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G</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A</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161136656</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0.059</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0.0087</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0.722047</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1.39E-11</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45.99022328</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-0.0087</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0.056722516</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0.8781</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TRUE</w:t>
            </w:r>
          </w:p>
        </w:tc>
      </w:tr>
      <w:tr>
        <w:tblPrEx>
          <w:tblCellMar>
            <w:top w:w="0" w:type="dxa"/>
            <w:left w:w="108" w:type="dxa"/>
            <w:bottom w:w="0" w:type="dxa"/>
            <w:right w:w="108" w:type="dxa"/>
          </w:tblCellMar>
        </w:tblPrEx>
        <w:trPr>
          <w:trHeight w:val="23" w:hRule="atLeast"/>
        </w:trPr>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rs7607777</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2</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T</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G</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43629931</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-0.137</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0.0125</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0.105906</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9.40E-28</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120.1216</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0.1884</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0.102834389</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0.0669407</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TRUE</w:t>
            </w:r>
          </w:p>
        </w:tc>
      </w:tr>
      <w:tr>
        <w:tblPrEx>
          <w:tblCellMar>
            <w:top w:w="0" w:type="dxa"/>
            <w:left w:w="108" w:type="dxa"/>
            <w:bottom w:w="0" w:type="dxa"/>
            <w:right w:w="108" w:type="dxa"/>
          </w:tblCellMar>
        </w:tblPrEx>
        <w:trPr>
          <w:trHeight w:val="23" w:hRule="atLeast"/>
        </w:trPr>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rs7674212</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4</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T</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G</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103988899</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-0.0465</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0.0075</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0.408864</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6.18E-10</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38.44</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-0.047</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0.046180607</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0.3088</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TRUE</w:t>
            </w:r>
          </w:p>
        </w:tc>
      </w:tr>
      <w:tr>
        <w:tblPrEx>
          <w:tblCellMar>
            <w:top w:w="0" w:type="dxa"/>
            <w:left w:w="108" w:type="dxa"/>
            <w:bottom w:w="0" w:type="dxa"/>
            <w:right w:w="108" w:type="dxa"/>
          </w:tblCellMar>
        </w:tblPrEx>
        <w:trPr>
          <w:trHeight w:val="23" w:hRule="atLeast"/>
        </w:trPr>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rs7685296</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4</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T</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C</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153254121</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-0.0511</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0.0081</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0.279365</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2.32E-10</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39.79896357</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0.0303</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0.049898933</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0.5437</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TRUE</w:t>
            </w:r>
          </w:p>
        </w:tc>
      </w:tr>
      <w:tr>
        <w:tblPrEx>
          <w:tblCellMar>
            <w:top w:w="0" w:type="dxa"/>
            <w:left w:w="108" w:type="dxa"/>
            <w:bottom w:w="0" w:type="dxa"/>
            <w:right w:w="108" w:type="dxa"/>
          </w:tblCellMar>
        </w:tblPrEx>
        <w:trPr>
          <w:trHeight w:val="23" w:hRule="atLeast"/>
        </w:trPr>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rs7729395</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5</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T</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C</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102100576</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0.1373</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0.016</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0.0509409</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1.10E-17</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73.63785156</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-0.1522</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0.09947273</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0.126</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TRUE</w:t>
            </w:r>
          </w:p>
        </w:tc>
      </w:tr>
      <w:tr>
        <w:tblPrEx>
          <w:tblCellMar>
            <w:top w:w="0" w:type="dxa"/>
            <w:left w:w="108" w:type="dxa"/>
            <w:bottom w:w="0" w:type="dxa"/>
            <w:right w:w="108" w:type="dxa"/>
          </w:tblCellMar>
        </w:tblPrEx>
        <w:trPr>
          <w:trHeight w:val="23" w:hRule="atLeast"/>
        </w:trPr>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rs7756992</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6</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G</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A</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20679709</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0.1297</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0.0078</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0.266896</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6.00E-62</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276.4972058</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0.0061</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0.048300382</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0.8995</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TRUE</w:t>
            </w:r>
          </w:p>
        </w:tc>
      </w:tr>
      <w:tr>
        <w:tblPrEx>
          <w:tblCellMar>
            <w:top w:w="0" w:type="dxa"/>
            <w:left w:w="108" w:type="dxa"/>
            <w:bottom w:w="0" w:type="dxa"/>
            <w:right w:w="108" w:type="dxa"/>
          </w:tblCellMar>
        </w:tblPrEx>
        <w:trPr>
          <w:trHeight w:val="23" w:hRule="atLeast"/>
        </w:trPr>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rs7786095</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7</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G</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A</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156983847</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-0.0743</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0.0129</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0.10386</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9.64E-09</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33.174028</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0.15</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0.097724061</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0.1248</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TRUE</w:t>
            </w:r>
          </w:p>
        </w:tc>
      </w:tr>
      <w:tr>
        <w:tblPrEx>
          <w:tblCellMar>
            <w:top w:w="0" w:type="dxa"/>
            <w:left w:w="108" w:type="dxa"/>
            <w:bottom w:w="0" w:type="dxa"/>
            <w:right w:w="108" w:type="dxa"/>
          </w:tblCellMar>
        </w:tblPrEx>
        <w:trPr>
          <w:trHeight w:val="23" w:hRule="atLeast"/>
        </w:trPr>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rs780094</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2</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C</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T</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27741237</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0.0692</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0.0074</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0.612845</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5.16E-21</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87.4477721</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0.0106</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0.047743912</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0.8243</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TRUE</w:t>
            </w:r>
          </w:p>
        </w:tc>
      </w:tr>
      <w:tr>
        <w:tblPrEx>
          <w:tblCellMar>
            <w:top w:w="0" w:type="dxa"/>
            <w:left w:w="108" w:type="dxa"/>
            <w:bottom w:w="0" w:type="dxa"/>
            <w:right w:w="108" w:type="dxa"/>
          </w:tblCellMar>
        </w:tblPrEx>
        <w:trPr>
          <w:trHeight w:val="23" w:hRule="atLeast"/>
        </w:trPr>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rs7845219</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8</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C</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T</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95937502</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-0.0422</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0.0072</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0.492786</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4.54E-09</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34.35262346</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0.0104</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0.045371787</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0.8187</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TRUE</w:t>
            </w:r>
          </w:p>
        </w:tc>
      </w:tr>
      <w:tr>
        <w:tblPrEx>
          <w:tblCellMar>
            <w:top w:w="0" w:type="dxa"/>
            <w:left w:w="108" w:type="dxa"/>
            <w:bottom w:w="0" w:type="dxa"/>
            <w:right w:w="108" w:type="dxa"/>
          </w:tblCellMar>
        </w:tblPrEx>
        <w:trPr>
          <w:trHeight w:val="23" w:hRule="atLeast"/>
        </w:trPr>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rs7903146</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10</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T</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C</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114758349</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0.3059</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0.0077</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0.291585</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1.00E-200</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1578.256198</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-0.1026</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0.057451088</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0.0741208</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TRUE</w:t>
            </w:r>
          </w:p>
        </w:tc>
      </w:tr>
      <w:tr>
        <w:tblPrEx>
          <w:tblCellMar>
            <w:top w:w="0" w:type="dxa"/>
            <w:left w:w="108" w:type="dxa"/>
            <w:bottom w:w="0" w:type="dxa"/>
            <w:right w:w="108" w:type="dxa"/>
          </w:tblCellMar>
        </w:tblPrEx>
        <w:trPr>
          <w:trHeight w:val="23" w:hRule="atLeast"/>
        </w:trPr>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rs7929543</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11</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C</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A</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49351026</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0.0828</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0.0138</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0.0831599</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2.20E-09</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36</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0.0507</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0.091064631</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0.5777</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TRUE</w:t>
            </w:r>
          </w:p>
        </w:tc>
      </w:tr>
      <w:tr>
        <w:tblPrEx>
          <w:tblCellMar>
            <w:top w:w="0" w:type="dxa"/>
            <w:left w:w="108" w:type="dxa"/>
            <w:bottom w:w="0" w:type="dxa"/>
            <w:right w:w="108" w:type="dxa"/>
          </w:tblCellMar>
        </w:tblPrEx>
        <w:trPr>
          <w:trHeight w:val="23" w:hRule="atLeast"/>
        </w:trPr>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rs7955901</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12</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T</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C</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71433293</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-0.0444</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0.0072</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0.556668</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7.16E-10</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38.02777778</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0.0182</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0.047483001</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0.701501</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TRUE</w:t>
            </w:r>
          </w:p>
        </w:tc>
      </w:tr>
      <w:tr>
        <w:tblPrEx>
          <w:tblCellMar>
            <w:top w:w="0" w:type="dxa"/>
            <w:left w:w="108" w:type="dxa"/>
            <w:bottom w:w="0" w:type="dxa"/>
            <w:right w:w="108" w:type="dxa"/>
          </w:tblCellMar>
        </w:tblPrEx>
        <w:trPr>
          <w:trHeight w:val="23" w:hRule="atLeast"/>
        </w:trPr>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rs8068804</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17</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A</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G</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3985864</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0.0587</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0.0078</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0.325097</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4.41E-14</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56.63527285</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0.0727</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0.049783343</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0.1442</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TRUE</w:t>
            </w:r>
          </w:p>
        </w:tc>
      </w:tr>
      <w:tr>
        <w:tblPrEx>
          <w:tblCellMar>
            <w:top w:w="0" w:type="dxa"/>
            <w:left w:w="108" w:type="dxa"/>
            <w:bottom w:w="0" w:type="dxa"/>
            <w:right w:w="108" w:type="dxa"/>
          </w:tblCellMar>
        </w:tblPrEx>
        <w:trPr>
          <w:trHeight w:val="23" w:hRule="atLeast"/>
        </w:trPr>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rs8108269</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19</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G</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T</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46158513</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0.0644</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0.0079</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0.281015</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3.11E-16</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66.45345297</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0.005</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0.048804596</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0.9184</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TRUE</w:t>
            </w:r>
          </w:p>
        </w:tc>
      </w:tr>
      <w:tr>
        <w:tblPrEx>
          <w:tblCellMar>
            <w:top w:w="0" w:type="dxa"/>
            <w:left w:w="108" w:type="dxa"/>
            <w:bottom w:w="0" w:type="dxa"/>
            <w:right w:w="108" w:type="dxa"/>
          </w:tblCellMar>
        </w:tblPrEx>
        <w:trPr>
          <w:trHeight w:val="23" w:hRule="atLeast"/>
        </w:trPr>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rs825476</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12</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T</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C</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124568456</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0.0524</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0.0073</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0.580549</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6.80E-13</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51.52486395</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0.0835</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0.046473593</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0.0723802</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TRUE</w:t>
            </w:r>
          </w:p>
        </w:tc>
      </w:tr>
      <w:tr>
        <w:tblPrEx>
          <w:tblCellMar>
            <w:top w:w="0" w:type="dxa"/>
            <w:left w:w="108" w:type="dxa"/>
            <w:bottom w:w="0" w:type="dxa"/>
            <w:right w:w="108" w:type="dxa"/>
          </w:tblCellMar>
        </w:tblPrEx>
        <w:trPr>
          <w:trHeight w:val="23" w:hRule="atLeast"/>
        </w:trPr>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rs840967</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2</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A</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C</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65701757</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-0.0497</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0.008</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0.605922</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5.44E-10</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38.59515625</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-0.0522</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0.045790794</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0.2543</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TRUE</w:t>
            </w:r>
          </w:p>
        </w:tc>
      </w:tr>
      <w:tr>
        <w:tblPrEx>
          <w:tblCellMar>
            <w:top w:w="0" w:type="dxa"/>
            <w:left w:w="108" w:type="dxa"/>
            <w:bottom w:w="0" w:type="dxa"/>
            <w:right w:w="108" w:type="dxa"/>
          </w:tblCellMar>
        </w:tblPrEx>
        <w:trPr>
          <w:trHeight w:val="23" w:hRule="atLeast"/>
        </w:trPr>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rs849135</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7</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A</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G</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28196413</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-0.0999</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0.0072</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0.499052</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1.04E-43</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192.515625</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-0.0309</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0.04601616</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0.5019</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TRUE</w:t>
            </w:r>
          </w:p>
        </w:tc>
      </w:tr>
      <w:tr>
        <w:tblPrEx>
          <w:tblCellMar>
            <w:top w:w="0" w:type="dxa"/>
            <w:left w:w="108" w:type="dxa"/>
            <w:bottom w:w="0" w:type="dxa"/>
            <w:right w:w="108" w:type="dxa"/>
          </w:tblCellMar>
        </w:tblPrEx>
        <w:trPr>
          <w:trHeight w:val="23" w:hRule="atLeast"/>
        </w:trPr>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rs853974</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6</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C</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T</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127068983</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-0.0601</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0.0088</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0.737586</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7.86E-12</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46.64269112</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0.0292</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0.051231026</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0.5687</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TRUE</w:t>
            </w:r>
          </w:p>
        </w:tc>
      </w:tr>
      <w:tr>
        <w:tblPrEx>
          <w:tblCellMar>
            <w:top w:w="0" w:type="dxa"/>
            <w:left w:w="108" w:type="dxa"/>
            <w:bottom w:w="0" w:type="dxa"/>
            <w:right w:w="108" w:type="dxa"/>
          </w:tblCellMar>
        </w:tblPrEx>
        <w:trPr>
          <w:trHeight w:val="23" w:hRule="atLeast"/>
        </w:trPr>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rs9369425</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6</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A</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G</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43810974</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-0.0546</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0.0085</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0.708185</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1.13E-10</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41.2617301</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0.0205</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0.049196572</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0.676901</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TRUE</w:t>
            </w:r>
          </w:p>
        </w:tc>
      </w:tr>
      <w:tr>
        <w:tblPrEx>
          <w:tblCellMar>
            <w:top w:w="0" w:type="dxa"/>
            <w:left w:w="108" w:type="dxa"/>
            <w:bottom w:w="0" w:type="dxa"/>
            <w:right w:w="108" w:type="dxa"/>
          </w:tblCellMar>
        </w:tblPrEx>
        <w:trPr>
          <w:trHeight w:val="23" w:hRule="atLeast"/>
        </w:trPr>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rs963740</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13</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T</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A</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51096095</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-0.0479</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0.0086</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0.294299</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2.23E-08</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31.02230936</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0.0583</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0.056192434</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0.2995</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TRUE</w:t>
            </w:r>
          </w:p>
        </w:tc>
      </w:tr>
      <w:tr>
        <w:tblPrEx>
          <w:tblCellMar>
            <w:top w:w="0" w:type="dxa"/>
            <w:left w:w="108" w:type="dxa"/>
            <w:bottom w:w="0" w:type="dxa"/>
            <w:right w:w="108" w:type="dxa"/>
          </w:tblCellMar>
        </w:tblPrEx>
        <w:trPr>
          <w:trHeight w:val="23" w:hRule="atLeast"/>
        </w:trPr>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rs9844972</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3</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C</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G</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150097635</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0.0956</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0.0148</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0.0697229</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1.03E-10</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41.72461651</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-0.0057</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0.100120846</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0.9546</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TRUE</w:t>
            </w:r>
          </w:p>
        </w:tc>
      </w:tr>
      <w:tr>
        <w:tblPrEx>
          <w:tblCellMar>
            <w:top w:w="0" w:type="dxa"/>
            <w:left w:w="108" w:type="dxa"/>
            <w:bottom w:w="0" w:type="dxa"/>
            <w:right w:w="108" w:type="dxa"/>
          </w:tblCellMar>
        </w:tblPrEx>
        <w:trPr>
          <w:trHeight w:val="23" w:hRule="atLeast"/>
        </w:trPr>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rs9894220</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17</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G</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A</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46989154</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-0.0585</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0.0079</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0.43374</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1.52E-13</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54.83496235</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-0.0182</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0.046531659</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0.6957</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TRUE</w:t>
            </w:r>
          </w:p>
        </w:tc>
      </w:tr>
      <w:tr>
        <w:tblPrEx>
          <w:tblCellMar>
            <w:top w:w="0" w:type="dxa"/>
            <w:left w:w="108" w:type="dxa"/>
            <w:bottom w:w="0" w:type="dxa"/>
            <w:right w:w="108" w:type="dxa"/>
          </w:tblCellMar>
        </w:tblPrEx>
        <w:trPr>
          <w:trHeight w:val="23" w:hRule="atLeast"/>
        </w:trPr>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rs9928094</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16</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G</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A</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53799905</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0.1045</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0.0072</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0.42602</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3.59E-47</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210.6529707</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0.0495</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0.045905602</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0.2809</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TRUE</w:t>
            </w:r>
          </w:p>
        </w:tc>
      </w:tr>
      <w:tr>
        <w:tblPrEx>
          <w:tblCellMar>
            <w:top w:w="0" w:type="dxa"/>
            <w:left w:w="108" w:type="dxa"/>
            <w:bottom w:w="0" w:type="dxa"/>
            <w:right w:w="108" w:type="dxa"/>
          </w:tblCellMar>
        </w:tblPrEx>
        <w:trPr>
          <w:trHeight w:val="23" w:hRule="atLeast"/>
        </w:trPr>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rs993380</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4</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G</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A</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83584496</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-0.0507</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0.0081</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0.66555</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4.59E-10</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39.17832647</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-0.0056</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0.046724102</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0.9046</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TRUE</w:t>
            </w:r>
          </w:p>
        </w:tc>
      </w:tr>
      <w:tr>
        <w:tblPrEx>
          <w:tblCellMar>
            <w:top w:w="0" w:type="dxa"/>
            <w:left w:w="108" w:type="dxa"/>
            <w:bottom w:w="0" w:type="dxa"/>
            <w:right w:w="108" w:type="dxa"/>
          </w:tblCellMar>
        </w:tblPrEx>
        <w:trPr>
          <w:trHeight w:val="23" w:hRule="atLeast"/>
        </w:trPr>
        <w:tc>
          <w:tcPr>
            <w:tcW w:w="1080" w:type="dxa"/>
            <w:tcBorders>
              <w:top w:val="nil"/>
              <w:left w:val="nil"/>
              <w:bottom w:val="single" w:color="000000" w:sz="4" w:space="0"/>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rs9940149</w:t>
            </w:r>
          </w:p>
        </w:tc>
        <w:tc>
          <w:tcPr>
            <w:tcW w:w="1080" w:type="dxa"/>
            <w:tcBorders>
              <w:top w:val="nil"/>
              <w:left w:val="nil"/>
              <w:bottom w:val="single" w:color="000000" w:sz="4" w:space="0"/>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16</w:t>
            </w:r>
          </w:p>
        </w:tc>
        <w:tc>
          <w:tcPr>
            <w:tcW w:w="1080" w:type="dxa"/>
            <w:tcBorders>
              <w:top w:val="nil"/>
              <w:left w:val="nil"/>
              <w:bottom w:val="single" w:color="000000" w:sz="4" w:space="0"/>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A</w:t>
            </w:r>
          </w:p>
        </w:tc>
        <w:tc>
          <w:tcPr>
            <w:tcW w:w="1080" w:type="dxa"/>
            <w:tcBorders>
              <w:top w:val="nil"/>
              <w:left w:val="nil"/>
              <w:bottom w:val="single" w:color="000000" w:sz="4" w:space="0"/>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G</w:t>
            </w:r>
          </w:p>
        </w:tc>
        <w:tc>
          <w:tcPr>
            <w:tcW w:w="1080" w:type="dxa"/>
            <w:tcBorders>
              <w:top w:val="nil"/>
              <w:left w:val="nil"/>
              <w:bottom w:val="single" w:color="000000" w:sz="4" w:space="0"/>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300641</w:t>
            </w:r>
          </w:p>
        </w:tc>
        <w:tc>
          <w:tcPr>
            <w:tcW w:w="1080" w:type="dxa"/>
            <w:tcBorders>
              <w:top w:val="nil"/>
              <w:left w:val="nil"/>
              <w:bottom w:val="single" w:color="000000" w:sz="4" w:space="0"/>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-0.058</w:t>
            </w:r>
          </w:p>
        </w:tc>
        <w:tc>
          <w:tcPr>
            <w:tcW w:w="1080" w:type="dxa"/>
            <w:tcBorders>
              <w:top w:val="nil"/>
              <w:left w:val="nil"/>
              <w:bottom w:val="single" w:color="000000" w:sz="4" w:space="0"/>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0.0095</w:t>
            </w:r>
          </w:p>
        </w:tc>
        <w:tc>
          <w:tcPr>
            <w:tcW w:w="1080" w:type="dxa"/>
            <w:tcBorders>
              <w:top w:val="nil"/>
              <w:left w:val="nil"/>
              <w:bottom w:val="single" w:color="000000" w:sz="4" w:space="0"/>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0.178556</w:t>
            </w:r>
          </w:p>
        </w:tc>
        <w:tc>
          <w:tcPr>
            <w:tcW w:w="1080" w:type="dxa"/>
            <w:tcBorders>
              <w:top w:val="nil"/>
              <w:left w:val="nil"/>
              <w:bottom w:val="single" w:color="000000" w:sz="4" w:space="0"/>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9.29E-10</w:t>
            </w:r>
          </w:p>
        </w:tc>
        <w:tc>
          <w:tcPr>
            <w:tcW w:w="1080" w:type="dxa"/>
            <w:tcBorders>
              <w:top w:val="nil"/>
              <w:left w:val="nil"/>
              <w:bottom w:val="single" w:color="000000" w:sz="4" w:space="0"/>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37.27423823</w:t>
            </w:r>
          </w:p>
        </w:tc>
        <w:tc>
          <w:tcPr>
            <w:tcW w:w="1080" w:type="dxa"/>
            <w:tcBorders>
              <w:top w:val="nil"/>
              <w:left w:val="nil"/>
              <w:bottom w:val="single" w:color="000000" w:sz="4" w:space="0"/>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-0.0346</w:t>
            </w:r>
          </w:p>
        </w:tc>
        <w:tc>
          <w:tcPr>
            <w:tcW w:w="1080" w:type="dxa"/>
            <w:tcBorders>
              <w:top w:val="nil"/>
              <w:left w:val="nil"/>
              <w:bottom w:val="single" w:color="000000" w:sz="4" w:space="0"/>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0.074603132</w:t>
            </w:r>
          </w:p>
        </w:tc>
        <w:tc>
          <w:tcPr>
            <w:tcW w:w="1080" w:type="dxa"/>
            <w:tcBorders>
              <w:top w:val="nil"/>
              <w:left w:val="nil"/>
              <w:bottom w:val="single" w:color="000000" w:sz="4" w:space="0"/>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0.6428</w:t>
            </w:r>
          </w:p>
        </w:tc>
        <w:tc>
          <w:tcPr>
            <w:tcW w:w="1080" w:type="dxa"/>
            <w:tcBorders>
              <w:top w:val="nil"/>
              <w:left w:val="nil"/>
              <w:bottom w:val="single" w:color="000000" w:sz="4" w:space="0"/>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TRUE</w:t>
            </w:r>
          </w:p>
        </w:tc>
      </w:tr>
    </w:tbl>
    <w:p>
      <w:pPr>
        <w:rPr>
          <w:rFonts w:ascii="Times New Roman" w:hAnsi="Times New Roman"/>
          <w:color w:val="000000"/>
          <w:sz w:val="20"/>
          <w:szCs w:val="20"/>
        </w:rPr>
      </w:pPr>
      <w:r>
        <w:rPr>
          <w:rFonts w:hint="eastAsia" w:ascii="Times New Roman" w:hAnsi="Times New Roman"/>
          <w:color w:val="000000"/>
          <w:sz w:val="20"/>
          <w:szCs w:val="20"/>
        </w:rPr>
        <w:t>rs13234269, rs1758632, rs2058913 and rs6494307 were removed for being palindromic with intermediate allele frequencies. rs3184504 were removed for its correlation with smoking.</w:t>
      </w:r>
    </w:p>
    <w:p>
      <w:pPr>
        <w:rPr>
          <w:rFonts w:ascii="Times New Roman" w:hAnsi="Times New Roman"/>
          <w:color w:val="000000"/>
          <w:sz w:val="20"/>
          <w:szCs w:val="20"/>
        </w:rPr>
        <w:sectPr>
          <w:pgSz w:w="16838" w:h="11906" w:orient="landscape"/>
          <w:pgMar w:top="1800" w:right="1440" w:bottom="1800" w:left="1440" w:header="851" w:footer="992" w:gutter="0"/>
          <w:cols w:space="425" w:num="1"/>
          <w:docGrid w:type="lines" w:linePitch="312" w:charSpace="0"/>
        </w:sectPr>
      </w:pPr>
      <w:r>
        <w:rPr>
          <w:rFonts w:hint="eastAsia" w:ascii="Times New Roman" w:hAnsi="Times New Roman"/>
          <w:color w:val="000000"/>
          <w:sz w:val="20"/>
          <w:szCs w:val="20"/>
        </w:rPr>
        <w:t>SNPs, single-nucleotide polymorphisms. T2D, type 2 diabetes. IPF, idiopathic pulmonary fibrosis. Chr, chromosome. EA, effect allele. OA, other allele. SE, standard error. EAF, effect allele frequency.</w:t>
      </w:r>
    </w:p>
    <w:p>
      <w:pPr>
        <w:rPr>
          <w:rFonts w:ascii="Times New Roman" w:hAnsi="Times New Roman"/>
          <w:color w:val="000000"/>
          <w:sz w:val="20"/>
          <w:szCs w:val="20"/>
        </w:rPr>
      </w:pPr>
      <w:r>
        <w:rPr>
          <w:rFonts w:ascii="Times New Roman" w:hAnsi="Times New Roman"/>
          <w:b/>
          <w:bCs/>
          <w:sz w:val="20"/>
          <w:szCs w:val="20"/>
        </w:rPr>
        <w:t>Supplementary</w:t>
      </w:r>
      <w:r>
        <w:rPr>
          <w:rFonts w:ascii="Times New Roman" w:hAnsi="Times New Roman"/>
          <w:b/>
          <w:bCs/>
          <w:color w:val="000000"/>
          <w:sz w:val="20"/>
          <w:szCs w:val="20"/>
        </w:rPr>
        <w:t xml:space="preserve"> Table 3. </w:t>
      </w:r>
      <w:r>
        <w:rPr>
          <w:rFonts w:hint="eastAsia" w:ascii="Times New Roman" w:hAnsi="Times New Roman"/>
          <w:color w:val="000000"/>
          <w:sz w:val="20"/>
          <w:szCs w:val="20"/>
        </w:rPr>
        <w:t>SNPs used as genetic instruments for multivariable Mendelian randomization analysis.</w:t>
      </w:r>
    </w:p>
    <w:tbl>
      <w:tblPr>
        <w:tblStyle w:val="5"/>
        <w:tblW w:w="10800" w:type="dxa"/>
        <w:tblInd w:w="96" w:type="dxa"/>
        <w:tblBorders>
          <w:top w:val="none" w:color="auto" w:sz="0" w:space="0"/>
          <w:left w:val="none" w:color="auto" w:sz="0" w:space="0"/>
          <w:bottom w:val="single" w:color="auto"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080"/>
        <w:gridCol w:w="1080"/>
        <w:gridCol w:w="1080"/>
        <w:gridCol w:w="1080"/>
        <w:gridCol w:w="1080"/>
        <w:gridCol w:w="1080"/>
        <w:gridCol w:w="1080"/>
        <w:gridCol w:w="1080"/>
        <w:gridCol w:w="1080"/>
        <w:gridCol w:w="1080"/>
      </w:tblGrid>
      <w:tr>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080" w:type="dxa"/>
            <w:vMerge w:val="restart"/>
            <w:tcBorders>
              <w:top w:val="single" w:color="auto" w:sz="4" w:space="0"/>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SNP</w:t>
            </w:r>
          </w:p>
        </w:tc>
        <w:tc>
          <w:tcPr>
            <w:tcW w:w="3240" w:type="dxa"/>
            <w:gridSpan w:val="3"/>
            <w:tcBorders>
              <w:top w:val="single" w:color="auto" w:sz="4" w:space="0"/>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Type 1 diabetes</w:t>
            </w:r>
          </w:p>
        </w:tc>
        <w:tc>
          <w:tcPr>
            <w:tcW w:w="3240" w:type="dxa"/>
            <w:gridSpan w:val="3"/>
            <w:tcBorders>
              <w:top w:val="single" w:color="auto" w:sz="4" w:space="0"/>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Type 2 diabetes</w:t>
            </w:r>
          </w:p>
        </w:tc>
        <w:tc>
          <w:tcPr>
            <w:tcW w:w="3240" w:type="dxa"/>
            <w:gridSpan w:val="3"/>
            <w:tcBorders>
              <w:top w:val="single" w:color="auto" w:sz="4" w:space="0"/>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Idiopathic pulmonary fibrosis</w:t>
            </w:r>
          </w:p>
        </w:tc>
      </w:tr>
      <w:tr>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080" w:type="dxa"/>
            <w:vMerge w:val="continue"/>
            <w:tcBorders>
              <w:top w:val="nil"/>
              <w:left w:val="nil"/>
              <w:bottom w:val="single" w:color="auto" w:sz="4" w:space="0"/>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p>
        </w:tc>
        <w:tc>
          <w:tcPr>
            <w:tcW w:w="1080" w:type="dxa"/>
            <w:tcBorders>
              <w:top w:val="nil"/>
              <w:left w:val="nil"/>
              <w:bottom w:val="single" w:color="auto" w:sz="4" w:space="0"/>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Beta</w:t>
            </w:r>
          </w:p>
        </w:tc>
        <w:tc>
          <w:tcPr>
            <w:tcW w:w="1080" w:type="dxa"/>
            <w:tcBorders>
              <w:top w:val="nil"/>
              <w:left w:val="nil"/>
              <w:bottom w:val="single" w:color="auto" w:sz="4" w:space="0"/>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SE</w:t>
            </w:r>
          </w:p>
        </w:tc>
        <w:tc>
          <w:tcPr>
            <w:tcW w:w="1080" w:type="dxa"/>
            <w:tcBorders>
              <w:top w:val="nil"/>
              <w:left w:val="nil"/>
              <w:bottom w:val="single" w:color="auto" w:sz="4" w:space="0"/>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P</w:t>
            </w:r>
          </w:p>
        </w:tc>
        <w:tc>
          <w:tcPr>
            <w:tcW w:w="1080" w:type="dxa"/>
            <w:tcBorders>
              <w:top w:val="nil"/>
              <w:left w:val="nil"/>
              <w:bottom w:val="single" w:color="auto" w:sz="4" w:space="0"/>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Beta</w:t>
            </w:r>
          </w:p>
        </w:tc>
        <w:tc>
          <w:tcPr>
            <w:tcW w:w="1080" w:type="dxa"/>
            <w:tcBorders>
              <w:top w:val="nil"/>
              <w:left w:val="nil"/>
              <w:bottom w:val="single" w:color="auto" w:sz="4" w:space="0"/>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SE</w:t>
            </w:r>
          </w:p>
        </w:tc>
        <w:tc>
          <w:tcPr>
            <w:tcW w:w="1080" w:type="dxa"/>
            <w:tcBorders>
              <w:top w:val="nil"/>
              <w:left w:val="nil"/>
              <w:bottom w:val="single" w:color="auto" w:sz="4" w:space="0"/>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P</w:t>
            </w:r>
          </w:p>
        </w:tc>
        <w:tc>
          <w:tcPr>
            <w:tcW w:w="1080" w:type="dxa"/>
            <w:tcBorders>
              <w:top w:val="nil"/>
              <w:left w:val="nil"/>
              <w:bottom w:val="single" w:color="auto" w:sz="4" w:space="0"/>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Beta</w:t>
            </w:r>
          </w:p>
        </w:tc>
        <w:tc>
          <w:tcPr>
            <w:tcW w:w="1080" w:type="dxa"/>
            <w:tcBorders>
              <w:top w:val="nil"/>
              <w:left w:val="nil"/>
              <w:bottom w:val="single" w:color="auto" w:sz="4" w:space="0"/>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SE</w:t>
            </w:r>
          </w:p>
        </w:tc>
        <w:tc>
          <w:tcPr>
            <w:tcW w:w="1080" w:type="dxa"/>
            <w:tcBorders>
              <w:top w:val="nil"/>
              <w:left w:val="nil"/>
              <w:bottom w:val="single" w:color="auto" w:sz="4" w:space="0"/>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P</w:t>
            </w:r>
          </w:p>
        </w:tc>
      </w:tr>
      <w:tr>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080" w:type="dxa"/>
            <w:tcBorders>
              <w:top w:val="single" w:color="auto" w:sz="4" w:space="0"/>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rs10100265</w:t>
            </w:r>
          </w:p>
        </w:tc>
        <w:tc>
          <w:tcPr>
            <w:tcW w:w="1080" w:type="dxa"/>
            <w:tcBorders>
              <w:top w:val="single" w:color="auto" w:sz="4" w:space="0"/>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0.039989</w:t>
            </w:r>
          </w:p>
        </w:tc>
        <w:tc>
          <w:tcPr>
            <w:tcW w:w="1080" w:type="dxa"/>
            <w:tcBorders>
              <w:top w:val="single" w:color="auto" w:sz="4" w:space="0"/>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0.0189948</w:t>
            </w:r>
          </w:p>
        </w:tc>
        <w:tc>
          <w:tcPr>
            <w:tcW w:w="1080" w:type="dxa"/>
            <w:tcBorders>
              <w:top w:val="single" w:color="auto" w:sz="4" w:space="0"/>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0.0352687</w:t>
            </w:r>
          </w:p>
        </w:tc>
        <w:tc>
          <w:tcPr>
            <w:tcW w:w="1080" w:type="dxa"/>
            <w:tcBorders>
              <w:top w:val="single" w:color="auto" w:sz="4" w:space="0"/>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-0.0491</w:t>
            </w:r>
          </w:p>
        </w:tc>
        <w:tc>
          <w:tcPr>
            <w:tcW w:w="1080" w:type="dxa"/>
            <w:tcBorders>
              <w:top w:val="single" w:color="auto" w:sz="4" w:space="0"/>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0.0079</w:t>
            </w:r>
          </w:p>
        </w:tc>
        <w:tc>
          <w:tcPr>
            <w:tcW w:w="1080" w:type="dxa"/>
            <w:tcBorders>
              <w:top w:val="single" w:color="auto" w:sz="4" w:space="0"/>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6.29E-10</w:t>
            </w:r>
          </w:p>
        </w:tc>
        <w:tc>
          <w:tcPr>
            <w:tcW w:w="1080" w:type="dxa"/>
            <w:tcBorders>
              <w:top w:val="single" w:color="auto" w:sz="4" w:space="0"/>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0.0042</w:t>
            </w:r>
          </w:p>
        </w:tc>
        <w:tc>
          <w:tcPr>
            <w:tcW w:w="1080" w:type="dxa"/>
            <w:tcBorders>
              <w:top w:val="single" w:color="auto" w:sz="4" w:space="0"/>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0.0621</w:t>
            </w:r>
          </w:p>
        </w:tc>
        <w:tc>
          <w:tcPr>
            <w:tcW w:w="1080" w:type="dxa"/>
            <w:tcBorders>
              <w:top w:val="single" w:color="auto" w:sz="4" w:space="0"/>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0.9459</w:t>
            </w:r>
          </w:p>
        </w:tc>
      </w:tr>
      <w:tr>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rs10401969</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0.061001</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0.0340006</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0.0727947</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0.0921</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0.0133</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4.13E-12</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0.1178</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0.0943</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0.2116</w:t>
            </w:r>
          </w:p>
        </w:tc>
      </w:tr>
      <w:tr>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rs10811661</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0.0289761</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0.0239802</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0.226919</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-0.1569</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0.0098</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4.13E-58</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0.0245</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0.0651</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0.706401</w:t>
            </w:r>
          </w:p>
        </w:tc>
      </w:tr>
      <w:tr>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rs10974438</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0.106969</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0.0189945</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1.79E-08</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0.0591</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0.0075</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3.01E-15</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-0.0211</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0.047</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0.653301</w:t>
            </w:r>
          </w:p>
        </w:tc>
      </w:tr>
      <w:tr>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rs1111875</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-0.018979</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0.018979</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0.31731</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-0.0948</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0.0072</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3.61E-39</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-0.0092</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0.0458</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0.8402</w:t>
            </w:r>
          </w:p>
        </w:tc>
      </w:tr>
      <w:tr>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rs11203203</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0.149971</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0.0189963</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2.91E-15</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0.0022</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0.008</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0.778999</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0.0671</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0.0509</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0.1878</w:t>
            </w:r>
          </w:p>
        </w:tc>
      </w:tr>
      <w:tr>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rs11708067</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-0.0199986</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0.0219985</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0.363302</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-0.0965</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0.0086</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5.93E-29</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-0.0719</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0.061</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0.238</w:t>
            </w:r>
          </w:p>
        </w:tc>
      </w:tr>
      <w:tr>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rs12416116</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-0.164993</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0.0209991</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3.93E-15</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0.0094</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0.0087</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0.2814</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0.0064</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0.0534</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0.9049</w:t>
            </w:r>
          </w:p>
        </w:tc>
      </w:tr>
      <w:tr>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rs12927355</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-0.192008</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0.0200009</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7.99E-22</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-0.0045</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0.0083</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0.5846</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-0.03</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0.0495</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0.5446</w:t>
            </w:r>
          </w:p>
        </w:tc>
      </w:tr>
      <w:tr>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rs12970134</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0.0289761</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0.0209827</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0.167293</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0.0555</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0.008</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5.31E-12</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-0.0619</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0.0578</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0.2838</w:t>
            </w:r>
          </w:p>
        </w:tc>
      </w:tr>
      <w:tr>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rs1456988</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-0.111005</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0.0200008</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2.86E-08</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0.0108</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0.0087</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0.2179</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0.0127</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0.0468</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0.786901</w:t>
            </w:r>
          </w:p>
        </w:tc>
      </w:tr>
      <w:tr>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rs1701704</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0.222984</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0.0189986</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8.25E-32</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-0.0111</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0.0083</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0.1823</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-0.0756</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0.0488</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0.1216</w:t>
            </w:r>
          </w:p>
        </w:tc>
      </w:tr>
      <w:tr>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rs17168486</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0.019018</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0.0250237</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0.447255</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0.0742</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0.0094</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2.18E-15</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-0.1415</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0.0569</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0.0129101</w:t>
            </w:r>
          </w:p>
        </w:tc>
      </w:tr>
      <w:tr>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rs17405722</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0.00796817</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0.0348607</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0.819202</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0.087</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0.0146</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2.28E-09</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0.0605</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0.0753</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0.4216</w:t>
            </w:r>
          </w:p>
        </w:tc>
      </w:tr>
      <w:tr>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rs1893217</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0.192024</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0.024003</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1.24E-15</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0.0185</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0.0096</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0.0531496</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0.0858</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0.0625</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0.1698</w:t>
            </w:r>
          </w:p>
        </w:tc>
      </w:tr>
      <w:tr>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rs2111485</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0.164993</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0.0189991</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3.81E-18</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-0.0056</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0.0074</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0.446</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0.0782</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0.0462</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0.0905399</w:t>
            </w:r>
          </w:p>
        </w:tc>
      </w:tr>
      <w:tr>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rs2237892</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-0.0269602</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0.037944</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0.477378</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-0.096</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0.0157</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8.75E-10</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-0.145</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0.1045</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0.1654</w:t>
            </w:r>
          </w:p>
        </w:tc>
      </w:tr>
      <w:tr>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rs229533</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0.106969</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0.0189945</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1.79E-08</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0.0039</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0.0079</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0.623799</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0.07</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0.0464</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0.1316</w:t>
            </w:r>
          </w:p>
        </w:tc>
      </w:tr>
      <w:tr>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rs2493394</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0.138021</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0.0290045</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1.95E-06</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0.073</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0.0113</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1.15E-10</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0.0874</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0.0661</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0.1861</w:t>
            </w:r>
          </w:p>
        </w:tc>
      </w:tr>
      <w:tr>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rs2611215</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-0.167969</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0.0249954</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1.82E-11</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0.0113</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0.0107</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0.291</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-0.0866</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0.0537</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0.1064</w:t>
            </w:r>
          </w:p>
        </w:tc>
      </w:tr>
      <w:tr>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rs2867125</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0.0269602</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0.0249631</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0.280143</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0.0601</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0.0096</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4.33E-10</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0.0278</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0.062</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0.6536</w:t>
            </w:r>
          </w:p>
        </w:tc>
      </w:tr>
      <w:tr>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rs3087243</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-0.178051</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0.0190054</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7.36E-21</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7.00E-04</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0.0072</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0.9243</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-0.0691</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0.0484</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0.1532</w:t>
            </w:r>
          </w:p>
        </w:tc>
      </w:tr>
      <w:tr>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rs3184504</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-0.266051</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0.0190036</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1.56E-44</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-0.024</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0.0073</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0.001008</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-0.0885</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0.0464</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0.0564196</w:t>
            </w:r>
          </w:p>
        </w:tc>
      </w:tr>
      <w:tr>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rs340874</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-0.00697561</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0.0189338</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0.712559</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0.0626</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0.0073</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8.41E-18</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0.0227</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0.0462</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0.624001</w:t>
            </w:r>
          </w:p>
        </w:tc>
      </w:tr>
      <w:tr>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rs3802177</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0.0379699</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0.0199842</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0.0574328</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-0.1217</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0.008</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2.32E-52</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0.0061</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0.047</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0.8963</w:t>
            </w:r>
          </w:p>
        </w:tc>
      </w:tr>
      <w:tr>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rs4820830</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-0.134968</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0.0189955</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1.20E-12</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-0.0072</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0.0079</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0.3632</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-0.1354</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0.0491</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0.00583096</w:t>
            </w:r>
          </w:p>
        </w:tc>
      </w:tr>
      <w:tr>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rs516246</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0.142947</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0.018993</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5.22E-14</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-0.0121</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0.0074</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0.1037</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-0.0139</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0.047</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0.768</w:t>
            </w:r>
          </w:p>
        </w:tc>
      </w:tr>
      <w:tr>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rs516946</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-0.0230327</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0.0210299</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0.273412</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0.0824</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0.0085</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3.16E-22</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-0.0093</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0.0562</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0.8687</w:t>
            </w:r>
          </w:p>
        </w:tc>
      </w:tr>
      <w:tr>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rs5215</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0.0119714</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0.0189547</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0.527662</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-0.0678</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0.0073</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2.09E-20</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0.0377</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0.0458</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0.4095</w:t>
            </w:r>
          </w:p>
        </w:tc>
      </w:tr>
      <w:tr>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rs56994090</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-0.12897</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0.0189956</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1.13E-11</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-0.0143</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0.008</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0.0720493</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-0.0408</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0.0458</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0.3725</w:t>
            </w:r>
          </w:p>
        </w:tc>
      </w:tr>
      <w:tr>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rs6043409</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0.126017</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0.0200027</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2.98E-10</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-0.0035</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0.0082</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0.670101</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-0.0333</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0.0497</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0.5031</w:t>
            </w:r>
          </w:p>
        </w:tc>
      </w:tr>
      <w:tr>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rs6059662</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0.002002</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0.019019</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0.916167</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0.0446</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0.0079</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1.51E-08</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-0.0161</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0.0546</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0.768399</w:t>
            </w:r>
          </w:p>
        </w:tc>
      </w:tr>
      <w:tr>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rs61839660</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-0.471925</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0.0359943</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2.84E-39</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-0.021</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0.0132</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0.1118</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0.1293</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0.1145</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0.2585</w:t>
            </w:r>
          </w:p>
        </w:tc>
      </w:tr>
      <w:tr>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rs62447205</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-0.116983</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0.020997</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2.53E-08</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0.0046</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0.0088</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0.5966</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-0.0275</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0.0489</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0.5739</w:t>
            </w:r>
          </w:p>
        </w:tc>
      </w:tr>
      <w:tr>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rs6679677</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0.635995</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0.0269998</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1.10E-122</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0.0517</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0.0116</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8.03E-06</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0.0618</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0.0648</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0.3401</w:t>
            </w:r>
          </w:p>
        </w:tc>
      </w:tr>
      <w:tr>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rs6691977</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0.126016</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0.0230029</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4.30E-08</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-0.0037</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0.0098</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0.7097</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-0.0069</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0.0487</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0.8877</w:t>
            </w:r>
          </w:p>
        </w:tc>
      </w:tr>
      <w:tr>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rs67232546</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-0.0250102</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0.0230094</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0.277056</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0.0596</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0.0096</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4.66E-10</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-0.0026</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0.0638</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0.9678</w:t>
            </w:r>
          </w:p>
        </w:tc>
      </w:tr>
      <w:tr>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rs6767484</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-0.00803217</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0.0200804</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0.689157</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0.1209</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0.0076</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2.70E-56</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-0.021</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0.0493</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0.6693</w:t>
            </w:r>
          </w:p>
        </w:tc>
      </w:tr>
      <w:tr>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rs6795735</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-0.0179603</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0.0189581</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0.343451</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-0.0558</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0.0073</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1.63E-14</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0.1298</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0.0471</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0.005851</w:t>
            </w:r>
          </w:p>
        </w:tc>
      </w:tr>
      <w:tr>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rs6827756</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-0.131028</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0.0190041</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5.40E-12</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-0.0113</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0.0082</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0.1677</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0.0181</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0.0456</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0.6912</w:t>
            </w:r>
          </w:p>
        </w:tc>
      </w:tr>
      <w:tr>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rs6960043</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0.026036</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0.0190263</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0.17118</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0.064</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0.0071</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3.61E-19</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0.0048</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0.0464</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0.918</w:t>
            </w:r>
          </w:p>
        </w:tc>
      </w:tr>
      <w:tr>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rs7144011</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0.0280042</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0.0220033</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0.203115</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0.0482</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0.0085</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1.64E-08</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0.0791</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0.0532</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0.1365</w:t>
            </w:r>
          </w:p>
        </w:tc>
      </w:tr>
      <w:tr>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rs7239671</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0.120978</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0.0179967</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1.79E-11</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0.0044</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0.0078</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0.5716</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0.009</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0.0459</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0.8441</w:t>
            </w:r>
          </w:p>
        </w:tc>
      </w:tr>
      <w:tr>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rs72727394</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0.138021</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0.0220034</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3.55E-10</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0.0431</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0.0097</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9.08E-06</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-0.0784</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0.0566</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0.1658</w:t>
            </w:r>
          </w:p>
        </w:tc>
      </w:tr>
      <w:tr>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rs72928038</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0.179985</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0.0239981</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6.38E-14</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0.0095</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0.0102</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0.3533</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0.0145</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0.0721</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0.8412</w:t>
            </w:r>
          </w:p>
        </w:tc>
      </w:tr>
      <w:tr>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rs7561798</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0.0289761</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0.0179852</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0.107156</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0.04</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0.0072</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2.79E-08</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0.08</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0.0457</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0.07993</w:t>
            </w:r>
          </w:p>
        </w:tc>
      </w:tr>
      <w:tr>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rs7607777</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-0.0509776</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0.0309864</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0.0999355</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-0.137</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0.0125</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9.40E-28</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0.1884</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0.1028</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0.0669407</w:t>
            </w:r>
          </w:p>
        </w:tc>
      </w:tr>
      <w:tr>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rs7729395</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-0.0859937</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0.0429969</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0.0454999</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0.1373</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0.016</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1.10E-17</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-0.1522</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0.0995</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0.126</w:t>
            </w:r>
          </w:p>
        </w:tc>
      </w:tr>
      <w:tr>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rs7756992</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0.0240095</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0.0210083</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0.253098</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0.1297</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0.0078</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6.00E-62</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0.0061</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0.0481</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0.8995</w:t>
            </w:r>
          </w:p>
        </w:tc>
      </w:tr>
      <w:tr>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rs780094</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0.0360418</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0.019022</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0.0581273</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0.0692</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0.0074</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5.16E-21</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0.0106</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0.0478</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0.8243</w:t>
            </w:r>
          </w:p>
        </w:tc>
      </w:tr>
      <w:tr>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rs7845219</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-0.0280042</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0.0190028</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0.140567</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-0.0422</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0.0072</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4.54E-09</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0.0104</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0.0455</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0.8187</w:t>
            </w:r>
          </w:p>
        </w:tc>
      </w:tr>
      <w:tr>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rs8056814</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0.27801</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0.0310012</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3.03E-19</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-0.113</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0.0143</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3.25E-15</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-0.0095</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0.0832</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0.9088</w:t>
            </w:r>
          </w:p>
        </w:tc>
      </w:tr>
      <w:tr>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rs825476</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0.0160278</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0.019033</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0.399729</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0.0524</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0.0073</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6.80E-13</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0.0835</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0.0465</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0.0723802</w:t>
            </w:r>
          </w:p>
        </w:tc>
      </w:tr>
      <w:tr>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rs849135</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0.0619818</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0.0189944</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0.00110179</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-0.0999</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0.0072</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1.04E-43</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-0.0309</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0.046</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0.5019</w:t>
            </w:r>
          </w:p>
        </w:tc>
      </w:tr>
      <w:tr>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rs853974</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-0.0629748</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0.0209916</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0.00269979</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-0.0601</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0.0088</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7.86E-12</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0.0292</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0.0512</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0.5687</w:t>
            </w:r>
          </w:p>
        </w:tc>
      </w:tr>
      <w:tr>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rs9585056</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-0.116004</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0.0210007</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3.32E-08</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0.0104</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0.009</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0.2495</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0.0037</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0.0524</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0.9436</w:t>
            </w:r>
          </w:p>
        </w:tc>
      </w:tr>
      <w:tr>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rs9928094</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-0.00300451</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0.0190286</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0.87454</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0.1045</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0.0072</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3.59E-47</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0.0495</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0.0459</w:t>
            </w:r>
          </w:p>
        </w:tc>
        <w:tc>
          <w:tcPr>
            <w:tcW w:w="1080" w:type="dxa"/>
            <w:tcBorders>
              <w:top w:val="nil"/>
              <w:left w:val="nil"/>
              <w:bottom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0.2809</w:t>
            </w:r>
          </w:p>
        </w:tc>
      </w:tr>
      <w:tr>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080" w:type="dxa"/>
            <w:tcBorders>
              <w:top w:val="nil"/>
              <w:left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rs9940149</w:t>
            </w:r>
          </w:p>
        </w:tc>
        <w:tc>
          <w:tcPr>
            <w:tcW w:w="1080" w:type="dxa"/>
            <w:tcBorders>
              <w:top w:val="nil"/>
              <w:left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-0.002002</w:t>
            </w:r>
          </w:p>
        </w:tc>
        <w:tc>
          <w:tcPr>
            <w:tcW w:w="1080" w:type="dxa"/>
            <w:tcBorders>
              <w:top w:val="nil"/>
              <w:left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0.024024</w:t>
            </w:r>
          </w:p>
        </w:tc>
        <w:tc>
          <w:tcPr>
            <w:tcW w:w="1080" w:type="dxa"/>
            <w:tcBorders>
              <w:top w:val="nil"/>
              <w:left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0.933587</w:t>
            </w:r>
          </w:p>
        </w:tc>
        <w:tc>
          <w:tcPr>
            <w:tcW w:w="1080" w:type="dxa"/>
            <w:tcBorders>
              <w:top w:val="nil"/>
              <w:left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-0.058</w:t>
            </w:r>
          </w:p>
        </w:tc>
        <w:tc>
          <w:tcPr>
            <w:tcW w:w="1080" w:type="dxa"/>
            <w:tcBorders>
              <w:top w:val="nil"/>
              <w:left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0.0095</w:t>
            </w:r>
          </w:p>
        </w:tc>
        <w:tc>
          <w:tcPr>
            <w:tcW w:w="1080" w:type="dxa"/>
            <w:tcBorders>
              <w:top w:val="nil"/>
              <w:left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9.29E-10</w:t>
            </w:r>
          </w:p>
        </w:tc>
        <w:tc>
          <w:tcPr>
            <w:tcW w:w="1080" w:type="dxa"/>
            <w:tcBorders>
              <w:top w:val="nil"/>
              <w:left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-0.0346</w:t>
            </w:r>
          </w:p>
        </w:tc>
        <w:tc>
          <w:tcPr>
            <w:tcW w:w="1080" w:type="dxa"/>
            <w:tcBorders>
              <w:top w:val="nil"/>
              <w:left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0.0746</w:t>
            </w:r>
          </w:p>
        </w:tc>
        <w:tc>
          <w:tcPr>
            <w:tcW w:w="1080" w:type="dxa"/>
            <w:tcBorders>
              <w:top w:val="nil"/>
              <w:left w:val="nil"/>
              <w:right w:val="nil"/>
            </w:tcBorders>
            <w:shd w:val="clear" w:color="auto" w:fill="auto"/>
            <w:vAlign w:val="center"/>
          </w:tcPr>
          <w:p>
            <w:pPr>
              <w:widowControl/>
              <w:adjustRightInd w:val="0"/>
              <w:snapToGrid w:val="0"/>
              <w:spacing w:line="160" w:lineRule="exact"/>
              <w:jc w:val="left"/>
              <w:rPr>
                <w:rFonts w:ascii="Times New Roman" w:hAnsi="Times New Roman" w:eastAsia="宋体" w:cs="Times New Roman"/>
                <w:b/>
                <w:bCs/>
                <w:color w:val="000000"/>
                <w:kern w:val="0"/>
                <w:sz w:val="16"/>
                <w:szCs w:val="16"/>
                <w14:ligatures w14:val="none"/>
              </w:rPr>
            </w:pPr>
            <w:r>
              <w:rPr>
                <w:rFonts w:hint="eastAsia" w:ascii="Times New Roman" w:hAnsi="Times New Roman" w:eastAsia="宋体" w:cs="Times New Roman"/>
                <w:b/>
                <w:bCs/>
                <w:color w:val="000000"/>
                <w:kern w:val="0"/>
                <w:sz w:val="16"/>
                <w:szCs w:val="16"/>
                <w14:ligatures w14:val="none"/>
              </w:rPr>
              <w:t>0.6428</w:t>
            </w:r>
          </w:p>
        </w:tc>
      </w:tr>
    </w:tbl>
    <w:p>
      <w:pPr>
        <w:rPr>
          <w:rFonts w:ascii="Times New Roman" w:hAnsi="Times New Roman"/>
          <w:color w:val="000000"/>
          <w:sz w:val="20"/>
          <w:szCs w:val="20"/>
        </w:rPr>
        <w:sectPr>
          <w:pgSz w:w="16838" w:h="11906" w:orient="landscape"/>
          <w:pgMar w:top="1800" w:right="1440" w:bottom="1800" w:left="1440" w:header="851" w:footer="992" w:gutter="0"/>
          <w:cols w:space="425" w:num="1"/>
          <w:docGrid w:type="lines" w:linePitch="312" w:charSpace="0"/>
        </w:sectPr>
      </w:pPr>
    </w:p>
    <w:p>
      <w:pPr>
        <w:rPr>
          <w:rFonts w:ascii="Times New Roman" w:hAnsi="Times New Roman"/>
          <w:color w:val="000000"/>
          <w:sz w:val="20"/>
          <w:szCs w:val="20"/>
        </w:rPr>
      </w:pPr>
      <w:r>
        <w:rPr>
          <w:rFonts w:ascii="Times New Roman" w:hAnsi="Times New Roman"/>
          <w:b/>
          <w:bCs/>
          <w:sz w:val="20"/>
          <w:szCs w:val="20"/>
        </w:rPr>
        <w:t>Supplementary</w:t>
      </w:r>
      <w:r>
        <w:rPr>
          <w:rFonts w:ascii="Times New Roman" w:hAnsi="Times New Roman"/>
          <w:b/>
          <w:bCs/>
          <w:color w:val="000000"/>
          <w:sz w:val="20"/>
          <w:szCs w:val="20"/>
        </w:rPr>
        <w:t xml:space="preserve"> Table 4. </w:t>
      </w:r>
      <w:r>
        <w:rPr>
          <w:rFonts w:hint="eastAsia" w:ascii="Times New Roman" w:hAnsi="Times New Roman"/>
          <w:color w:val="000000"/>
          <w:sz w:val="20"/>
          <w:szCs w:val="20"/>
          <w:lang w:eastAsia="en-GB"/>
        </w:rPr>
        <w:t>STROBE-MR checklist of recommended items to address in reports of Mendelian randomization studies</w:t>
      </w:r>
      <w:r>
        <w:rPr>
          <w:rFonts w:hint="eastAsia" w:ascii="Times New Roman" w:hAnsi="Times New Roman"/>
          <w:color w:val="000000"/>
          <w:sz w:val="20"/>
          <w:szCs w:val="20"/>
        </w:rPr>
        <w:t>.</w:t>
      </w:r>
    </w:p>
    <w:tbl>
      <w:tblPr>
        <w:tblStyle w:val="5"/>
        <w:tblW w:w="14490" w:type="dxa"/>
        <w:tblInd w:w="0" w:type="dxa"/>
        <w:tblLayout w:type="autofit"/>
        <w:tblCellMar>
          <w:top w:w="0" w:type="dxa"/>
          <w:left w:w="108" w:type="dxa"/>
          <w:bottom w:w="0" w:type="dxa"/>
          <w:right w:w="108" w:type="dxa"/>
        </w:tblCellMar>
      </w:tblPr>
      <w:tblGrid>
        <w:gridCol w:w="587"/>
        <w:gridCol w:w="1822"/>
        <w:gridCol w:w="7041"/>
        <w:gridCol w:w="720"/>
        <w:gridCol w:w="4320"/>
      </w:tblGrid>
      <w:tr>
        <w:tblPrEx>
          <w:tblCellMar>
            <w:top w:w="0" w:type="dxa"/>
            <w:left w:w="108" w:type="dxa"/>
            <w:bottom w:w="0" w:type="dxa"/>
            <w:right w:w="108" w:type="dxa"/>
          </w:tblCellMar>
        </w:tblPrEx>
        <w:trPr>
          <w:trHeight w:val="826" w:hRule="atLeast"/>
        </w:trPr>
        <w:tc>
          <w:tcPr>
            <w:tcW w:w="587" w:type="dxa"/>
            <w:tcBorders>
              <w:top w:val="single" w:color="auto" w:sz="4" w:space="0"/>
              <w:bottom w:val="single" w:color="7F7F7F" w:sz="6" w:space="0"/>
            </w:tcBorders>
            <w:shd w:val="clear" w:color="auto" w:fill="auto"/>
          </w:tcPr>
          <w:p>
            <w:pPr>
              <w:spacing w:before="124" w:beforeLines="40" w:after="124" w:afterLines="40" w:line="24" w:lineRule="atLeast"/>
              <w:rPr>
                <w:rFonts w:ascii="Arial" w:hAnsi="Arial" w:eastAsia="Cambria" w:cs="Arial"/>
                <w:b/>
                <w:bCs/>
                <w:sz w:val="18"/>
                <w:szCs w:val="18"/>
                <w:lang w:val="en-GB" w:eastAsia="en-US"/>
              </w:rPr>
            </w:pPr>
            <w:r>
              <w:rPr>
                <w:rFonts w:ascii="Arial" w:hAnsi="Arial" w:eastAsia="Cambria" w:cs="Arial"/>
                <w:b/>
                <w:bCs/>
                <w:sz w:val="18"/>
                <w:szCs w:val="18"/>
                <w:lang w:val="en-GB" w:eastAsia="en-US"/>
              </w:rPr>
              <w:t>Item No.</w:t>
            </w:r>
          </w:p>
        </w:tc>
        <w:tc>
          <w:tcPr>
            <w:tcW w:w="1822" w:type="dxa"/>
            <w:tcBorders>
              <w:top w:val="single" w:color="auto" w:sz="4" w:space="0"/>
              <w:bottom w:val="single" w:color="7F7F7F" w:sz="6" w:space="0"/>
            </w:tcBorders>
            <w:shd w:val="clear" w:color="auto" w:fill="auto"/>
          </w:tcPr>
          <w:p>
            <w:pPr>
              <w:spacing w:before="124" w:beforeLines="40" w:after="124" w:afterLines="40" w:line="24" w:lineRule="atLeast"/>
              <w:rPr>
                <w:rFonts w:ascii="Arial" w:hAnsi="Arial" w:eastAsia="Cambria" w:cs="Arial"/>
                <w:b/>
                <w:bCs/>
                <w:sz w:val="18"/>
                <w:szCs w:val="18"/>
                <w:lang w:val="en-GB" w:eastAsia="en-US"/>
              </w:rPr>
            </w:pPr>
            <w:r>
              <w:rPr>
                <w:rFonts w:ascii="Arial" w:hAnsi="Arial" w:eastAsia="Cambria" w:cs="Arial"/>
                <w:b/>
                <w:bCs/>
                <w:sz w:val="18"/>
                <w:szCs w:val="18"/>
                <w:lang w:val="en-GB" w:eastAsia="en-US"/>
              </w:rPr>
              <w:t>Section</w:t>
            </w:r>
          </w:p>
        </w:tc>
        <w:tc>
          <w:tcPr>
            <w:tcW w:w="7041" w:type="dxa"/>
            <w:tcBorders>
              <w:top w:val="single" w:color="auto" w:sz="4" w:space="0"/>
              <w:bottom w:val="single" w:color="7F7F7F" w:sz="6" w:space="0"/>
            </w:tcBorders>
            <w:shd w:val="clear" w:color="auto" w:fill="auto"/>
          </w:tcPr>
          <w:p>
            <w:pPr>
              <w:spacing w:before="124" w:beforeLines="40" w:after="124" w:afterLines="40" w:line="24" w:lineRule="atLeast"/>
              <w:rPr>
                <w:rFonts w:ascii="Arial" w:hAnsi="Arial" w:eastAsia="Cambria" w:cs="Arial"/>
                <w:b/>
                <w:bCs/>
                <w:sz w:val="18"/>
                <w:szCs w:val="18"/>
                <w:lang w:val="en-GB" w:eastAsia="en-US"/>
              </w:rPr>
            </w:pPr>
            <w:r>
              <w:rPr>
                <w:rFonts w:ascii="Arial" w:hAnsi="Arial" w:eastAsia="Cambria" w:cs="Arial"/>
                <w:b/>
                <w:bCs/>
                <w:sz w:val="18"/>
                <w:szCs w:val="18"/>
                <w:lang w:val="en-GB" w:eastAsia="en-US"/>
              </w:rPr>
              <w:t xml:space="preserve">Checklist item </w:t>
            </w:r>
          </w:p>
        </w:tc>
        <w:tc>
          <w:tcPr>
            <w:tcW w:w="720" w:type="dxa"/>
            <w:tcBorders>
              <w:top w:val="single" w:color="auto" w:sz="4" w:space="0"/>
              <w:bottom w:val="single" w:color="7F7F7F" w:sz="6" w:space="0"/>
            </w:tcBorders>
          </w:tcPr>
          <w:p>
            <w:pPr>
              <w:spacing w:before="124" w:beforeLines="40" w:after="124" w:afterLines="40" w:line="24" w:lineRule="atLeast"/>
              <w:rPr>
                <w:rFonts w:ascii="Arial" w:hAnsi="Arial" w:eastAsia="Cambria" w:cs="Arial"/>
                <w:b/>
                <w:bCs/>
                <w:sz w:val="18"/>
                <w:szCs w:val="18"/>
                <w:lang w:val="en-GB" w:eastAsia="en-US"/>
              </w:rPr>
            </w:pPr>
            <w:r>
              <w:rPr>
                <w:rFonts w:ascii="Arial" w:hAnsi="Arial" w:eastAsia="Cambria" w:cs="Arial"/>
                <w:b/>
                <w:bCs/>
                <w:sz w:val="18"/>
                <w:szCs w:val="18"/>
                <w:lang w:val="en-GB" w:eastAsia="en-US"/>
              </w:rPr>
              <w:t>Page No.</w:t>
            </w:r>
          </w:p>
        </w:tc>
        <w:tc>
          <w:tcPr>
            <w:tcW w:w="4320" w:type="dxa"/>
            <w:tcBorders>
              <w:top w:val="single" w:color="auto" w:sz="4" w:space="0"/>
              <w:bottom w:val="single" w:color="7F7F7F" w:sz="6" w:space="0"/>
            </w:tcBorders>
          </w:tcPr>
          <w:p>
            <w:pPr>
              <w:spacing w:before="124" w:beforeLines="40" w:after="124" w:afterLines="40" w:line="24" w:lineRule="atLeast"/>
              <w:rPr>
                <w:rFonts w:ascii="Arial" w:hAnsi="Arial" w:eastAsia="Cambria" w:cs="Arial"/>
                <w:b/>
                <w:bCs/>
                <w:sz w:val="18"/>
                <w:szCs w:val="18"/>
                <w:lang w:val="en-GB" w:eastAsia="en-US"/>
              </w:rPr>
            </w:pPr>
            <w:r>
              <w:rPr>
                <w:rFonts w:ascii="Arial" w:hAnsi="Arial" w:eastAsia="Cambria" w:cs="Arial"/>
                <w:b/>
                <w:bCs/>
                <w:sz w:val="18"/>
                <w:szCs w:val="18"/>
                <w:lang w:val="en-GB" w:eastAsia="en-US"/>
              </w:rPr>
              <w:t>Relevant text from manuscript</w:t>
            </w:r>
          </w:p>
        </w:tc>
      </w:tr>
      <w:tr>
        <w:tblPrEx>
          <w:tblCellMar>
            <w:top w:w="0" w:type="dxa"/>
            <w:left w:w="108" w:type="dxa"/>
            <w:bottom w:w="0" w:type="dxa"/>
            <w:right w:w="108" w:type="dxa"/>
          </w:tblCellMar>
        </w:tblPrEx>
        <w:tc>
          <w:tcPr>
            <w:tcW w:w="587" w:type="dxa"/>
            <w:tcBorders>
              <w:top w:val="single" w:color="7F7F7F" w:sz="6" w:space="0"/>
              <w:bottom w:val="single" w:color="7F7F7F" w:sz="6" w:space="0"/>
            </w:tcBorders>
            <w:shd w:val="clear" w:color="auto" w:fill="EEEEEE"/>
          </w:tcPr>
          <w:p>
            <w:pPr>
              <w:spacing w:before="124" w:beforeLines="40" w:after="124" w:afterLines="40" w:line="24" w:lineRule="atLeast"/>
              <w:rPr>
                <w:rFonts w:ascii="Arial" w:hAnsi="Arial" w:eastAsia="Times New Roman" w:cs="Arial"/>
                <w:b/>
                <w:bCs/>
                <w:sz w:val="18"/>
                <w:szCs w:val="18"/>
                <w:lang w:val="en-GB" w:eastAsia="en-GB"/>
              </w:rPr>
            </w:pPr>
            <w:r>
              <w:rPr>
                <w:rFonts w:ascii="Arial" w:hAnsi="Arial" w:eastAsia="Times New Roman" w:cs="Arial"/>
                <w:sz w:val="18"/>
                <w:szCs w:val="18"/>
                <w:lang w:val="en-GB" w:eastAsia="en-GB"/>
              </w:rPr>
              <w:t>1</w:t>
            </w:r>
          </w:p>
        </w:tc>
        <w:tc>
          <w:tcPr>
            <w:tcW w:w="1822" w:type="dxa"/>
            <w:tcBorders>
              <w:top w:val="single" w:color="7F7F7F" w:sz="6" w:space="0"/>
              <w:bottom w:val="single" w:color="7F7F7F" w:sz="6" w:space="0"/>
            </w:tcBorders>
            <w:shd w:val="clear" w:color="auto" w:fill="EEEEEE"/>
          </w:tcPr>
          <w:p>
            <w:pPr>
              <w:spacing w:before="124" w:beforeLines="40" w:after="124" w:afterLines="40" w:line="24" w:lineRule="atLeast"/>
              <w:rPr>
                <w:rFonts w:ascii="Arial" w:hAnsi="Arial" w:eastAsia="Times New Roman" w:cs="Arial"/>
                <w:sz w:val="18"/>
                <w:szCs w:val="18"/>
                <w:lang w:val="en-GB" w:eastAsia="en-GB"/>
              </w:rPr>
            </w:pPr>
            <w:r>
              <w:rPr>
                <w:rFonts w:ascii="Arial" w:hAnsi="Arial" w:eastAsia="Times New Roman" w:cs="Arial"/>
                <w:b/>
                <w:bCs/>
                <w:sz w:val="18"/>
                <w:szCs w:val="18"/>
                <w:lang w:val="en-GB" w:eastAsia="en-GB"/>
              </w:rPr>
              <w:t>TITLE and ABSTRACT</w:t>
            </w:r>
          </w:p>
        </w:tc>
        <w:tc>
          <w:tcPr>
            <w:tcW w:w="7041" w:type="dxa"/>
            <w:tcBorders>
              <w:top w:val="single" w:color="7F7F7F" w:sz="6" w:space="0"/>
              <w:bottom w:val="single" w:color="7F7F7F" w:sz="6" w:space="0"/>
            </w:tcBorders>
            <w:shd w:val="clear" w:color="auto" w:fill="EEEEEE"/>
          </w:tcPr>
          <w:p>
            <w:pPr>
              <w:widowControl/>
              <w:spacing w:before="124" w:beforeLines="40" w:after="124" w:afterLines="40" w:line="24" w:lineRule="atLeast"/>
              <w:jc w:val="left"/>
              <w:rPr>
                <w:rFonts w:ascii="Arial" w:hAnsi="Arial" w:eastAsia="Times New Roman" w:cs="Arial"/>
                <w:kern w:val="0"/>
                <w:sz w:val="18"/>
                <w:szCs w:val="18"/>
                <w:lang w:val="en-GB" w:eastAsia="en-US"/>
                <w14:ligatures w14:val="none"/>
              </w:rPr>
            </w:pPr>
            <w:r>
              <w:rPr>
                <w:rFonts w:ascii="Arial" w:hAnsi="Arial" w:eastAsia="Times New Roman" w:cs="Arial"/>
                <w:kern w:val="0"/>
                <w:sz w:val="18"/>
                <w:szCs w:val="18"/>
                <w:lang w:val="en-GB" w:eastAsia="en-GB"/>
                <w14:ligatures w14:val="none"/>
              </w:rPr>
              <w:t>Indicate Mendelian randomization (MR) as the study’s design in the title and/or the abstract if that is a main purpose of the study</w:t>
            </w:r>
          </w:p>
        </w:tc>
        <w:tc>
          <w:tcPr>
            <w:tcW w:w="720" w:type="dxa"/>
            <w:tcBorders>
              <w:top w:val="single" w:color="7F7F7F" w:sz="6" w:space="0"/>
              <w:bottom w:val="single" w:color="7F7F7F" w:sz="6" w:space="0"/>
            </w:tcBorders>
            <w:shd w:val="clear" w:color="auto" w:fill="EEEEEE"/>
          </w:tcPr>
          <w:p>
            <w:pPr>
              <w:widowControl/>
              <w:spacing w:before="124" w:beforeLines="40" w:after="124" w:afterLines="40" w:line="24" w:lineRule="atLeast"/>
              <w:jc w:val="left"/>
              <w:rPr>
                <w:rFonts w:ascii="Arial" w:hAnsi="Arial" w:eastAsia="宋体" w:cs="Arial"/>
                <w:kern w:val="0"/>
                <w:sz w:val="18"/>
                <w:szCs w:val="18"/>
                <w14:ligatures w14:val="none"/>
              </w:rPr>
            </w:pPr>
            <w:r>
              <w:rPr>
                <w:rFonts w:hint="eastAsia" w:ascii="Arial" w:hAnsi="Arial" w:eastAsia="宋体" w:cs="Arial"/>
                <w:kern w:val="0"/>
                <w:sz w:val="18"/>
                <w:szCs w:val="18"/>
                <w14:ligatures w14:val="none"/>
              </w:rPr>
              <w:t>1</w:t>
            </w:r>
          </w:p>
        </w:tc>
        <w:tc>
          <w:tcPr>
            <w:tcW w:w="4320" w:type="dxa"/>
            <w:tcBorders>
              <w:top w:val="single" w:color="7F7F7F" w:sz="6" w:space="0"/>
              <w:bottom w:val="single" w:color="7F7F7F" w:sz="6" w:space="0"/>
            </w:tcBorders>
            <w:shd w:val="clear" w:color="auto" w:fill="EEEEEE"/>
          </w:tcPr>
          <w:p>
            <w:pPr>
              <w:widowControl/>
              <w:spacing w:before="124" w:beforeLines="40" w:after="124" w:afterLines="40" w:line="24" w:lineRule="atLeast"/>
              <w:jc w:val="left"/>
              <w:rPr>
                <w:rFonts w:ascii="Arial" w:hAnsi="Arial" w:eastAsia="Times New Roman" w:cs="Arial"/>
                <w:kern w:val="0"/>
                <w:sz w:val="18"/>
                <w:szCs w:val="18"/>
                <w:lang w:val="en-GB" w:eastAsia="en-GB"/>
                <w14:ligatures w14:val="none"/>
              </w:rPr>
            </w:pPr>
            <w:r>
              <w:rPr>
                <w:rFonts w:ascii="Arial" w:hAnsi="Arial" w:eastAsia="Times New Roman" w:cs="Arial"/>
                <w:kern w:val="0"/>
                <w:sz w:val="18"/>
                <w:szCs w:val="18"/>
                <w:lang w:val="en-GB" w:eastAsia="en-GB"/>
                <w14:ligatures w14:val="none"/>
              </w:rPr>
              <w:t>Title: Diabetes mellitus and idiopathic pulmonary fibrosis: A Mendelian randomization study</w:t>
            </w:r>
          </w:p>
        </w:tc>
      </w:tr>
      <w:tr>
        <w:tblPrEx>
          <w:tblCellMar>
            <w:top w:w="0" w:type="dxa"/>
            <w:left w:w="108" w:type="dxa"/>
            <w:bottom w:w="0" w:type="dxa"/>
            <w:right w:w="108" w:type="dxa"/>
          </w:tblCellMar>
        </w:tblPrEx>
        <w:tc>
          <w:tcPr>
            <w:tcW w:w="587" w:type="dxa"/>
            <w:tcBorders>
              <w:top w:val="single" w:color="7F7F7F" w:sz="6" w:space="0"/>
            </w:tcBorders>
            <w:shd w:val="clear" w:color="auto" w:fill="auto"/>
          </w:tcPr>
          <w:p>
            <w:pPr>
              <w:spacing w:before="124" w:beforeLines="40" w:after="124" w:afterLines="40" w:line="24" w:lineRule="atLeast"/>
              <w:rPr>
                <w:rFonts w:ascii="Arial" w:hAnsi="Arial" w:eastAsia="Times New Roman" w:cs="Arial"/>
                <w:b/>
                <w:bCs/>
                <w:sz w:val="18"/>
                <w:szCs w:val="18"/>
                <w:lang w:val="en-GB" w:eastAsia="en-GB"/>
              </w:rPr>
            </w:pPr>
          </w:p>
        </w:tc>
        <w:tc>
          <w:tcPr>
            <w:tcW w:w="1822" w:type="dxa"/>
            <w:tcBorders>
              <w:top w:val="single" w:color="7F7F7F" w:sz="6" w:space="0"/>
            </w:tcBorders>
            <w:shd w:val="clear" w:color="auto" w:fill="auto"/>
          </w:tcPr>
          <w:p>
            <w:pPr>
              <w:spacing w:before="124" w:beforeLines="40" w:after="124" w:afterLines="40" w:line="24" w:lineRule="atLeast"/>
              <w:rPr>
                <w:rFonts w:ascii="Arial" w:hAnsi="Arial" w:eastAsia="Times New Roman" w:cs="Arial"/>
                <w:sz w:val="18"/>
                <w:szCs w:val="18"/>
                <w:lang w:val="en-GB" w:eastAsia="en-GB"/>
              </w:rPr>
            </w:pPr>
            <w:r>
              <w:rPr>
                <w:rFonts w:ascii="Arial" w:hAnsi="Arial" w:eastAsia="Times New Roman" w:cs="Arial"/>
                <w:b/>
                <w:bCs/>
                <w:sz w:val="18"/>
                <w:szCs w:val="18"/>
                <w:lang w:val="en-GB" w:eastAsia="en-GB"/>
              </w:rPr>
              <w:t>INTRODUCTION</w:t>
            </w:r>
          </w:p>
        </w:tc>
        <w:tc>
          <w:tcPr>
            <w:tcW w:w="7041" w:type="dxa"/>
            <w:tcBorders>
              <w:top w:val="single" w:color="7F7F7F" w:sz="6" w:space="0"/>
            </w:tcBorders>
            <w:shd w:val="clear" w:color="auto" w:fill="auto"/>
          </w:tcPr>
          <w:p>
            <w:pPr>
              <w:widowControl/>
              <w:spacing w:before="124" w:beforeLines="40" w:after="124" w:afterLines="40" w:line="24" w:lineRule="atLeast"/>
              <w:jc w:val="left"/>
              <w:rPr>
                <w:rFonts w:ascii="Arial" w:hAnsi="Arial" w:eastAsia="Times New Roman" w:cs="Arial"/>
                <w:kern w:val="0"/>
                <w:sz w:val="18"/>
                <w:szCs w:val="18"/>
                <w:lang w:val="en-GB" w:eastAsia="en-US"/>
                <w14:ligatures w14:val="none"/>
              </w:rPr>
            </w:pPr>
          </w:p>
        </w:tc>
        <w:tc>
          <w:tcPr>
            <w:tcW w:w="720" w:type="dxa"/>
            <w:tcBorders>
              <w:top w:val="single" w:color="7F7F7F" w:sz="6" w:space="0"/>
            </w:tcBorders>
          </w:tcPr>
          <w:p>
            <w:pPr>
              <w:widowControl/>
              <w:spacing w:before="124" w:beforeLines="40" w:after="124" w:afterLines="40" w:line="24" w:lineRule="atLeast"/>
              <w:jc w:val="left"/>
              <w:rPr>
                <w:rFonts w:ascii="Arial" w:hAnsi="Arial" w:eastAsia="Times New Roman" w:cs="Arial"/>
                <w:kern w:val="0"/>
                <w:sz w:val="18"/>
                <w:szCs w:val="18"/>
                <w:lang w:val="en-GB" w:eastAsia="en-US"/>
                <w14:ligatures w14:val="none"/>
              </w:rPr>
            </w:pPr>
          </w:p>
        </w:tc>
        <w:tc>
          <w:tcPr>
            <w:tcW w:w="4320" w:type="dxa"/>
            <w:tcBorders>
              <w:top w:val="single" w:color="7F7F7F" w:sz="6" w:space="0"/>
            </w:tcBorders>
          </w:tcPr>
          <w:p>
            <w:pPr>
              <w:widowControl/>
              <w:spacing w:before="124" w:beforeLines="40" w:after="124" w:afterLines="40" w:line="24" w:lineRule="atLeast"/>
              <w:jc w:val="left"/>
              <w:rPr>
                <w:rFonts w:ascii="Arial" w:hAnsi="Arial" w:eastAsia="Times New Roman" w:cs="Arial"/>
                <w:kern w:val="0"/>
                <w:sz w:val="18"/>
                <w:szCs w:val="18"/>
                <w:lang w:val="en-GB" w:eastAsia="en-US"/>
                <w14:ligatures w14:val="none"/>
              </w:rPr>
            </w:pPr>
          </w:p>
        </w:tc>
      </w:tr>
      <w:tr>
        <w:tblPrEx>
          <w:tblCellMar>
            <w:top w:w="0" w:type="dxa"/>
            <w:left w:w="108" w:type="dxa"/>
            <w:bottom w:w="0" w:type="dxa"/>
            <w:right w:w="108" w:type="dxa"/>
          </w:tblCellMar>
        </w:tblPrEx>
        <w:tc>
          <w:tcPr>
            <w:tcW w:w="587" w:type="dxa"/>
            <w:shd w:val="clear" w:color="auto" w:fill="EEEEEE"/>
          </w:tcPr>
          <w:p>
            <w:pPr>
              <w:spacing w:before="124" w:beforeLines="40" w:after="124" w:afterLines="40" w:line="24" w:lineRule="atLeast"/>
              <w:rPr>
                <w:rFonts w:ascii="Arial" w:hAnsi="Arial" w:eastAsia="Times New Roman" w:cs="Arial"/>
                <w:b/>
                <w:bCs/>
                <w:sz w:val="18"/>
                <w:szCs w:val="18"/>
                <w:lang w:val="en-GB" w:eastAsia="en-GB"/>
              </w:rPr>
            </w:pPr>
            <w:r>
              <w:rPr>
                <w:rFonts w:ascii="Arial" w:hAnsi="Arial" w:eastAsia="Times New Roman" w:cs="Arial"/>
                <w:sz w:val="18"/>
                <w:szCs w:val="18"/>
                <w:lang w:val="en-GB" w:eastAsia="en-GB"/>
              </w:rPr>
              <w:t>2</w:t>
            </w:r>
          </w:p>
        </w:tc>
        <w:tc>
          <w:tcPr>
            <w:tcW w:w="1822" w:type="dxa"/>
            <w:shd w:val="clear" w:color="auto" w:fill="EEEEEE"/>
          </w:tcPr>
          <w:p>
            <w:pPr>
              <w:spacing w:before="124" w:beforeLines="40" w:after="124" w:afterLines="40" w:line="24" w:lineRule="atLeast"/>
              <w:rPr>
                <w:rFonts w:ascii="Arial" w:hAnsi="Arial" w:eastAsia="Cambria" w:cs="Arial"/>
                <w:sz w:val="18"/>
                <w:szCs w:val="18"/>
                <w:lang w:val="en-GB" w:eastAsia="en-US"/>
              </w:rPr>
            </w:pPr>
            <w:r>
              <w:rPr>
                <w:rFonts w:ascii="Arial" w:hAnsi="Arial" w:eastAsia="Times New Roman" w:cs="Arial"/>
                <w:b/>
                <w:bCs/>
                <w:sz w:val="18"/>
                <w:szCs w:val="18"/>
                <w:lang w:val="en-GB" w:eastAsia="en-GB"/>
              </w:rPr>
              <w:t>Background</w:t>
            </w:r>
          </w:p>
        </w:tc>
        <w:tc>
          <w:tcPr>
            <w:tcW w:w="7041" w:type="dxa"/>
            <w:shd w:val="clear" w:color="auto" w:fill="EEEEEE"/>
          </w:tcPr>
          <w:p>
            <w:pPr>
              <w:widowControl/>
              <w:spacing w:before="124" w:beforeLines="40" w:after="124" w:afterLines="40" w:line="24" w:lineRule="atLeast"/>
              <w:jc w:val="left"/>
              <w:rPr>
                <w:rFonts w:ascii="Arial" w:hAnsi="Arial" w:eastAsia="Times New Roman" w:cs="Arial"/>
                <w:kern w:val="0"/>
                <w:sz w:val="18"/>
                <w:szCs w:val="18"/>
                <w:lang w:val="en-GB" w:eastAsia="en-GB"/>
                <w14:ligatures w14:val="none"/>
              </w:rPr>
            </w:pPr>
            <w:r>
              <w:rPr>
                <w:rFonts w:ascii="Arial" w:hAnsi="Arial" w:eastAsia="Times New Roman" w:cs="Arial"/>
                <w:kern w:val="0"/>
                <w:sz w:val="18"/>
                <w:szCs w:val="18"/>
                <w:lang w:val="en-GB" w:eastAsia="en-GB"/>
                <w14:ligatures w14:val="none"/>
              </w:rPr>
              <w:t>Explain the scientific background and rationale for the reported study. What is the exposure? Is a potential causal relationship between exposure and outcome plausible? Justify why MR is a helpful method to address the study question</w:t>
            </w:r>
          </w:p>
        </w:tc>
        <w:tc>
          <w:tcPr>
            <w:tcW w:w="720" w:type="dxa"/>
            <w:shd w:val="clear" w:color="auto" w:fill="EEEEEE"/>
          </w:tcPr>
          <w:p>
            <w:pPr>
              <w:widowControl/>
              <w:spacing w:before="124" w:beforeLines="40" w:after="124" w:afterLines="40" w:line="24" w:lineRule="atLeast"/>
              <w:jc w:val="left"/>
              <w:rPr>
                <w:rFonts w:ascii="Arial" w:hAnsi="Arial" w:eastAsia="宋体" w:cs="Arial"/>
                <w:kern w:val="0"/>
                <w:sz w:val="18"/>
                <w:szCs w:val="18"/>
                <w14:ligatures w14:val="none"/>
              </w:rPr>
            </w:pPr>
            <w:r>
              <w:rPr>
                <w:rFonts w:hint="eastAsia" w:ascii="Arial" w:hAnsi="Arial" w:eastAsia="宋体" w:cs="Arial"/>
                <w:kern w:val="0"/>
                <w:sz w:val="18"/>
                <w:szCs w:val="18"/>
                <w14:ligatures w14:val="none"/>
              </w:rPr>
              <w:t>4</w:t>
            </w:r>
          </w:p>
        </w:tc>
        <w:tc>
          <w:tcPr>
            <w:tcW w:w="4320" w:type="dxa"/>
            <w:shd w:val="clear" w:color="auto" w:fill="EEEEEE"/>
          </w:tcPr>
          <w:p>
            <w:pPr>
              <w:widowControl/>
              <w:spacing w:before="124" w:beforeLines="40" w:after="124" w:afterLines="40" w:line="24" w:lineRule="atLeast"/>
              <w:jc w:val="left"/>
              <w:rPr>
                <w:rFonts w:ascii="Arial" w:hAnsi="Arial" w:eastAsia="Times New Roman" w:cs="Arial"/>
                <w:kern w:val="0"/>
                <w:sz w:val="18"/>
                <w:szCs w:val="18"/>
                <w:lang w:val="en-GB" w:eastAsia="en-GB"/>
                <w14:ligatures w14:val="none"/>
              </w:rPr>
            </w:pPr>
            <w:r>
              <w:rPr>
                <w:rFonts w:ascii="Arial" w:hAnsi="Arial" w:eastAsia="Times New Roman" w:cs="Arial"/>
                <w:kern w:val="0"/>
                <w:sz w:val="18"/>
                <w:szCs w:val="18"/>
                <w:lang w:val="en-GB" w:eastAsia="en-GB"/>
                <w14:ligatures w14:val="none"/>
              </w:rPr>
              <w:t>A meta-analysis of observational studies examining the relationship between diabetes mellitus (DM) and idiopathic pulmonary fibrosis (IPF) revealed that individuals with IPF had a 1.54-fold higher likelihood of developing DM than those without IPF; nevertheless, whether DM increases the risk of IPF remains controversial. Mendelian randomization (MR) studies have observational designs that employ randomly-assigned genetic variants as phenotypic instrumental variables (IVs) to establish reliable causal inferences regarding exposures and outcomes. Compared to traditional observational studies, MR is less susceptible to confounding or reverse causation</w:t>
            </w:r>
            <w:r>
              <w:rPr>
                <w:rFonts w:ascii="Arial" w:hAnsi="Arial" w:eastAsia="Times New Roman" w:cs="Arial"/>
                <w:kern w:val="0"/>
                <w:sz w:val="18"/>
                <w:szCs w:val="18"/>
                <w14:ligatures w14:val="none"/>
              </w:rPr>
              <w:t>.</w:t>
            </w:r>
            <w:r>
              <w:rPr>
                <w:rFonts w:ascii="Arial" w:hAnsi="Arial" w:eastAsia="Times New Roman" w:cs="Arial"/>
                <w:kern w:val="0"/>
                <w:sz w:val="18"/>
                <w:szCs w:val="18"/>
                <w:lang w:val="en-GB" w:eastAsia="en-GB"/>
                <w14:ligatures w14:val="none"/>
              </w:rPr>
              <w:t xml:space="preserve"> </w:t>
            </w:r>
          </w:p>
        </w:tc>
      </w:tr>
      <w:tr>
        <w:tblPrEx>
          <w:tblCellMar>
            <w:top w:w="0" w:type="dxa"/>
            <w:left w:w="108" w:type="dxa"/>
            <w:bottom w:w="0" w:type="dxa"/>
            <w:right w:w="108" w:type="dxa"/>
          </w:tblCellMar>
        </w:tblPrEx>
        <w:tc>
          <w:tcPr>
            <w:tcW w:w="587" w:type="dxa"/>
            <w:tcBorders>
              <w:bottom w:val="single" w:color="7F7F7F" w:sz="6" w:space="0"/>
            </w:tcBorders>
            <w:shd w:val="clear" w:color="auto" w:fill="auto"/>
          </w:tcPr>
          <w:p>
            <w:pPr>
              <w:spacing w:before="124" w:beforeLines="40" w:after="124" w:afterLines="40" w:line="24" w:lineRule="atLeast"/>
              <w:rPr>
                <w:rFonts w:ascii="Arial" w:hAnsi="Arial" w:eastAsia="Times New Roman" w:cs="Arial"/>
                <w:b/>
                <w:bCs/>
                <w:sz w:val="18"/>
                <w:szCs w:val="18"/>
                <w:lang w:val="en-GB" w:eastAsia="en-GB"/>
              </w:rPr>
            </w:pPr>
            <w:r>
              <w:rPr>
                <w:rFonts w:ascii="Arial" w:hAnsi="Arial" w:eastAsia="Times New Roman" w:cs="Arial"/>
                <w:sz w:val="18"/>
                <w:szCs w:val="18"/>
                <w:lang w:val="en-GB" w:eastAsia="en-GB"/>
              </w:rPr>
              <w:t>3</w:t>
            </w:r>
          </w:p>
        </w:tc>
        <w:tc>
          <w:tcPr>
            <w:tcW w:w="1822" w:type="dxa"/>
            <w:tcBorders>
              <w:bottom w:val="single" w:color="7F7F7F" w:sz="6" w:space="0"/>
            </w:tcBorders>
            <w:shd w:val="clear" w:color="auto" w:fill="auto"/>
          </w:tcPr>
          <w:p>
            <w:pPr>
              <w:spacing w:before="124" w:beforeLines="40" w:after="124" w:afterLines="40" w:line="24" w:lineRule="atLeast"/>
              <w:rPr>
                <w:rFonts w:ascii="Arial" w:hAnsi="Arial" w:eastAsia="Cambria" w:cs="Arial"/>
                <w:sz w:val="18"/>
                <w:szCs w:val="18"/>
                <w:lang w:val="en-GB" w:eastAsia="en-US"/>
              </w:rPr>
            </w:pPr>
            <w:r>
              <w:rPr>
                <w:rFonts w:ascii="Arial" w:hAnsi="Arial" w:eastAsia="Times New Roman" w:cs="Arial"/>
                <w:b/>
                <w:bCs/>
                <w:sz w:val="18"/>
                <w:szCs w:val="18"/>
                <w:lang w:val="en-GB" w:eastAsia="en-GB"/>
              </w:rPr>
              <w:t>Objectives</w:t>
            </w:r>
          </w:p>
        </w:tc>
        <w:tc>
          <w:tcPr>
            <w:tcW w:w="7041" w:type="dxa"/>
            <w:tcBorders>
              <w:bottom w:val="single" w:color="7F7F7F" w:sz="6" w:space="0"/>
            </w:tcBorders>
            <w:shd w:val="clear" w:color="auto" w:fill="auto"/>
          </w:tcPr>
          <w:p>
            <w:pPr>
              <w:widowControl/>
              <w:spacing w:before="124" w:beforeLines="40" w:after="124" w:afterLines="40" w:line="24" w:lineRule="atLeast"/>
              <w:jc w:val="left"/>
              <w:rPr>
                <w:rFonts w:ascii="Arial" w:hAnsi="Arial" w:eastAsia="Times New Roman" w:cs="Arial"/>
                <w:kern w:val="0"/>
                <w:sz w:val="18"/>
                <w:szCs w:val="18"/>
                <w:lang w:val="en-GB" w:eastAsia="en-US"/>
                <w14:ligatures w14:val="none"/>
              </w:rPr>
            </w:pPr>
            <w:r>
              <w:rPr>
                <w:rFonts w:ascii="Arial" w:hAnsi="Arial" w:eastAsia="Times New Roman" w:cs="Arial"/>
                <w:kern w:val="0"/>
                <w:sz w:val="18"/>
                <w:szCs w:val="18"/>
                <w:lang w:val="en-GB" w:eastAsia="en-GB"/>
                <w14:ligatures w14:val="none"/>
              </w:rPr>
              <w:t>State specific objectives clearly, including pre-specified causal hypotheses (if any). State that MR is a method that, under specific assumptions, intends to estimate causal effects</w:t>
            </w:r>
          </w:p>
        </w:tc>
        <w:tc>
          <w:tcPr>
            <w:tcW w:w="720" w:type="dxa"/>
            <w:tcBorders>
              <w:bottom w:val="single" w:color="7F7F7F" w:sz="6" w:space="0"/>
            </w:tcBorders>
          </w:tcPr>
          <w:p>
            <w:pPr>
              <w:widowControl/>
              <w:spacing w:before="124" w:beforeLines="40" w:after="124" w:afterLines="40" w:line="24" w:lineRule="atLeast"/>
              <w:jc w:val="left"/>
              <w:rPr>
                <w:rFonts w:ascii="Arial" w:hAnsi="Arial" w:eastAsia="宋体" w:cs="Arial"/>
                <w:kern w:val="0"/>
                <w:sz w:val="18"/>
                <w:szCs w:val="18"/>
                <w14:ligatures w14:val="none"/>
              </w:rPr>
            </w:pPr>
            <w:r>
              <w:rPr>
                <w:rFonts w:hint="eastAsia" w:ascii="Arial" w:hAnsi="Arial" w:eastAsia="宋体" w:cs="Arial"/>
                <w:kern w:val="0"/>
                <w:sz w:val="18"/>
                <w:szCs w:val="18"/>
                <w14:ligatures w14:val="none"/>
              </w:rPr>
              <w:t>1</w:t>
            </w:r>
          </w:p>
        </w:tc>
        <w:tc>
          <w:tcPr>
            <w:tcW w:w="4320" w:type="dxa"/>
            <w:tcBorders>
              <w:bottom w:val="single" w:color="7F7F7F" w:sz="6" w:space="0"/>
            </w:tcBorders>
          </w:tcPr>
          <w:p>
            <w:pPr>
              <w:widowControl/>
              <w:spacing w:before="124" w:beforeLines="40" w:after="124" w:afterLines="40" w:line="24" w:lineRule="atLeast"/>
              <w:jc w:val="left"/>
              <w:rPr>
                <w:rFonts w:ascii="Arial" w:hAnsi="Arial" w:eastAsia="Times New Roman" w:cs="Arial"/>
                <w:kern w:val="0"/>
                <w:sz w:val="18"/>
                <w:szCs w:val="18"/>
                <w:lang w:val="en-GB" w:eastAsia="en-GB"/>
                <w14:ligatures w14:val="none"/>
              </w:rPr>
            </w:pPr>
            <w:r>
              <w:rPr>
                <w:rFonts w:ascii="Arial" w:hAnsi="Arial" w:eastAsia="Times New Roman" w:cs="Arial"/>
                <w:kern w:val="0"/>
                <w:sz w:val="18"/>
                <w:szCs w:val="18"/>
                <w:lang w:val="en-GB" w:eastAsia="en-GB"/>
                <w14:ligatures w14:val="none"/>
              </w:rPr>
              <w:t>This study aimed to investigate the causal association between type 1 diabetes (T1D), type 2 diabetes (T2D), and IPF using Mendelian randomization (MR) analysis.</w:t>
            </w:r>
          </w:p>
        </w:tc>
      </w:tr>
      <w:tr>
        <w:tblPrEx>
          <w:tblCellMar>
            <w:top w:w="0" w:type="dxa"/>
            <w:left w:w="108" w:type="dxa"/>
            <w:bottom w:w="0" w:type="dxa"/>
            <w:right w:w="108" w:type="dxa"/>
          </w:tblCellMar>
        </w:tblPrEx>
        <w:tc>
          <w:tcPr>
            <w:tcW w:w="587" w:type="dxa"/>
            <w:tcBorders>
              <w:top w:val="single" w:color="7F7F7F" w:sz="6" w:space="0"/>
            </w:tcBorders>
            <w:shd w:val="clear" w:color="auto" w:fill="EEEEEE"/>
          </w:tcPr>
          <w:p>
            <w:pPr>
              <w:spacing w:before="124" w:beforeLines="40" w:after="124" w:afterLines="40" w:line="24" w:lineRule="atLeast"/>
              <w:rPr>
                <w:rFonts w:ascii="Arial" w:hAnsi="Arial" w:eastAsia="Times New Roman" w:cs="Arial"/>
                <w:b/>
                <w:bCs/>
                <w:sz w:val="18"/>
                <w:szCs w:val="18"/>
                <w:lang w:val="en-GB" w:eastAsia="en-GB"/>
              </w:rPr>
            </w:pPr>
          </w:p>
        </w:tc>
        <w:tc>
          <w:tcPr>
            <w:tcW w:w="1822" w:type="dxa"/>
            <w:tcBorders>
              <w:top w:val="single" w:color="7F7F7F" w:sz="6" w:space="0"/>
            </w:tcBorders>
            <w:shd w:val="clear" w:color="auto" w:fill="EEEEEE"/>
          </w:tcPr>
          <w:p>
            <w:pPr>
              <w:spacing w:before="124" w:beforeLines="40" w:after="124" w:afterLines="40" w:line="24" w:lineRule="atLeast"/>
              <w:rPr>
                <w:rFonts w:ascii="Arial" w:hAnsi="Arial" w:eastAsia="Cambria" w:cs="Arial"/>
                <w:sz w:val="18"/>
                <w:szCs w:val="18"/>
                <w:lang w:val="en-GB" w:eastAsia="en-US"/>
              </w:rPr>
            </w:pPr>
            <w:r>
              <w:rPr>
                <w:rFonts w:ascii="Arial" w:hAnsi="Arial" w:eastAsia="Times New Roman" w:cs="Arial"/>
                <w:b/>
                <w:bCs/>
                <w:sz w:val="18"/>
                <w:szCs w:val="18"/>
                <w:lang w:val="en-GB" w:eastAsia="en-GB"/>
              </w:rPr>
              <w:t>METHODS</w:t>
            </w:r>
          </w:p>
        </w:tc>
        <w:tc>
          <w:tcPr>
            <w:tcW w:w="7041" w:type="dxa"/>
            <w:tcBorders>
              <w:top w:val="single" w:color="7F7F7F" w:sz="6" w:space="0"/>
            </w:tcBorders>
            <w:shd w:val="clear" w:color="auto" w:fill="EEEEEE"/>
          </w:tcPr>
          <w:p>
            <w:pPr>
              <w:widowControl/>
              <w:spacing w:before="124" w:beforeLines="40" w:after="124" w:afterLines="40" w:line="24" w:lineRule="atLeast"/>
              <w:jc w:val="left"/>
              <w:rPr>
                <w:rFonts w:ascii="Arial" w:hAnsi="Arial" w:eastAsia="Times New Roman" w:cs="Arial"/>
                <w:kern w:val="0"/>
                <w:sz w:val="18"/>
                <w:szCs w:val="18"/>
                <w:lang w:val="en-GB" w:eastAsia="en-US"/>
                <w14:ligatures w14:val="none"/>
              </w:rPr>
            </w:pPr>
          </w:p>
        </w:tc>
        <w:tc>
          <w:tcPr>
            <w:tcW w:w="720" w:type="dxa"/>
            <w:tcBorders>
              <w:top w:val="single" w:color="7F7F7F" w:sz="6" w:space="0"/>
            </w:tcBorders>
            <w:shd w:val="clear" w:color="auto" w:fill="EEEEEE"/>
          </w:tcPr>
          <w:p>
            <w:pPr>
              <w:widowControl/>
              <w:spacing w:before="124" w:beforeLines="40" w:after="124" w:afterLines="40" w:line="24" w:lineRule="atLeast"/>
              <w:jc w:val="left"/>
              <w:rPr>
                <w:rFonts w:ascii="Arial" w:hAnsi="Arial" w:eastAsia="Times New Roman" w:cs="Arial"/>
                <w:kern w:val="0"/>
                <w:sz w:val="18"/>
                <w:szCs w:val="18"/>
                <w:lang w:val="en-GB" w:eastAsia="en-US"/>
                <w14:ligatures w14:val="none"/>
              </w:rPr>
            </w:pPr>
          </w:p>
        </w:tc>
        <w:tc>
          <w:tcPr>
            <w:tcW w:w="4320" w:type="dxa"/>
            <w:tcBorders>
              <w:top w:val="single" w:color="7F7F7F" w:sz="6" w:space="0"/>
            </w:tcBorders>
            <w:shd w:val="clear" w:color="auto" w:fill="EEEEEE"/>
          </w:tcPr>
          <w:p>
            <w:pPr>
              <w:widowControl/>
              <w:spacing w:before="124" w:beforeLines="40" w:after="124" w:afterLines="40" w:line="24" w:lineRule="atLeast"/>
              <w:jc w:val="left"/>
              <w:rPr>
                <w:rFonts w:ascii="Arial" w:hAnsi="Arial" w:eastAsia="Times New Roman" w:cs="Arial"/>
                <w:kern w:val="0"/>
                <w:sz w:val="18"/>
                <w:szCs w:val="18"/>
                <w:lang w:val="en-GB" w:eastAsia="en-US"/>
                <w14:ligatures w14:val="none"/>
              </w:rPr>
            </w:pPr>
          </w:p>
        </w:tc>
      </w:tr>
      <w:tr>
        <w:tblPrEx>
          <w:tblCellMar>
            <w:top w:w="0" w:type="dxa"/>
            <w:left w:w="108" w:type="dxa"/>
            <w:bottom w:w="0" w:type="dxa"/>
            <w:right w:w="108" w:type="dxa"/>
          </w:tblCellMar>
        </w:tblPrEx>
        <w:tc>
          <w:tcPr>
            <w:tcW w:w="587" w:type="dxa"/>
            <w:shd w:val="clear" w:color="auto" w:fill="auto"/>
          </w:tcPr>
          <w:p>
            <w:pPr>
              <w:spacing w:before="124" w:beforeLines="40" w:after="124" w:afterLines="40" w:line="24" w:lineRule="atLeast"/>
              <w:rPr>
                <w:rFonts w:ascii="Arial" w:hAnsi="Arial" w:eastAsia="Times New Roman" w:cs="Arial"/>
                <w:b/>
                <w:bCs/>
                <w:sz w:val="18"/>
                <w:szCs w:val="18"/>
                <w:lang w:val="en-GB" w:eastAsia="en-GB"/>
              </w:rPr>
            </w:pPr>
            <w:r>
              <w:rPr>
                <w:rFonts w:ascii="Arial" w:hAnsi="Arial" w:eastAsia="Times New Roman" w:cs="Arial"/>
                <w:sz w:val="18"/>
                <w:szCs w:val="18"/>
                <w:lang w:val="en-GB" w:eastAsia="en-GB"/>
              </w:rPr>
              <w:t>4</w:t>
            </w:r>
          </w:p>
        </w:tc>
        <w:tc>
          <w:tcPr>
            <w:tcW w:w="1822" w:type="dxa"/>
            <w:shd w:val="clear" w:color="auto" w:fill="auto"/>
          </w:tcPr>
          <w:p>
            <w:pPr>
              <w:spacing w:before="124" w:beforeLines="40" w:after="124" w:afterLines="40" w:line="24" w:lineRule="atLeast"/>
              <w:rPr>
                <w:rFonts w:ascii="Arial" w:hAnsi="Arial" w:eastAsia="Times New Roman" w:cs="Arial"/>
                <w:sz w:val="18"/>
                <w:szCs w:val="18"/>
                <w:lang w:val="en-GB" w:eastAsia="en-GB"/>
              </w:rPr>
            </w:pPr>
            <w:r>
              <w:rPr>
                <w:rFonts w:ascii="Arial" w:hAnsi="Arial" w:eastAsia="Times New Roman" w:cs="Arial"/>
                <w:b/>
                <w:bCs/>
                <w:sz w:val="18"/>
                <w:szCs w:val="18"/>
                <w:lang w:val="en-GB" w:eastAsia="en-GB"/>
              </w:rPr>
              <w:t>Study design and data sources</w:t>
            </w:r>
          </w:p>
        </w:tc>
        <w:tc>
          <w:tcPr>
            <w:tcW w:w="7041" w:type="dxa"/>
            <w:shd w:val="clear" w:color="auto" w:fill="auto"/>
          </w:tcPr>
          <w:p>
            <w:pPr>
              <w:widowControl/>
              <w:spacing w:before="124" w:beforeLines="40" w:after="124" w:afterLines="40" w:line="24" w:lineRule="atLeast"/>
              <w:jc w:val="left"/>
              <w:rPr>
                <w:rFonts w:ascii="Arial" w:hAnsi="Arial" w:eastAsia="Times New Roman" w:cs="Arial"/>
                <w:kern w:val="0"/>
                <w:sz w:val="18"/>
                <w:szCs w:val="18"/>
                <w:lang w:val="en-GB" w:eastAsia="en-US"/>
                <w14:ligatures w14:val="none"/>
              </w:rPr>
            </w:pPr>
            <w:r>
              <w:rPr>
                <w:rFonts w:ascii="Arial" w:hAnsi="Arial" w:eastAsia="Times New Roman" w:cs="Arial"/>
                <w:kern w:val="0"/>
                <w:sz w:val="18"/>
                <w:szCs w:val="18"/>
                <w:lang w:val="en-GB" w:eastAsia="en-GB"/>
                <w14:ligatures w14:val="none"/>
              </w:rPr>
              <w:t>Present key elements of the study design early in the article. Consider including a table listing sources of data for all phases of the study. For each data source contributing to the analysis, describe the following: </w:t>
            </w:r>
          </w:p>
        </w:tc>
        <w:tc>
          <w:tcPr>
            <w:tcW w:w="720" w:type="dxa"/>
          </w:tcPr>
          <w:p>
            <w:pPr>
              <w:widowControl/>
              <w:spacing w:before="124" w:beforeLines="40" w:after="124" w:afterLines="40" w:line="24" w:lineRule="atLeast"/>
              <w:jc w:val="left"/>
              <w:rPr>
                <w:rFonts w:ascii="Arial" w:hAnsi="Arial" w:eastAsia="宋体" w:cs="Arial"/>
                <w:kern w:val="0"/>
                <w:sz w:val="18"/>
                <w:szCs w:val="18"/>
                <w14:ligatures w14:val="none"/>
              </w:rPr>
            </w:pPr>
            <w:r>
              <w:rPr>
                <w:rFonts w:hint="eastAsia" w:ascii="Arial" w:hAnsi="Arial" w:eastAsia="宋体" w:cs="Arial"/>
                <w:kern w:val="0"/>
                <w:sz w:val="18"/>
                <w:szCs w:val="18"/>
                <w14:ligatures w14:val="none"/>
              </w:rPr>
              <w:t>4, 5</w:t>
            </w:r>
          </w:p>
        </w:tc>
        <w:tc>
          <w:tcPr>
            <w:tcW w:w="4320" w:type="dxa"/>
          </w:tcPr>
          <w:p>
            <w:pPr>
              <w:widowControl/>
              <w:spacing w:before="124" w:beforeLines="40" w:after="124" w:afterLines="40" w:line="24" w:lineRule="atLeast"/>
              <w:jc w:val="left"/>
              <w:rPr>
                <w:rFonts w:ascii="Arial" w:hAnsi="Arial" w:eastAsia="宋体" w:cs="Arial"/>
                <w:kern w:val="0"/>
                <w:sz w:val="18"/>
                <w:szCs w:val="18"/>
                <w14:ligatures w14:val="none"/>
              </w:rPr>
            </w:pPr>
            <w:r>
              <w:rPr>
                <w:rFonts w:ascii="Arial" w:hAnsi="Arial" w:eastAsia="Times New Roman" w:cs="Arial"/>
                <w:kern w:val="0"/>
                <w:sz w:val="18"/>
                <w:szCs w:val="18"/>
                <w:lang w:val="en-GB" w:eastAsia="en-GB"/>
                <w14:ligatures w14:val="none"/>
              </w:rPr>
              <w:t>The causal relationships between T1D and IPF, as well as between T2D and IPF in the European population, were initially investigated using a two-sample univariate MR analysis. A sensitivity analysis was conducted to ensure data reliability and validity. Subsequently, MVMR analysis was conducted to examine the significance of the causal relationship between diabetes and IPF established by the univariate MR analysis.</w:t>
            </w:r>
            <w:r>
              <w:rPr>
                <w:rFonts w:hint="eastAsia" w:ascii="Arial" w:hAnsi="Arial" w:eastAsia="宋体" w:cs="Arial"/>
                <w:kern w:val="0"/>
                <w:sz w:val="18"/>
                <w:szCs w:val="18"/>
                <w14:ligatures w14:val="none"/>
              </w:rPr>
              <w:t xml:space="preserve"> </w:t>
            </w:r>
            <w:r>
              <w:rPr>
                <w:rFonts w:ascii="Arial" w:hAnsi="Arial" w:eastAsia="Times New Roman" w:cs="Arial"/>
                <w:kern w:val="0"/>
                <w:sz w:val="18"/>
                <w:szCs w:val="18"/>
                <w:lang w:val="en-GB" w:eastAsia="en-GB"/>
                <w14:ligatures w14:val="none"/>
              </w:rPr>
              <w:t>The detailed characteristics of the exposure and outcome datasets are presented in Table 1.</w:t>
            </w:r>
          </w:p>
        </w:tc>
      </w:tr>
      <w:tr>
        <w:tblPrEx>
          <w:tblCellMar>
            <w:top w:w="0" w:type="dxa"/>
            <w:left w:w="108" w:type="dxa"/>
            <w:bottom w:w="0" w:type="dxa"/>
            <w:right w:w="108" w:type="dxa"/>
          </w:tblCellMar>
        </w:tblPrEx>
        <w:tc>
          <w:tcPr>
            <w:tcW w:w="587" w:type="dxa"/>
            <w:shd w:val="clear" w:color="auto" w:fill="EEEEEE"/>
          </w:tcPr>
          <w:p>
            <w:pPr>
              <w:spacing w:before="124" w:beforeLines="40" w:after="124" w:afterLines="40" w:line="24" w:lineRule="atLeast"/>
              <w:jc w:val="right"/>
              <w:rPr>
                <w:rFonts w:ascii="Arial" w:hAnsi="Arial" w:eastAsia="Cambria" w:cs="Arial"/>
                <w:b/>
                <w:bCs/>
                <w:sz w:val="18"/>
                <w:szCs w:val="18"/>
                <w:lang w:val="en-GB" w:eastAsia="en-US"/>
              </w:rPr>
            </w:pPr>
          </w:p>
        </w:tc>
        <w:tc>
          <w:tcPr>
            <w:tcW w:w="1822" w:type="dxa"/>
            <w:shd w:val="clear" w:color="auto" w:fill="EEEEEE"/>
          </w:tcPr>
          <w:p>
            <w:pPr>
              <w:spacing w:before="124" w:beforeLines="40" w:after="124" w:afterLines="40" w:line="24" w:lineRule="atLeast"/>
              <w:jc w:val="right"/>
              <w:rPr>
                <w:rFonts w:ascii="Arial" w:hAnsi="Arial" w:eastAsia="Cambria" w:cs="Arial"/>
                <w:sz w:val="18"/>
                <w:szCs w:val="18"/>
                <w:lang w:val="en-GB" w:eastAsia="en-US"/>
              </w:rPr>
            </w:pPr>
            <w:r>
              <w:rPr>
                <w:rFonts w:ascii="Arial" w:hAnsi="Arial" w:eastAsia="Cambria" w:cs="Arial"/>
                <w:sz w:val="18"/>
                <w:szCs w:val="18"/>
                <w:lang w:val="en-GB" w:eastAsia="en-US"/>
              </w:rPr>
              <w:t>a)</w:t>
            </w:r>
          </w:p>
        </w:tc>
        <w:tc>
          <w:tcPr>
            <w:tcW w:w="7041" w:type="dxa"/>
            <w:shd w:val="clear" w:color="auto" w:fill="EEEEEE"/>
          </w:tcPr>
          <w:p>
            <w:pPr>
              <w:widowControl/>
              <w:spacing w:before="124" w:beforeLines="40" w:after="124" w:afterLines="40" w:line="24" w:lineRule="atLeast"/>
              <w:jc w:val="left"/>
              <w:rPr>
                <w:rFonts w:ascii="Arial" w:hAnsi="Arial" w:eastAsia="Times New Roman" w:cs="Arial"/>
                <w:kern w:val="0"/>
                <w:sz w:val="18"/>
                <w:szCs w:val="18"/>
                <w:lang w:val="en-GB" w:eastAsia="en-US"/>
                <w14:ligatures w14:val="none"/>
              </w:rPr>
            </w:pPr>
            <w:r>
              <w:rPr>
                <w:rFonts w:ascii="Arial" w:hAnsi="Arial" w:eastAsia="Times New Roman" w:cs="Arial"/>
                <w:kern w:val="0"/>
                <w:sz w:val="18"/>
                <w:szCs w:val="18"/>
                <w:lang w:val="en-GB" w:eastAsia="en-GB"/>
                <w14:ligatures w14:val="none"/>
              </w:rPr>
              <w:t>Setting: Describe the study design and the underlying population, if possible. Describe the setting, locations, and relevant dates, including periods of recruitment, exposure, follow-up, and data collection, when available.</w:t>
            </w:r>
          </w:p>
        </w:tc>
        <w:tc>
          <w:tcPr>
            <w:tcW w:w="720" w:type="dxa"/>
            <w:shd w:val="clear" w:color="auto" w:fill="EEEEEE"/>
          </w:tcPr>
          <w:p>
            <w:pPr>
              <w:widowControl/>
              <w:spacing w:before="124" w:beforeLines="40" w:after="124" w:afterLines="40" w:line="24" w:lineRule="atLeast"/>
              <w:jc w:val="left"/>
              <w:rPr>
                <w:rFonts w:ascii="Arial" w:hAnsi="Arial" w:eastAsia="宋体" w:cs="Arial"/>
                <w:kern w:val="0"/>
                <w:sz w:val="18"/>
                <w:szCs w:val="18"/>
                <w14:ligatures w14:val="none"/>
              </w:rPr>
            </w:pPr>
            <w:r>
              <w:rPr>
                <w:rFonts w:hint="eastAsia" w:ascii="Arial" w:hAnsi="Arial" w:eastAsia="宋体" w:cs="Arial"/>
                <w:kern w:val="0"/>
                <w:sz w:val="18"/>
                <w:szCs w:val="18"/>
                <w14:ligatures w14:val="none"/>
              </w:rPr>
              <w:t>5</w:t>
            </w:r>
          </w:p>
        </w:tc>
        <w:tc>
          <w:tcPr>
            <w:tcW w:w="4320" w:type="dxa"/>
            <w:shd w:val="clear" w:color="auto" w:fill="EEEEEE"/>
          </w:tcPr>
          <w:p>
            <w:pPr>
              <w:widowControl/>
              <w:spacing w:before="124" w:beforeLines="40" w:after="124" w:afterLines="40" w:line="24" w:lineRule="atLeast"/>
              <w:jc w:val="left"/>
              <w:rPr>
                <w:rFonts w:ascii="Arial" w:hAnsi="Arial" w:eastAsia="Times New Roman" w:cs="Arial"/>
                <w:kern w:val="0"/>
                <w:sz w:val="18"/>
                <w:szCs w:val="18"/>
                <w:lang w:val="en-GB" w:eastAsia="en-GB"/>
                <w14:ligatures w14:val="none"/>
              </w:rPr>
            </w:pPr>
            <w:r>
              <w:rPr>
                <w:rFonts w:ascii="Arial" w:hAnsi="Arial" w:eastAsia="Times New Roman" w:cs="Arial"/>
                <w:kern w:val="0"/>
                <w:sz w:val="18"/>
                <w:szCs w:val="18"/>
                <w:lang w:val="en-GB" w:eastAsia="en-GB"/>
                <w14:ligatures w14:val="none"/>
              </w:rPr>
              <w:t xml:space="preserve">The T1D and T2D datasets were obtained from the European Bioinformatics Institute. The T1D dataset (ID number: "ebi-a-GCST005536") comprises 6,683 cases and 12,731 controls. The T2D dataset (ID number: "ebi-a-GCST006867") comprises 61,714 cases and 11,78 controls. The GWAS dataset associated with IPF was established by FinnGen Biobank (ID number: "finn-b-IPF"), and it comprises 1,028 cases and 196,986 controls . </w:t>
            </w:r>
            <w:bookmarkStart w:id="1" w:name="OLE_LINK3"/>
            <w:r>
              <w:rPr>
                <w:rFonts w:ascii="Arial" w:hAnsi="Arial" w:eastAsia="Times New Roman" w:cs="Arial"/>
                <w:kern w:val="0"/>
                <w:sz w:val="18"/>
                <w:szCs w:val="18"/>
                <w:lang w:val="en-GB" w:eastAsia="en-GB"/>
                <w14:ligatures w14:val="none"/>
              </w:rPr>
              <w:t>The detailed characteristics of the exposure and outcome datasets are presented in Table 1.</w:t>
            </w:r>
            <w:bookmarkEnd w:id="1"/>
          </w:p>
        </w:tc>
      </w:tr>
      <w:tr>
        <w:tblPrEx>
          <w:tblCellMar>
            <w:top w:w="0" w:type="dxa"/>
            <w:left w:w="108" w:type="dxa"/>
            <w:bottom w:w="0" w:type="dxa"/>
            <w:right w:w="108" w:type="dxa"/>
          </w:tblCellMar>
        </w:tblPrEx>
        <w:tc>
          <w:tcPr>
            <w:tcW w:w="587" w:type="dxa"/>
            <w:shd w:val="clear" w:color="auto" w:fill="auto"/>
          </w:tcPr>
          <w:p>
            <w:pPr>
              <w:spacing w:before="124" w:beforeLines="40" w:after="124" w:afterLines="40" w:line="24" w:lineRule="atLeast"/>
              <w:jc w:val="right"/>
              <w:rPr>
                <w:rFonts w:ascii="Arial" w:hAnsi="Arial" w:eastAsia="Cambria" w:cs="Arial"/>
                <w:b/>
                <w:bCs/>
                <w:sz w:val="18"/>
                <w:szCs w:val="18"/>
                <w:lang w:val="en-GB" w:eastAsia="en-US"/>
              </w:rPr>
            </w:pPr>
          </w:p>
        </w:tc>
        <w:tc>
          <w:tcPr>
            <w:tcW w:w="1822" w:type="dxa"/>
            <w:shd w:val="clear" w:color="auto" w:fill="auto"/>
          </w:tcPr>
          <w:p>
            <w:pPr>
              <w:spacing w:before="124" w:beforeLines="40" w:after="124" w:afterLines="40" w:line="24" w:lineRule="atLeast"/>
              <w:jc w:val="right"/>
              <w:rPr>
                <w:rFonts w:ascii="Arial" w:hAnsi="Arial" w:eastAsia="Cambria" w:cs="Arial"/>
                <w:sz w:val="18"/>
                <w:szCs w:val="18"/>
                <w:lang w:val="en-GB" w:eastAsia="en-US"/>
              </w:rPr>
            </w:pPr>
            <w:r>
              <w:rPr>
                <w:rFonts w:ascii="Arial" w:hAnsi="Arial" w:eastAsia="Cambria" w:cs="Arial"/>
                <w:sz w:val="18"/>
                <w:szCs w:val="18"/>
                <w:lang w:val="en-GB" w:eastAsia="en-US"/>
              </w:rPr>
              <w:t>b)</w:t>
            </w:r>
          </w:p>
        </w:tc>
        <w:tc>
          <w:tcPr>
            <w:tcW w:w="7041" w:type="dxa"/>
            <w:shd w:val="clear" w:color="auto" w:fill="auto"/>
          </w:tcPr>
          <w:p>
            <w:pPr>
              <w:widowControl/>
              <w:spacing w:before="124" w:beforeLines="40" w:after="124" w:afterLines="40" w:line="24" w:lineRule="atLeast"/>
              <w:jc w:val="left"/>
              <w:rPr>
                <w:rFonts w:ascii="Arial" w:hAnsi="Arial" w:eastAsia="Times New Roman" w:cs="Arial"/>
                <w:kern w:val="0"/>
                <w:sz w:val="18"/>
                <w:szCs w:val="18"/>
                <w:lang w:val="en-GB" w:eastAsia="en-US"/>
                <w14:ligatures w14:val="none"/>
              </w:rPr>
            </w:pPr>
            <w:r>
              <w:rPr>
                <w:rFonts w:ascii="Arial" w:hAnsi="Arial" w:eastAsia="Times New Roman" w:cs="Arial"/>
                <w:kern w:val="0"/>
                <w:sz w:val="18"/>
                <w:szCs w:val="18"/>
                <w:lang w:val="en-GB" w:eastAsia="en-GB"/>
                <w14:ligatures w14:val="none"/>
              </w:rPr>
              <w:t>Participants: Give the eligibility criteria, and the sources and methods of selection of participants. Report the sample size, and whether any power or sample size calculations were carried out prior to the main analysis </w:t>
            </w:r>
          </w:p>
        </w:tc>
        <w:tc>
          <w:tcPr>
            <w:tcW w:w="720" w:type="dxa"/>
          </w:tcPr>
          <w:p>
            <w:pPr>
              <w:widowControl/>
              <w:spacing w:before="124" w:beforeLines="40" w:after="124" w:afterLines="40" w:line="24" w:lineRule="atLeast"/>
              <w:jc w:val="left"/>
              <w:rPr>
                <w:rFonts w:ascii="Arial" w:hAnsi="Arial" w:eastAsia="宋体" w:cs="Arial"/>
                <w:kern w:val="0"/>
                <w:sz w:val="18"/>
                <w:szCs w:val="18"/>
                <w14:ligatures w14:val="none"/>
              </w:rPr>
            </w:pPr>
            <w:r>
              <w:rPr>
                <w:rFonts w:hint="eastAsia" w:ascii="Arial" w:hAnsi="Arial" w:eastAsia="宋体" w:cs="Arial"/>
                <w:kern w:val="0"/>
                <w:sz w:val="18"/>
                <w:szCs w:val="18"/>
                <w14:ligatures w14:val="none"/>
              </w:rPr>
              <w:t>5, 6</w:t>
            </w:r>
          </w:p>
        </w:tc>
        <w:tc>
          <w:tcPr>
            <w:tcW w:w="4320" w:type="dxa"/>
          </w:tcPr>
          <w:p>
            <w:pPr>
              <w:widowControl/>
              <w:spacing w:before="124" w:beforeLines="40" w:after="124" w:afterLines="40" w:line="24" w:lineRule="atLeast"/>
              <w:jc w:val="left"/>
              <w:rPr>
                <w:rFonts w:ascii="Arial" w:hAnsi="Arial" w:eastAsia="Times New Roman" w:cs="Arial"/>
                <w:kern w:val="0"/>
                <w:sz w:val="18"/>
                <w:szCs w:val="18"/>
                <w:lang w:val="en-GB" w:eastAsia="en-GB"/>
                <w14:ligatures w14:val="none"/>
              </w:rPr>
            </w:pPr>
            <w:r>
              <w:rPr>
                <w:rFonts w:ascii="Arial" w:hAnsi="Arial" w:eastAsia="Times New Roman" w:cs="Arial"/>
                <w:kern w:val="0"/>
                <w:sz w:val="18"/>
                <w:szCs w:val="18"/>
                <w:lang w:val="en-GB" w:eastAsia="en-GB"/>
                <w14:ligatures w14:val="none"/>
              </w:rPr>
              <w:t xml:space="preserve">The T1D dataset comprises 29,652 samples and 101,101 SNPs (https://gwas.mrcieu.ac.uk/datasets/ ebi-a-GCST005536/). The T2D datasetcomprises 655,666 samples and 5,030,727 SNPs (https://gwas.mrcieu.ac.uk/datasets/ ebi-a-GCST006867/). The GWAS dataset associated with IPF was established by FinnGen Biobank, and it comprises 198,014 samples and 16,380,413 SNPs (https://gwas.mrcieu.ac.uk/datasets/finn-b-IPF/). The diagnosis of IPF and DM was determined according to the International Classification of Diseases 10th Revision (ICD-10）codes. </w:t>
            </w:r>
          </w:p>
        </w:tc>
      </w:tr>
      <w:tr>
        <w:tblPrEx>
          <w:tblCellMar>
            <w:top w:w="0" w:type="dxa"/>
            <w:left w:w="108" w:type="dxa"/>
            <w:bottom w:w="0" w:type="dxa"/>
            <w:right w:w="108" w:type="dxa"/>
          </w:tblCellMar>
        </w:tblPrEx>
        <w:tc>
          <w:tcPr>
            <w:tcW w:w="587" w:type="dxa"/>
            <w:shd w:val="clear" w:color="auto" w:fill="EEEEEE"/>
          </w:tcPr>
          <w:p>
            <w:pPr>
              <w:spacing w:before="124" w:beforeLines="40" w:after="124" w:afterLines="40" w:line="24" w:lineRule="atLeast"/>
              <w:jc w:val="right"/>
              <w:rPr>
                <w:rFonts w:ascii="Arial" w:hAnsi="Arial" w:eastAsia="Cambria" w:cs="Arial"/>
                <w:b/>
                <w:bCs/>
                <w:sz w:val="18"/>
                <w:szCs w:val="18"/>
                <w:lang w:val="en-GB" w:eastAsia="en-US"/>
              </w:rPr>
            </w:pPr>
          </w:p>
        </w:tc>
        <w:tc>
          <w:tcPr>
            <w:tcW w:w="1822" w:type="dxa"/>
            <w:shd w:val="clear" w:color="auto" w:fill="EEEEEE"/>
          </w:tcPr>
          <w:p>
            <w:pPr>
              <w:spacing w:before="124" w:beforeLines="40" w:after="124" w:afterLines="40" w:line="24" w:lineRule="atLeast"/>
              <w:jc w:val="right"/>
              <w:rPr>
                <w:rFonts w:ascii="Arial" w:hAnsi="Arial" w:eastAsia="Cambria" w:cs="Arial"/>
                <w:sz w:val="18"/>
                <w:szCs w:val="18"/>
                <w:lang w:val="en-GB" w:eastAsia="en-US"/>
              </w:rPr>
            </w:pPr>
            <w:r>
              <w:rPr>
                <w:rFonts w:ascii="Arial" w:hAnsi="Arial" w:eastAsia="Cambria" w:cs="Arial"/>
                <w:sz w:val="18"/>
                <w:szCs w:val="18"/>
                <w:lang w:val="en-GB" w:eastAsia="en-US"/>
              </w:rPr>
              <w:t>c)</w:t>
            </w:r>
          </w:p>
        </w:tc>
        <w:tc>
          <w:tcPr>
            <w:tcW w:w="7041" w:type="dxa"/>
            <w:shd w:val="clear" w:color="auto" w:fill="EEEEEE"/>
          </w:tcPr>
          <w:p>
            <w:pPr>
              <w:widowControl/>
              <w:spacing w:before="124" w:beforeLines="40" w:after="124" w:afterLines="40" w:line="24" w:lineRule="atLeast"/>
              <w:jc w:val="left"/>
              <w:rPr>
                <w:rFonts w:ascii="Arial" w:hAnsi="Arial" w:eastAsia="Times New Roman" w:cs="Arial"/>
                <w:kern w:val="0"/>
                <w:sz w:val="18"/>
                <w:szCs w:val="18"/>
                <w:lang w:val="en-GB" w:eastAsia="en-US"/>
                <w14:ligatures w14:val="none"/>
              </w:rPr>
            </w:pPr>
            <w:r>
              <w:rPr>
                <w:rFonts w:ascii="Arial" w:hAnsi="Arial" w:eastAsia="Times New Roman" w:cs="Arial"/>
                <w:kern w:val="0"/>
                <w:sz w:val="18"/>
                <w:szCs w:val="18"/>
                <w:lang w:val="en-GB" w:eastAsia="en-GB"/>
                <w14:ligatures w14:val="none"/>
              </w:rPr>
              <w:t>Describe measurement, quality control and selection of genetic variants</w:t>
            </w:r>
          </w:p>
        </w:tc>
        <w:tc>
          <w:tcPr>
            <w:tcW w:w="720" w:type="dxa"/>
            <w:shd w:val="clear" w:color="auto" w:fill="EEEEEE"/>
          </w:tcPr>
          <w:p>
            <w:pPr>
              <w:widowControl/>
              <w:spacing w:before="124" w:beforeLines="40" w:after="124" w:afterLines="40" w:line="24" w:lineRule="atLeast"/>
              <w:jc w:val="left"/>
              <w:rPr>
                <w:rFonts w:ascii="Arial" w:hAnsi="Arial" w:eastAsia="宋体" w:cs="Arial"/>
                <w:kern w:val="0"/>
                <w:sz w:val="18"/>
                <w:szCs w:val="18"/>
                <w14:ligatures w14:val="none"/>
              </w:rPr>
            </w:pPr>
            <w:r>
              <w:rPr>
                <w:rFonts w:hint="eastAsia" w:ascii="Arial" w:hAnsi="Arial" w:eastAsia="宋体" w:cs="Arial"/>
                <w:kern w:val="0"/>
                <w:sz w:val="18"/>
                <w:szCs w:val="18"/>
                <w14:ligatures w14:val="none"/>
              </w:rPr>
              <w:t>6</w:t>
            </w:r>
          </w:p>
        </w:tc>
        <w:tc>
          <w:tcPr>
            <w:tcW w:w="4320" w:type="dxa"/>
            <w:shd w:val="clear" w:color="auto" w:fill="EEEEEE"/>
          </w:tcPr>
          <w:p>
            <w:pPr>
              <w:widowControl/>
              <w:spacing w:before="124" w:beforeLines="40" w:after="124" w:afterLines="40" w:line="24" w:lineRule="atLeast"/>
              <w:jc w:val="left"/>
              <w:rPr>
                <w:rFonts w:ascii="Arial" w:hAnsi="Arial" w:eastAsia="Times New Roman" w:cs="Arial"/>
                <w:kern w:val="0"/>
                <w:sz w:val="18"/>
                <w:szCs w:val="18"/>
                <w:lang w:val="en-GB" w:eastAsia="en-GB"/>
                <w14:ligatures w14:val="none"/>
              </w:rPr>
            </w:pPr>
            <w:r>
              <w:rPr>
                <w:rFonts w:ascii="Arial" w:hAnsi="Arial" w:eastAsia="Times New Roman" w:cs="Arial"/>
                <w:kern w:val="0"/>
                <w:sz w:val="18"/>
                <w:szCs w:val="18"/>
                <w:lang w:val="en-GB" w:eastAsia="en-GB"/>
                <w14:ligatures w14:val="none"/>
              </w:rPr>
              <w:t>A genome-wide search was conducted for SNPs (P&lt;5×10</w:t>
            </w:r>
            <w:r>
              <w:rPr>
                <w:rFonts w:ascii="Arial" w:hAnsi="Arial" w:eastAsia="Times New Roman" w:cs="Arial"/>
                <w:kern w:val="0"/>
                <w:sz w:val="18"/>
                <w:szCs w:val="18"/>
                <w:vertAlign w:val="superscript"/>
                <w:lang w:val="en-GB" w:eastAsia="en-GB"/>
                <w14:ligatures w14:val="none"/>
              </w:rPr>
              <w:t>-8</w:t>
            </w:r>
            <w:r>
              <w:rPr>
                <w:rFonts w:ascii="Arial" w:hAnsi="Arial" w:eastAsia="Times New Roman" w:cs="Arial"/>
                <w:kern w:val="0"/>
                <w:sz w:val="18"/>
                <w:szCs w:val="18"/>
                <w:lang w:val="en-GB" w:eastAsia="en-GB"/>
                <w14:ligatures w14:val="none"/>
              </w:rPr>
              <w:t>) associated with T1D or T2D exposure, which were used as IVs for genetic prediction. Non-independent SNPs based on linkage disequilibrium (r</w:t>
            </w:r>
            <w:r>
              <w:rPr>
                <w:rFonts w:ascii="Arial" w:hAnsi="Arial" w:eastAsia="Times New Roman" w:cs="Arial"/>
                <w:kern w:val="0"/>
                <w:sz w:val="18"/>
                <w:szCs w:val="18"/>
                <w:vertAlign w:val="superscript"/>
                <w:lang w:val="en-GB" w:eastAsia="en-GB"/>
                <w14:ligatures w14:val="none"/>
              </w:rPr>
              <w:t>2</w:t>
            </w:r>
            <w:r>
              <w:rPr>
                <w:rFonts w:ascii="Arial" w:hAnsi="Arial" w:eastAsia="Times New Roman" w:cs="Arial"/>
                <w:kern w:val="0"/>
                <w:sz w:val="18"/>
                <w:szCs w:val="18"/>
                <w:lang w:val="en-GB" w:eastAsia="en-GB"/>
                <w14:ligatures w14:val="none"/>
              </w:rPr>
              <w:t>&lt;0.001 within a 10,000 kb aggregation window) were excluded using the European population reference. To ensure independence and exclusivity, these SNPs were searched using Phenoscanner (University of Cambridge, Cambridge, UK; http://www.phenoscanner.medschl.cam.ac.uk/) and any SNPs related to the outcome or confounding factors were excluded.</w:t>
            </w:r>
          </w:p>
        </w:tc>
      </w:tr>
      <w:tr>
        <w:tblPrEx>
          <w:tblCellMar>
            <w:top w:w="0" w:type="dxa"/>
            <w:left w:w="108" w:type="dxa"/>
            <w:bottom w:w="0" w:type="dxa"/>
            <w:right w:w="108" w:type="dxa"/>
          </w:tblCellMar>
        </w:tblPrEx>
        <w:tc>
          <w:tcPr>
            <w:tcW w:w="587" w:type="dxa"/>
            <w:shd w:val="clear" w:color="auto" w:fill="auto"/>
          </w:tcPr>
          <w:p>
            <w:pPr>
              <w:spacing w:before="124" w:beforeLines="40" w:after="124" w:afterLines="40" w:line="24" w:lineRule="atLeast"/>
              <w:jc w:val="right"/>
              <w:rPr>
                <w:rFonts w:ascii="Arial" w:hAnsi="Arial" w:eastAsia="Cambria" w:cs="Arial"/>
                <w:b/>
                <w:bCs/>
                <w:sz w:val="18"/>
                <w:szCs w:val="18"/>
                <w:lang w:val="en-GB" w:eastAsia="en-US"/>
              </w:rPr>
            </w:pPr>
          </w:p>
        </w:tc>
        <w:tc>
          <w:tcPr>
            <w:tcW w:w="1822" w:type="dxa"/>
            <w:shd w:val="clear" w:color="auto" w:fill="auto"/>
          </w:tcPr>
          <w:p>
            <w:pPr>
              <w:spacing w:before="124" w:beforeLines="40" w:after="124" w:afterLines="40" w:line="24" w:lineRule="atLeast"/>
              <w:jc w:val="right"/>
              <w:rPr>
                <w:rFonts w:ascii="Arial" w:hAnsi="Arial" w:eastAsia="Cambria" w:cs="Arial"/>
                <w:sz w:val="18"/>
                <w:szCs w:val="18"/>
                <w:lang w:val="en-GB" w:eastAsia="en-US"/>
              </w:rPr>
            </w:pPr>
            <w:r>
              <w:rPr>
                <w:rFonts w:ascii="Arial" w:hAnsi="Arial" w:eastAsia="Cambria" w:cs="Arial"/>
                <w:sz w:val="18"/>
                <w:szCs w:val="18"/>
                <w:lang w:val="en-GB" w:eastAsia="en-US"/>
              </w:rPr>
              <w:t>d)</w:t>
            </w:r>
          </w:p>
        </w:tc>
        <w:tc>
          <w:tcPr>
            <w:tcW w:w="7041" w:type="dxa"/>
            <w:shd w:val="clear" w:color="auto" w:fill="auto"/>
          </w:tcPr>
          <w:p>
            <w:pPr>
              <w:widowControl/>
              <w:spacing w:before="124" w:beforeLines="40" w:after="124" w:afterLines="40" w:line="24" w:lineRule="atLeast"/>
              <w:jc w:val="left"/>
              <w:rPr>
                <w:rFonts w:ascii="Arial" w:hAnsi="Arial" w:eastAsia="Times New Roman" w:cs="Arial"/>
                <w:kern w:val="0"/>
                <w:sz w:val="18"/>
                <w:szCs w:val="18"/>
                <w:lang w:val="en-GB" w:eastAsia="en-US"/>
                <w14:ligatures w14:val="none"/>
              </w:rPr>
            </w:pPr>
            <w:r>
              <w:rPr>
                <w:rFonts w:ascii="Arial" w:hAnsi="Arial" w:eastAsia="Times New Roman" w:cs="Arial"/>
                <w:kern w:val="0"/>
                <w:sz w:val="18"/>
                <w:szCs w:val="18"/>
                <w:lang w:val="en-GB" w:eastAsia="en-GB"/>
                <w14:ligatures w14:val="none"/>
              </w:rPr>
              <w:t>For each exposure, outcome, and other relevant variables, describe methods of assessment and diagnostic criteria for diseases</w:t>
            </w:r>
          </w:p>
        </w:tc>
        <w:tc>
          <w:tcPr>
            <w:tcW w:w="720" w:type="dxa"/>
          </w:tcPr>
          <w:p>
            <w:pPr>
              <w:widowControl/>
              <w:spacing w:before="124" w:beforeLines="40" w:after="124" w:afterLines="40" w:line="24" w:lineRule="atLeast"/>
              <w:jc w:val="left"/>
              <w:rPr>
                <w:rFonts w:ascii="Arial" w:hAnsi="Arial" w:eastAsia="宋体" w:cs="Arial"/>
                <w:kern w:val="0"/>
                <w:sz w:val="18"/>
                <w:szCs w:val="18"/>
                <w14:ligatures w14:val="none"/>
              </w:rPr>
            </w:pPr>
            <w:r>
              <w:rPr>
                <w:rFonts w:hint="eastAsia" w:ascii="Arial" w:hAnsi="Arial" w:eastAsia="宋体" w:cs="Arial"/>
                <w:kern w:val="0"/>
                <w:sz w:val="18"/>
                <w:szCs w:val="18"/>
                <w14:ligatures w14:val="none"/>
              </w:rPr>
              <w:t>5</w:t>
            </w:r>
          </w:p>
        </w:tc>
        <w:tc>
          <w:tcPr>
            <w:tcW w:w="4320" w:type="dxa"/>
          </w:tcPr>
          <w:p>
            <w:pPr>
              <w:widowControl/>
              <w:spacing w:before="124" w:beforeLines="40" w:after="124" w:afterLines="40" w:line="24" w:lineRule="atLeast"/>
              <w:jc w:val="left"/>
              <w:rPr>
                <w:rFonts w:ascii="Arial" w:hAnsi="Arial" w:eastAsia="Times New Roman" w:cs="Arial"/>
                <w:kern w:val="0"/>
                <w:sz w:val="18"/>
                <w:szCs w:val="18"/>
                <w:lang w:val="en-GB" w:eastAsia="en-GB"/>
                <w14:ligatures w14:val="none"/>
              </w:rPr>
            </w:pPr>
            <w:r>
              <w:rPr>
                <w:rFonts w:ascii="Arial" w:hAnsi="Arial" w:eastAsia="Times New Roman" w:cs="Arial"/>
                <w:kern w:val="0"/>
                <w:sz w:val="18"/>
                <w:szCs w:val="18"/>
                <w:lang w:val="en-GB" w:eastAsia="en-GB"/>
                <w14:ligatures w14:val="none"/>
              </w:rPr>
              <w:t>The diagnosis of IPF and DM was determined according to the International Classification of Diseases 10th Revision (ICD-10）codes.</w:t>
            </w:r>
          </w:p>
        </w:tc>
      </w:tr>
      <w:tr>
        <w:tblPrEx>
          <w:tblCellMar>
            <w:top w:w="0" w:type="dxa"/>
            <w:left w:w="108" w:type="dxa"/>
            <w:bottom w:w="0" w:type="dxa"/>
            <w:right w:w="108" w:type="dxa"/>
          </w:tblCellMar>
        </w:tblPrEx>
        <w:tc>
          <w:tcPr>
            <w:tcW w:w="587" w:type="dxa"/>
            <w:shd w:val="clear" w:color="auto" w:fill="EEEEEE"/>
          </w:tcPr>
          <w:p>
            <w:pPr>
              <w:spacing w:before="124" w:beforeLines="40" w:after="124" w:afterLines="40" w:line="24" w:lineRule="atLeast"/>
              <w:jc w:val="right"/>
              <w:rPr>
                <w:rFonts w:ascii="Arial" w:hAnsi="Arial" w:eastAsia="Cambria" w:cs="Arial"/>
                <w:b/>
                <w:bCs/>
                <w:sz w:val="18"/>
                <w:szCs w:val="18"/>
                <w:lang w:val="en-GB" w:eastAsia="en-US"/>
              </w:rPr>
            </w:pPr>
          </w:p>
        </w:tc>
        <w:tc>
          <w:tcPr>
            <w:tcW w:w="1822" w:type="dxa"/>
            <w:shd w:val="clear" w:color="auto" w:fill="EEEEEE"/>
          </w:tcPr>
          <w:p>
            <w:pPr>
              <w:spacing w:before="124" w:beforeLines="40" w:after="124" w:afterLines="40" w:line="24" w:lineRule="atLeast"/>
              <w:jc w:val="right"/>
              <w:rPr>
                <w:rFonts w:ascii="Arial" w:hAnsi="Arial" w:eastAsia="Cambria" w:cs="Arial"/>
                <w:sz w:val="18"/>
                <w:szCs w:val="18"/>
                <w:lang w:val="en-GB" w:eastAsia="en-US"/>
              </w:rPr>
            </w:pPr>
            <w:r>
              <w:rPr>
                <w:rFonts w:ascii="Arial" w:hAnsi="Arial" w:eastAsia="Cambria" w:cs="Arial"/>
                <w:sz w:val="18"/>
                <w:szCs w:val="18"/>
                <w:lang w:val="en-GB" w:eastAsia="en-US"/>
              </w:rPr>
              <w:t>e)</w:t>
            </w:r>
          </w:p>
        </w:tc>
        <w:tc>
          <w:tcPr>
            <w:tcW w:w="7041" w:type="dxa"/>
            <w:shd w:val="clear" w:color="auto" w:fill="EEEEEE"/>
          </w:tcPr>
          <w:p>
            <w:pPr>
              <w:widowControl/>
              <w:spacing w:before="124" w:beforeLines="40" w:after="124" w:afterLines="40" w:line="24" w:lineRule="atLeast"/>
              <w:jc w:val="left"/>
              <w:rPr>
                <w:rFonts w:ascii="Arial" w:hAnsi="Arial" w:eastAsia="Times New Roman" w:cs="Arial"/>
                <w:kern w:val="0"/>
                <w:sz w:val="18"/>
                <w:szCs w:val="18"/>
                <w:lang w:val="en-GB" w:eastAsia="en-US"/>
                <w14:ligatures w14:val="none"/>
              </w:rPr>
            </w:pPr>
            <w:r>
              <w:rPr>
                <w:rFonts w:ascii="Arial" w:hAnsi="Arial" w:eastAsia="Times New Roman" w:cs="Arial"/>
                <w:kern w:val="0"/>
                <w:sz w:val="18"/>
                <w:szCs w:val="18"/>
                <w:lang w:val="en-GB" w:eastAsia="en-GB"/>
                <w14:ligatures w14:val="none"/>
              </w:rPr>
              <w:t>Provide details of ethics committee approval and participant informed consent, if relevant</w:t>
            </w:r>
          </w:p>
        </w:tc>
        <w:tc>
          <w:tcPr>
            <w:tcW w:w="720" w:type="dxa"/>
            <w:shd w:val="clear" w:color="auto" w:fill="EEEEEE"/>
          </w:tcPr>
          <w:p>
            <w:pPr>
              <w:widowControl/>
              <w:spacing w:before="124" w:beforeLines="40" w:after="124" w:afterLines="40" w:line="24" w:lineRule="atLeast"/>
              <w:jc w:val="left"/>
              <w:rPr>
                <w:rFonts w:ascii="Arial" w:hAnsi="Arial" w:eastAsia="宋体" w:cs="Arial"/>
                <w:kern w:val="0"/>
                <w:sz w:val="18"/>
                <w:szCs w:val="18"/>
                <w14:ligatures w14:val="none"/>
              </w:rPr>
            </w:pPr>
            <w:r>
              <w:rPr>
                <w:rFonts w:hint="eastAsia" w:ascii="Arial" w:hAnsi="Arial" w:eastAsia="宋体" w:cs="Arial"/>
                <w:kern w:val="0"/>
                <w:sz w:val="18"/>
                <w:szCs w:val="18"/>
                <w14:ligatures w14:val="none"/>
              </w:rPr>
              <w:t>8</w:t>
            </w:r>
          </w:p>
        </w:tc>
        <w:tc>
          <w:tcPr>
            <w:tcW w:w="4320" w:type="dxa"/>
            <w:shd w:val="clear" w:color="auto" w:fill="EEEEEE"/>
          </w:tcPr>
          <w:p>
            <w:pPr>
              <w:widowControl/>
              <w:spacing w:before="124" w:beforeLines="40" w:after="124" w:afterLines="40" w:line="24" w:lineRule="atLeast"/>
              <w:jc w:val="left"/>
              <w:rPr>
                <w:rFonts w:ascii="Arial" w:hAnsi="Arial" w:eastAsia="Times New Roman" w:cs="Arial"/>
                <w:kern w:val="0"/>
                <w:sz w:val="18"/>
                <w:szCs w:val="18"/>
                <w:lang w:val="en-GB" w:eastAsia="en-GB"/>
                <w14:ligatures w14:val="none"/>
              </w:rPr>
            </w:pPr>
            <w:r>
              <w:rPr>
                <w:rFonts w:ascii="Arial" w:hAnsi="Arial" w:eastAsia="Times New Roman" w:cs="Arial"/>
                <w:kern w:val="0"/>
                <w:sz w:val="18"/>
                <w:szCs w:val="18"/>
                <w:lang w:val="en-GB" w:eastAsia="en-GB"/>
                <w14:ligatures w14:val="none"/>
              </w:rPr>
              <w:t>This study relied solely on published GWAS datasets, and all original studies obtained appropriate ethical approval; therefore, separate ethical approval was not required for this study.</w:t>
            </w:r>
          </w:p>
        </w:tc>
      </w:tr>
      <w:tr>
        <w:tblPrEx>
          <w:tblCellMar>
            <w:top w:w="0" w:type="dxa"/>
            <w:left w:w="108" w:type="dxa"/>
            <w:bottom w:w="0" w:type="dxa"/>
            <w:right w:w="108" w:type="dxa"/>
          </w:tblCellMar>
        </w:tblPrEx>
        <w:tc>
          <w:tcPr>
            <w:tcW w:w="587" w:type="dxa"/>
            <w:shd w:val="clear" w:color="auto" w:fill="auto"/>
          </w:tcPr>
          <w:p>
            <w:pPr>
              <w:spacing w:before="124" w:beforeLines="40" w:after="124" w:afterLines="40" w:line="24" w:lineRule="atLeast"/>
              <w:rPr>
                <w:rFonts w:ascii="Arial" w:hAnsi="Arial" w:eastAsia="Times New Roman" w:cs="Arial"/>
                <w:b/>
                <w:bCs/>
                <w:sz w:val="18"/>
                <w:szCs w:val="18"/>
                <w:lang w:val="en-GB" w:eastAsia="en-GB"/>
              </w:rPr>
            </w:pPr>
            <w:r>
              <w:rPr>
                <w:rFonts w:ascii="Arial" w:hAnsi="Arial" w:eastAsia="Times New Roman" w:cs="Arial"/>
                <w:sz w:val="18"/>
                <w:szCs w:val="18"/>
                <w:lang w:val="en-GB" w:eastAsia="en-GB"/>
              </w:rPr>
              <w:t>5</w:t>
            </w:r>
          </w:p>
        </w:tc>
        <w:tc>
          <w:tcPr>
            <w:tcW w:w="1822" w:type="dxa"/>
            <w:shd w:val="clear" w:color="auto" w:fill="auto"/>
          </w:tcPr>
          <w:p>
            <w:pPr>
              <w:spacing w:before="124" w:beforeLines="40" w:after="124" w:afterLines="40" w:line="24" w:lineRule="atLeast"/>
              <w:rPr>
                <w:rFonts w:ascii="Arial" w:hAnsi="Arial" w:eastAsia="Times New Roman" w:cs="Arial"/>
                <w:sz w:val="18"/>
                <w:szCs w:val="18"/>
                <w:lang w:val="en-GB" w:eastAsia="en-GB"/>
              </w:rPr>
            </w:pPr>
            <w:r>
              <w:rPr>
                <w:rFonts w:ascii="Arial" w:hAnsi="Arial" w:eastAsia="Times New Roman" w:cs="Arial"/>
                <w:b/>
                <w:bCs/>
                <w:sz w:val="18"/>
                <w:szCs w:val="18"/>
                <w:lang w:val="en-GB" w:eastAsia="en-GB"/>
              </w:rPr>
              <w:t>Assumptions</w:t>
            </w:r>
          </w:p>
          <w:p>
            <w:pPr>
              <w:spacing w:before="124" w:beforeLines="40" w:after="124" w:afterLines="40" w:line="24" w:lineRule="atLeast"/>
              <w:jc w:val="center"/>
              <w:rPr>
                <w:rFonts w:ascii="Arial" w:hAnsi="Arial" w:eastAsia="Cambria" w:cs="Arial"/>
                <w:sz w:val="18"/>
                <w:szCs w:val="18"/>
                <w:lang w:val="en-GB" w:eastAsia="en-US"/>
              </w:rPr>
            </w:pPr>
          </w:p>
        </w:tc>
        <w:tc>
          <w:tcPr>
            <w:tcW w:w="7041" w:type="dxa"/>
            <w:shd w:val="clear" w:color="auto" w:fill="auto"/>
          </w:tcPr>
          <w:p>
            <w:pPr>
              <w:widowControl/>
              <w:spacing w:before="124" w:beforeLines="40" w:after="124" w:afterLines="40" w:line="24" w:lineRule="atLeast"/>
              <w:jc w:val="left"/>
              <w:rPr>
                <w:rFonts w:ascii="Arial" w:hAnsi="Arial" w:eastAsia="Times New Roman" w:cs="Arial"/>
                <w:kern w:val="0"/>
                <w:sz w:val="18"/>
                <w:szCs w:val="18"/>
                <w:lang w:val="en-GB" w:eastAsia="en-GB"/>
                <w14:ligatures w14:val="none"/>
              </w:rPr>
            </w:pPr>
            <w:r>
              <w:rPr>
                <w:rFonts w:ascii="Arial" w:hAnsi="Arial" w:eastAsia="Times New Roman" w:cs="Arial"/>
                <w:kern w:val="0"/>
                <w:sz w:val="18"/>
                <w:szCs w:val="18"/>
                <w:lang w:val="en-GB" w:eastAsia="en-GB"/>
                <w14:ligatures w14:val="none"/>
              </w:rPr>
              <w:t>Explicitly state the three core IV assumptions for the main analysis (relevance, independence and exclusion restriction) as well assumptions for any additional or sensitivity analysis</w:t>
            </w:r>
          </w:p>
        </w:tc>
        <w:tc>
          <w:tcPr>
            <w:tcW w:w="720" w:type="dxa"/>
          </w:tcPr>
          <w:p>
            <w:pPr>
              <w:widowControl/>
              <w:spacing w:before="124" w:beforeLines="40" w:after="124" w:afterLines="40" w:line="24" w:lineRule="atLeast"/>
              <w:jc w:val="left"/>
              <w:rPr>
                <w:rFonts w:ascii="Arial" w:hAnsi="Arial" w:eastAsia="宋体" w:cs="Arial"/>
                <w:kern w:val="0"/>
                <w:sz w:val="18"/>
                <w:szCs w:val="18"/>
                <w14:ligatures w14:val="none"/>
              </w:rPr>
            </w:pPr>
            <w:r>
              <w:rPr>
                <w:rFonts w:hint="eastAsia" w:ascii="Arial" w:hAnsi="Arial" w:eastAsia="宋体" w:cs="Arial"/>
                <w:kern w:val="0"/>
                <w:sz w:val="18"/>
                <w:szCs w:val="18"/>
                <w14:ligatures w14:val="none"/>
              </w:rPr>
              <w:t>5</w:t>
            </w:r>
          </w:p>
        </w:tc>
        <w:tc>
          <w:tcPr>
            <w:tcW w:w="4320" w:type="dxa"/>
          </w:tcPr>
          <w:p>
            <w:pPr>
              <w:widowControl/>
              <w:spacing w:before="124" w:beforeLines="40" w:after="124" w:afterLines="40" w:line="24" w:lineRule="atLeast"/>
              <w:jc w:val="left"/>
              <w:rPr>
                <w:rFonts w:ascii="Arial" w:hAnsi="Arial" w:eastAsia="Times New Roman" w:cs="Arial"/>
                <w:kern w:val="0"/>
                <w:sz w:val="18"/>
                <w:szCs w:val="18"/>
                <w:lang w:val="en-GB" w:eastAsia="en-GB"/>
                <w14:ligatures w14:val="none"/>
              </w:rPr>
            </w:pPr>
            <w:r>
              <w:rPr>
                <w:rFonts w:ascii="Arial" w:hAnsi="Arial" w:eastAsia="Times New Roman" w:cs="Arial"/>
                <w:kern w:val="0"/>
                <w:sz w:val="18"/>
                <w:szCs w:val="18"/>
                <w:lang w:val="en-GB" w:eastAsia="en-GB"/>
                <w14:ligatures w14:val="none"/>
              </w:rPr>
              <w:t>We applied a set of selection criteria to identify single nucleotide polymorphisms (SNPs) strongly associated with T1D and T2D, which were subsequently used as IVs in the MR analysis: (I) strong association between IVs and the exposure of interest; (II) no direct relationship between IVs and outcome, with their effect only indicated through exposure; and (III) independence of IVs from any confounding factors affecting both exposure and outcome.</w:t>
            </w:r>
          </w:p>
        </w:tc>
      </w:tr>
      <w:tr>
        <w:tblPrEx>
          <w:tblCellMar>
            <w:top w:w="0" w:type="dxa"/>
            <w:left w:w="108" w:type="dxa"/>
            <w:bottom w:w="0" w:type="dxa"/>
            <w:right w:w="108" w:type="dxa"/>
          </w:tblCellMar>
        </w:tblPrEx>
        <w:tc>
          <w:tcPr>
            <w:tcW w:w="587" w:type="dxa"/>
            <w:shd w:val="clear" w:color="auto" w:fill="EEEEEE"/>
          </w:tcPr>
          <w:p>
            <w:pPr>
              <w:spacing w:before="124" w:beforeLines="40" w:after="124" w:afterLines="40" w:line="24" w:lineRule="atLeast"/>
              <w:rPr>
                <w:rFonts w:ascii="Arial" w:hAnsi="Arial" w:eastAsia="Times New Roman" w:cs="Arial"/>
                <w:b/>
                <w:bCs/>
                <w:sz w:val="18"/>
                <w:szCs w:val="18"/>
                <w:lang w:val="en-GB" w:eastAsia="en-GB"/>
              </w:rPr>
            </w:pPr>
            <w:r>
              <w:rPr>
                <w:rFonts w:ascii="Arial" w:hAnsi="Arial" w:eastAsia="Times New Roman" w:cs="Arial"/>
                <w:sz w:val="18"/>
                <w:szCs w:val="18"/>
                <w:lang w:val="en-GB" w:eastAsia="en-GB"/>
              </w:rPr>
              <w:t>6</w:t>
            </w:r>
          </w:p>
        </w:tc>
        <w:tc>
          <w:tcPr>
            <w:tcW w:w="1822" w:type="dxa"/>
            <w:shd w:val="clear" w:color="auto" w:fill="EEEEEE"/>
          </w:tcPr>
          <w:p>
            <w:pPr>
              <w:spacing w:before="124" w:beforeLines="40" w:after="124" w:afterLines="40" w:line="24" w:lineRule="atLeast"/>
              <w:rPr>
                <w:rFonts w:ascii="Arial" w:hAnsi="Arial" w:eastAsia="Cambria" w:cs="Arial"/>
                <w:sz w:val="18"/>
                <w:szCs w:val="18"/>
                <w:lang w:val="en-GB" w:eastAsia="en-US"/>
              </w:rPr>
            </w:pPr>
            <w:r>
              <w:rPr>
                <w:rFonts w:ascii="Arial" w:hAnsi="Arial" w:eastAsia="Times New Roman" w:cs="Arial"/>
                <w:b/>
                <w:bCs/>
                <w:sz w:val="18"/>
                <w:szCs w:val="18"/>
                <w:lang w:val="en-GB" w:eastAsia="en-GB"/>
              </w:rPr>
              <w:t>Statistical methods: main analysis</w:t>
            </w:r>
          </w:p>
        </w:tc>
        <w:tc>
          <w:tcPr>
            <w:tcW w:w="7041" w:type="dxa"/>
            <w:shd w:val="clear" w:color="auto" w:fill="EEEEEE"/>
          </w:tcPr>
          <w:p>
            <w:pPr>
              <w:widowControl/>
              <w:spacing w:before="124" w:beforeLines="40" w:after="124" w:afterLines="40" w:line="24" w:lineRule="atLeast"/>
              <w:jc w:val="left"/>
              <w:rPr>
                <w:rFonts w:ascii="Arial" w:hAnsi="Arial" w:eastAsia="Times New Roman" w:cs="Arial"/>
                <w:kern w:val="0"/>
                <w:sz w:val="18"/>
                <w:szCs w:val="18"/>
                <w:lang w:val="en-GB" w:eastAsia="en-US"/>
                <w14:ligatures w14:val="none"/>
              </w:rPr>
            </w:pPr>
            <w:r>
              <w:rPr>
                <w:rFonts w:ascii="Arial" w:hAnsi="Arial" w:eastAsia="Times New Roman" w:cs="Arial"/>
                <w:kern w:val="0"/>
                <w:sz w:val="18"/>
                <w:szCs w:val="18"/>
                <w:lang w:val="en-GB" w:eastAsia="en-GB"/>
                <w14:ligatures w14:val="none"/>
              </w:rPr>
              <w:t>Describe statistical methods and statistics used</w:t>
            </w:r>
          </w:p>
        </w:tc>
        <w:tc>
          <w:tcPr>
            <w:tcW w:w="720" w:type="dxa"/>
            <w:shd w:val="clear" w:color="auto" w:fill="EEEEEE"/>
          </w:tcPr>
          <w:p>
            <w:pPr>
              <w:widowControl/>
              <w:spacing w:before="124" w:beforeLines="40" w:after="124" w:afterLines="40" w:line="24" w:lineRule="atLeast"/>
              <w:jc w:val="left"/>
              <w:rPr>
                <w:rFonts w:ascii="Arial" w:hAnsi="Arial" w:eastAsia="宋体" w:cs="Arial"/>
                <w:kern w:val="0"/>
                <w:sz w:val="18"/>
                <w:szCs w:val="18"/>
                <w14:ligatures w14:val="none"/>
              </w:rPr>
            </w:pPr>
            <w:r>
              <w:rPr>
                <w:rFonts w:hint="eastAsia" w:ascii="Arial" w:hAnsi="Arial" w:eastAsia="宋体" w:cs="Arial"/>
                <w:kern w:val="0"/>
                <w:sz w:val="18"/>
                <w:szCs w:val="18"/>
                <w14:ligatures w14:val="none"/>
              </w:rPr>
              <w:t>7, 8</w:t>
            </w:r>
          </w:p>
        </w:tc>
        <w:tc>
          <w:tcPr>
            <w:tcW w:w="4320" w:type="dxa"/>
            <w:shd w:val="clear" w:color="auto" w:fill="EEEEEE"/>
          </w:tcPr>
          <w:p>
            <w:pPr>
              <w:widowControl/>
              <w:spacing w:before="124" w:beforeLines="40" w:after="124" w:afterLines="40" w:line="24" w:lineRule="atLeast"/>
              <w:jc w:val="left"/>
              <w:rPr>
                <w:rFonts w:ascii="Arial" w:hAnsi="Arial" w:eastAsia="Times New Roman" w:cs="Arial"/>
                <w:kern w:val="0"/>
                <w:sz w:val="18"/>
                <w:szCs w:val="18"/>
                <w:lang w:val="en-GB" w:eastAsia="en-GB"/>
                <w14:ligatures w14:val="none"/>
              </w:rPr>
            </w:pPr>
            <w:r>
              <w:rPr>
                <w:rFonts w:ascii="Arial" w:hAnsi="Arial" w:eastAsia="Times New Roman" w:cs="Arial"/>
                <w:kern w:val="0"/>
                <w:sz w:val="18"/>
                <w:szCs w:val="18"/>
                <w:lang w:val="en-GB" w:eastAsia="en-GB"/>
                <w14:ligatures w14:val="none"/>
              </w:rPr>
              <w:t>In the univariate MR analysis, we employed inverse variance-weighted (IVW), weighted median (WM), and MR-Egger regression methods. For the MVMR analysis, we used the multivariate IVW method primarily, and supplemented it with multivariate MR-Egger and multivariate MR- least absolute shrinkage and selection operator methods. Heterogeneity tests were conducted using the MR-IVW and MR-Egger regression methods, whereas pleiotropic effects were assessed using the MR-Egger intercept.</w:t>
            </w:r>
          </w:p>
        </w:tc>
      </w:tr>
      <w:tr>
        <w:tblPrEx>
          <w:tblCellMar>
            <w:top w:w="0" w:type="dxa"/>
            <w:left w:w="108" w:type="dxa"/>
            <w:bottom w:w="0" w:type="dxa"/>
            <w:right w:w="108" w:type="dxa"/>
          </w:tblCellMar>
        </w:tblPrEx>
        <w:tc>
          <w:tcPr>
            <w:tcW w:w="587" w:type="dxa"/>
            <w:shd w:val="clear" w:color="auto" w:fill="auto"/>
          </w:tcPr>
          <w:p>
            <w:pPr>
              <w:spacing w:before="124" w:beforeLines="40" w:after="124" w:afterLines="40" w:line="24" w:lineRule="atLeast"/>
              <w:jc w:val="right"/>
              <w:rPr>
                <w:rFonts w:ascii="Arial" w:hAnsi="Arial" w:eastAsia="Cambria" w:cs="Arial"/>
                <w:b/>
                <w:bCs/>
                <w:sz w:val="18"/>
                <w:szCs w:val="18"/>
                <w:lang w:val="en-GB" w:eastAsia="en-US"/>
              </w:rPr>
            </w:pPr>
          </w:p>
        </w:tc>
        <w:tc>
          <w:tcPr>
            <w:tcW w:w="1822" w:type="dxa"/>
            <w:shd w:val="clear" w:color="auto" w:fill="auto"/>
          </w:tcPr>
          <w:p>
            <w:pPr>
              <w:spacing w:before="124" w:beforeLines="40" w:after="124" w:afterLines="40" w:line="24" w:lineRule="atLeast"/>
              <w:jc w:val="right"/>
              <w:rPr>
                <w:rFonts w:ascii="Arial" w:hAnsi="Arial" w:eastAsia="Cambria" w:cs="Arial"/>
                <w:sz w:val="18"/>
                <w:szCs w:val="18"/>
                <w:lang w:val="en-GB" w:eastAsia="en-US"/>
              </w:rPr>
            </w:pPr>
            <w:r>
              <w:rPr>
                <w:rFonts w:ascii="Arial" w:hAnsi="Arial" w:eastAsia="Cambria" w:cs="Arial"/>
                <w:sz w:val="18"/>
                <w:szCs w:val="18"/>
                <w:lang w:val="en-GB" w:eastAsia="en-US"/>
              </w:rPr>
              <w:t>a)</w:t>
            </w:r>
          </w:p>
        </w:tc>
        <w:tc>
          <w:tcPr>
            <w:tcW w:w="7041" w:type="dxa"/>
            <w:shd w:val="clear" w:color="auto" w:fill="auto"/>
          </w:tcPr>
          <w:p>
            <w:pPr>
              <w:widowControl/>
              <w:spacing w:before="124" w:beforeLines="40" w:after="124" w:afterLines="40" w:line="24" w:lineRule="atLeast"/>
              <w:jc w:val="left"/>
              <w:rPr>
                <w:rFonts w:ascii="Arial" w:hAnsi="Arial" w:eastAsia="Times New Roman" w:cs="Arial"/>
                <w:kern w:val="0"/>
                <w:sz w:val="18"/>
                <w:szCs w:val="18"/>
                <w:lang w:val="en-GB" w:eastAsia="en-US"/>
                <w14:ligatures w14:val="none"/>
              </w:rPr>
            </w:pPr>
            <w:r>
              <w:rPr>
                <w:rFonts w:ascii="Arial" w:hAnsi="Arial" w:eastAsia="Times New Roman" w:cs="Arial"/>
                <w:kern w:val="0"/>
                <w:sz w:val="18"/>
                <w:szCs w:val="18"/>
                <w:lang w:val="en-GB" w:eastAsia="en-GB"/>
                <w14:ligatures w14:val="none"/>
              </w:rPr>
              <w:t>Describe how quantitative variables were handled in the analyses (i.e., scale, units, model)</w:t>
            </w:r>
          </w:p>
        </w:tc>
        <w:tc>
          <w:tcPr>
            <w:tcW w:w="720" w:type="dxa"/>
          </w:tcPr>
          <w:p>
            <w:pPr>
              <w:widowControl/>
              <w:spacing w:before="124" w:beforeLines="40" w:after="124" w:afterLines="40" w:line="24" w:lineRule="atLeast"/>
              <w:jc w:val="left"/>
              <w:rPr>
                <w:rFonts w:ascii="Arial" w:hAnsi="Arial" w:eastAsia="Times New Roman" w:cs="Arial"/>
                <w:kern w:val="0"/>
                <w:sz w:val="18"/>
                <w:szCs w:val="18"/>
                <w:lang w:val="en-GB" w:eastAsia="en-GB"/>
                <w14:ligatures w14:val="none"/>
              </w:rPr>
            </w:pPr>
          </w:p>
        </w:tc>
        <w:tc>
          <w:tcPr>
            <w:tcW w:w="4320" w:type="dxa"/>
          </w:tcPr>
          <w:p>
            <w:pPr>
              <w:widowControl/>
              <w:spacing w:before="124" w:beforeLines="40" w:after="124" w:afterLines="40" w:line="24" w:lineRule="atLeast"/>
              <w:jc w:val="left"/>
              <w:rPr>
                <w:rFonts w:ascii="Arial" w:hAnsi="Arial" w:eastAsia="Times New Roman" w:cs="Arial"/>
                <w:kern w:val="0"/>
                <w:sz w:val="18"/>
                <w:szCs w:val="18"/>
                <w:lang w:val="en-GB" w:eastAsia="en-GB"/>
                <w14:ligatures w14:val="none"/>
              </w:rPr>
            </w:pPr>
            <w:r>
              <w:rPr>
                <w:rFonts w:ascii="Arial" w:hAnsi="Arial" w:eastAsia="Times New Roman" w:cs="Arial"/>
                <w:kern w:val="0"/>
                <w:sz w:val="18"/>
                <w:szCs w:val="18"/>
                <w:lang w:val="en-GB" w:eastAsia="en-GB"/>
                <w14:ligatures w14:val="none"/>
              </w:rPr>
              <w:t>Statistical effect sizes or units of measurement for exposures, outcomes, and relevant covariates were not transformed and are not reported</w:t>
            </w:r>
          </w:p>
        </w:tc>
      </w:tr>
      <w:tr>
        <w:tblPrEx>
          <w:tblCellMar>
            <w:top w:w="0" w:type="dxa"/>
            <w:left w:w="108" w:type="dxa"/>
            <w:bottom w:w="0" w:type="dxa"/>
            <w:right w:w="108" w:type="dxa"/>
          </w:tblCellMar>
        </w:tblPrEx>
        <w:tc>
          <w:tcPr>
            <w:tcW w:w="587" w:type="dxa"/>
            <w:shd w:val="clear" w:color="auto" w:fill="EEEEEE"/>
          </w:tcPr>
          <w:p>
            <w:pPr>
              <w:spacing w:before="124" w:beforeLines="40" w:after="124" w:afterLines="40" w:line="24" w:lineRule="atLeast"/>
              <w:jc w:val="right"/>
              <w:rPr>
                <w:rFonts w:ascii="Arial" w:hAnsi="Arial" w:eastAsia="Cambria" w:cs="Arial"/>
                <w:b/>
                <w:bCs/>
                <w:sz w:val="18"/>
                <w:szCs w:val="18"/>
                <w:lang w:val="en-GB" w:eastAsia="en-US"/>
              </w:rPr>
            </w:pPr>
          </w:p>
        </w:tc>
        <w:tc>
          <w:tcPr>
            <w:tcW w:w="1822" w:type="dxa"/>
            <w:shd w:val="clear" w:color="auto" w:fill="EEEEEE"/>
          </w:tcPr>
          <w:p>
            <w:pPr>
              <w:spacing w:before="124" w:beforeLines="40" w:after="124" w:afterLines="40" w:line="24" w:lineRule="atLeast"/>
              <w:jc w:val="right"/>
              <w:rPr>
                <w:rFonts w:ascii="Arial" w:hAnsi="Arial" w:eastAsia="Cambria" w:cs="Arial"/>
                <w:sz w:val="18"/>
                <w:szCs w:val="18"/>
                <w:lang w:val="en-GB" w:eastAsia="en-US"/>
              </w:rPr>
            </w:pPr>
            <w:r>
              <w:rPr>
                <w:rFonts w:ascii="Arial" w:hAnsi="Arial" w:eastAsia="Cambria" w:cs="Arial"/>
                <w:sz w:val="18"/>
                <w:szCs w:val="18"/>
                <w:lang w:val="en-GB" w:eastAsia="en-US"/>
              </w:rPr>
              <w:t>b)</w:t>
            </w:r>
          </w:p>
        </w:tc>
        <w:tc>
          <w:tcPr>
            <w:tcW w:w="7041" w:type="dxa"/>
            <w:shd w:val="clear" w:color="auto" w:fill="EEEEEE"/>
          </w:tcPr>
          <w:p>
            <w:pPr>
              <w:widowControl/>
              <w:spacing w:before="124" w:beforeLines="40" w:after="124" w:afterLines="40" w:line="24" w:lineRule="atLeast"/>
              <w:jc w:val="left"/>
              <w:rPr>
                <w:rFonts w:ascii="Arial" w:hAnsi="Arial" w:eastAsia="Times New Roman" w:cs="Arial"/>
                <w:kern w:val="0"/>
                <w:sz w:val="18"/>
                <w:szCs w:val="18"/>
                <w:lang w:val="en-GB" w:eastAsia="en-US"/>
                <w14:ligatures w14:val="none"/>
              </w:rPr>
            </w:pPr>
            <w:r>
              <w:rPr>
                <w:rFonts w:ascii="Arial" w:hAnsi="Arial" w:eastAsia="Times New Roman" w:cs="Arial"/>
                <w:kern w:val="0"/>
                <w:sz w:val="18"/>
                <w:szCs w:val="18"/>
                <w:lang w:val="en-GB" w:eastAsia="en-GB"/>
                <w14:ligatures w14:val="none"/>
              </w:rPr>
              <w:t>Describe how genetic variants were handled in the analyses and, if applicable, how their weights were selected</w:t>
            </w:r>
          </w:p>
        </w:tc>
        <w:tc>
          <w:tcPr>
            <w:tcW w:w="720" w:type="dxa"/>
            <w:shd w:val="clear" w:color="auto" w:fill="EEEEEE"/>
          </w:tcPr>
          <w:p>
            <w:pPr>
              <w:widowControl/>
              <w:spacing w:before="124" w:beforeLines="40" w:after="124" w:afterLines="40" w:line="24" w:lineRule="atLeast"/>
              <w:jc w:val="left"/>
              <w:rPr>
                <w:rFonts w:ascii="Arial" w:hAnsi="Arial" w:eastAsia="宋体" w:cs="Arial"/>
                <w:kern w:val="0"/>
                <w:sz w:val="18"/>
                <w:szCs w:val="18"/>
                <w14:ligatures w14:val="none"/>
              </w:rPr>
            </w:pPr>
            <w:r>
              <w:rPr>
                <w:rFonts w:hint="eastAsia" w:ascii="Arial" w:hAnsi="Arial" w:eastAsia="宋体" w:cs="Arial"/>
                <w:kern w:val="0"/>
                <w:sz w:val="18"/>
                <w:szCs w:val="18"/>
                <w14:ligatures w14:val="none"/>
              </w:rPr>
              <w:t>6</w:t>
            </w:r>
          </w:p>
        </w:tc>
        <w:tc>
          <w:tcPr>
            <w:tcW w:w="4320" w:type="dxa"/>
            <w:shd w:val="clear" w:color="auto" w:fill="EEEEEE"/>
          </w:tcPr>
          <w:p>
            <w:pPr>
              <w:widowControl/>
              <w:spacing w:before="124" w:beforeLines="40" w:after="124" w:afterLines="40" w:line="24" w:lineRule="atLeast"/>
              <w:jc w:val="left"/>
              <w:rPr>
                <w:rFonts w:ascii="Arial" w:hAnsi="Arial" w:eastAsia="Times New Roman" w:cs="Arial"/>
                <w:kern w:val="0"/>
                <w:sz w:val="18"/>
                <w:szCs w:val="18"/>
                <w14:ligatures w14:val="none"/>
              </w:rPr>
            </w:pPr>
            <w:r>
              <w:rPr>
                <w:rFonts w:ascii="Arial" w:hAnsi="Arial" w:eastAsia="Times New Roman" w:cs="Arial"/>
                <w:kern w:val="0"/>
                <w:sz w:val="18"/>
                <w:szCs w:val="18"/>
                <w:lang w:val="en-GB" w:eastAsia="en-GB"/>
                <w14:ligatures w14:val="none"/>
              </w:rPr>
              <w:t>Based on GWAS in online databases, specific methods for screening instrumental variables were described in this article</w:t>
            </w:r>
            <w:r>
              <w:rPr>
                <w:rFonts w:ascii="Arial" w:hAnsi="Arial" w:eastAsia="Times New Roman" w:cs="Arial"/>
                <w:kern w:val="0"/>
                <w:sz w:val="18"/>
                <w:szCs w:val="18"/>
                <w14:ligatures w14:val="none"/>
              </w:rPr>
              <w:t>.</w:t>
            </w:r>
          </w:p>
        </w:tc>
      </w:tr>
      <w:tr>
        <w:tblPrEx>
          <w:tblCellMar>
            <w:top w:w="0" w:type="dxa"/>
            <w:left w:w="108" w:type="dxa"/>
            <w:bottom w:w="0" w:type="dxa"/>
            <w:right w:w="108" w:type="dxa"/>
          </w:tblCellMar>
        </w:tblPrEx>
        <w:tc>
          <w:tcPr>
            <w:tcW w:w="587" w:type="dxa"/>
            <w:shd w:val="clear" w:color="auto" w:fill="auto"/>
          </w:tcPr>
          <w:p>
            <w:pPr>
              <w:spacing w:before="124" w:beforeLines="40" w:after="124" w:afterLines="40" w:line="24" w:lineRule="atLeast"/>
              <w:jc w:val="right"/>
              <w:rPr>
                <w:rFonts w:ascii="Arial" w:hAnsi="Arial" w:eastAsia="Cambria" w:cs="Arial"/>
                <w:b/>
                <w:bCs/>
                <w:sz w:val="18"/>
                <w:szCs w:val="18"/>
                <w:lang w:val="en-GB" w:eastAsia="en-US"/>
              </w:rPr>
            </w:pPr>
          </w:p>
        </w:tc>
        <w:tc>
          <w:tcPr>
            <w:tcW w:w="1822" w:type="dxa"/>
            <w:shd w:val="clear" w:color="auto" w:fill="auto"/>
          </w:tcPr>
          <w:p>
            <w:pPr>
              <w:spacing w:before="124" w:beforeLines="40" w:after="124" w:afterLines="40" w:line="24" w:lineRule="atLeast"/>
              <w:jc w:val="right"/>
              <w:rPr>
                <w:rFonts w:ascii="Arial" w:hAnsi="Arial" w:eastAsia="Cambria" w:cs="Arial"/>
                <w:sz w:val="18"/>
                <w:szCs w:val="18"/>
                <w:lang w:val="en-GB" w:eastAsia="en-US"/>
              </w:rPr>
            </w:pPr>
            <w:r>
              <w:rPr>
                <w:rFonts w:ascii="Arial" w:hAnsi="Arial" w:eastAsia="Cambria" w:cs="Arial"/>
                <w:sz w:val="18"/>
                <w:szCs w:val="18"/>
                <w:lang w:val="en-GB" w:eastAsia="en-US"/>
              </w:rPr>
              <w:t>c)</w:t>
            </w:r>
          </w:p>
        </w:tc>
        <w:tc>
          <w:tcPr>
            <w:tcW w:w="7041" w:type="dxa"/>
            <w:shd w:val="clear" w:color="auto" w:fill="auto"/>
          </w:tcPr>
          <w:p>
            <w:pPr>
              <w:widowControl/>
              <w:spacing w:before="124" w:beforeLines="40" w:after="124" w:afterLines="40" w:line="24" w:lineRule="atLeast"/>
              <w:jc w:val="left"/>
              <w:rPr>
                <w:rFonts w:ascii="Arial" w:hAnsi="Arial" w:eastAsia="Times New Roman" w:cs="Arial"/>
                <w:kern w:val="0"/>
                <w:sz w:val="18"/>
                <w:szCs w:val="18"/>
                <w:lang w:val="en-GB" w:eastAsia="en-US"/>
                <w14:ligatures w14:val="none"/>
              </w:rPr>
            </w:pPr>
            <w:r>
              <w:rPr>
                <w:rFonts w:ascii="Arial" w:hAnsi="Arial" w:eastAsia="Times New Roman" w:cs="Arial"/>
                <w:kern w:val="0"/>
                <w:sz w:val="18"/>
                <w:szCs w:val="18"/>
                <w:lang w:val="en-GB" w:eastAsia="en-GB"/>
                <w14:ligatures w14:val="none"/>
              </w:rPr>
              <w:t>Describe the MR estimator (e.g. two-stage least squares, Wald ratio) and related statistics. Detail the included covariates and, in case of two-sample MR, whether the same covariate set was used for adjustment in the two samples</w:t>
            </w:r>
          </w:p>
        </w:tc>
        <w:tc>
          <w:tcPr>
            <w:tcW w:w="720" w:type="dxa"/>
          </w:tcPr>
          <w:p>
            <w:pPr>
              <w:widowControl/>
              <w:spacing w:before="124" w:beforeLines="40" w:after="124" w:afterLines="40" w:line="24" w:lineRule="atLeast"/>
              <w:jc w:val="left"/>
              <w:rPr>
                <w:rFonts w:ascii="Arial" w:hAnsi="Arial" w:eastAsia="宋体" w:cs="Arial"/>
                <w:kern w:val="0"/>
                <w:sz w:val="18"/>
                <w:szCs w:val="18"/>
                <w14:ligatures w14:val="none"/>
              </w:rPr>
            </w:pPr>
            <w:r>
              <w:rPr>
                <w:rFonts w:hint="eastAsia" w:ascii="Arial" w:hAnsi="Arial" w:eastAsia="宋体" w:cs="Arial"/>
                <w:kern w:val="0"/>
                <w:sz w:val="18"/>
                <w:szCs w:val="18"/>
                <w14:ligatures w14:val="none"/>
              </w:rPr>
              <w:t>7, 8</w:t>
            </w:r>
          </w:p>
        </w:tc>
        <w:tc>
          <w:tcPr>
            <w:tcW w:w="4320" w:type="dxa"/>
          </w:tcPr>
          <w:p>
            <w:pPr>
              <w:widowControl/>
              <w:spacing w:before="124" w:beforeLines="40" w:after="124" w:afterLines="40" w:line="24" w:lineRule="atLeast"/>
              <w:jc w:val="left"/>
              <w:rPr>
                <w:rFonts w:ascii="Arial" w:hAnsi="Arial" w:eastAsia="Times New Roman" w:cs="Arial"/>
                <w:kern w:val="0"/>
                <w:sz w:val="18"/>
                <w:szCs w:val="18"/>
                <w:lang w:val="en-GB" w:eastAsia="en-GB"/>
                <w14:ligatures w14:val="none"/>
              </w:rPr>
            </w:pPr>
            <w:r>
              <w:rPr>
                <w:rFonts w:ascii="Arial" w:hAnsi="Arial" w:eastAsia="Times New Roman" w:cs="Arial"/>
                <w:kern w:val="0"/>
                <w:sz w:val="18"/>
                <w:szCs w:val="18"/>
                <w:lang w:val="en-GB" w:eastAsia="en-GB"/>
                <w14:ligatures w14:val="none"/>
              </w:rPr>
              <w:t>In this paper, the MR Statistical methods and the software used are described in detail.</w:t>
            </w:r>
          </w:p>
        </w:tc>
      </w:tr>
      <w:tr>
        <w:tblPrEx>
          <w:tblCellMar>
            <w:top w:w="0" w:type="dxa"/>
            <w:left w:w="108" w:type="dxa"/>
            <w:bottom w:w="0" w:type="dxa"/>
            <w:right w:w="108" w:type="dxa"/>
          </w:tblCellMar>
        </w:tblPrEx>
        <w:tc>
          <w:tcPr>
            <w:tcW w:w="587" w:type="dxa"/>
            <w:shd w:val="clear" w:color="auto" w:fill="EEEEEE"/>
          </w:tcPr>
          <w:p>
            <w:pPr>
              <w:spacing w:before="124" w:beforeLines="40" w:after="124" w:afterLines="40" w:line="24" w:lineRule="atLeast"/>
              <w:jc w:val="right"/>
              <w:rPr>
                <w:rFonts w:ascii="Arial" w:hAnsi="Arial" w:eastAsia="Cambria" w:cs="Arial"/>
                <w:b/>
                <w:bCs/>
                <w:sz w:val="18"/>
                <w:szCs w:val="18"/>
                <w:lang w:val="en-GB" w:eastAsia="en-US"/>
              </w:rPr>
            </w:pPr>
          </w:p>
        </w:tc>
        <w:tc>
          <w:tcPr>
            <w:tcW w:w="1822" w:type="dxa"/>
            <w:shd w:val="clear" w:color="auto" w:fill="EEEEEE"/>
          </w:tcPr>
          <w:p>
            <w:pPr>
              <w:spacing w:before="124" w:beforeLines="40" w:after="124" w:afterLines="40" w:line="24" w:lineRule="atLeast"/>
              <w:jc w:val="right"/>
              <w:rPr>
                <w:rFonts w:ascii="Arial" w:hAnsi="Arial" w:eastAsia="Cambria" w:cs="Arial"/>
                <w:sz w:val="18"/>
                <w:szCs w:val="18"/>
                <w:lang w:val="en-GB" w:eastAsia="en-US"/>
              </w:rPr>
            </w:pPr>
            <w:r>
              <w:rPr>
                <w:rFonts w:ascii="Arial" w:hAnsi="Arial" w:eastAsia="Cambria" w:cs="Arial"/>
                <w:sz w:val="18"/>
                <w:szCs w:val="18"/>
                <w:lang w:val="en-GB" w:eastAsia="en-US"/>
              </w:rPr>
              <w:t>d)</w:t>
            </w:r>
          </w:p>
        </w:tc>
        <w:tc>
          <w:tcPr>
            <w:tcW w:w="7041" w:type="dxa"/>
            <w:shd w:val="clear" w:color="auto" w:fill="EEEEEE"/>
          </w:tcPr>
          <w:p>
            <w:pPr>
              <w:widowControl/>
              <w:spacing w:before="124" w:beforeLines="40" w:after="124" w:afterLines="40" w:line="24" w:lineRule="atLeast"/>
              <w:jc w:val="left"/>
              <w:rPr>
                <w:rFonts w:ascii="Arial" w:hAnsi="Arial" w:eastAsia="Times New Roman" w:cs="Arial"/>
                <w:kern w:val="0"/>
                <w:sz w:val="18"/>
                <w:szCs w:val="18"/>
                <w:lang w:val="en-GB" w:eastAsia="en-GB"/>
                <w14:ligatures w14:val="none"/>
              </w:rPr>
            </w:pPr>
            <w:r>
              <w:rPr>
                <w:rFonts w:ascii="Arial" w:hAnsi="Arial" w:eastAsia="Times New Roman" w:cs="Arial"/>
                <w:kern w:val="0"/>
                <w:sz w:val="18"/>
                <w:szCs w:val="18"/>
                <w:lang w:val="en-GB" w:eastAsia="en-GB"/>
                <w14:ligatures w14:val="none"/>
              </w:rPr>
              <w:t xml:space="preserve">Explain how </w:t>
            </w:r>
            <w:bookmarkStart w:id="2" w:name="OLE_LINK1"/>
            <w:r>
              <w:rPr>
                <w:rFonts w:ascii="Arial" w:hAnsi="Arial" w:eastAsia="Times New Roman" w:cs="Arial"/>
                <w:kern w:val="0"/>
                <w:sz w:val="18"/>
                <w:szCs w:val="18"/>
                <w:lang w:val="en-GB" w:eastAsia="en-GB"/>
                <w14:ligatures w14:val="none"/>
              </w:rPr>
              <w:t xml:space="preserve">missing </w:t>
            </w:r>
            <w:bookmarkEnd w:id="2"/>
            <w:r>
              <w:rPr>
                <w:rFonts w:ascii="Arial" w:hAnsi="Arial" w:eastAsia="Times New Roman" w:cs="Arial"/>
                <w:kern w:val="0"/>
                <w:sz w:val="18"/>
                <w:szCs w:val="18"/>
                <w:lang w:val="en-GB" w:eastAsia="en-GB"/>
                <w14:ligatures w14:val="none"/>
              </w:rPr>
              <w:t>data were addressed</w:t>
            </w:r>
          </w:p>
        </w:tc>
        <w:tc>
          <w:tcPr>
            <w:tcW w:w="720" w:type="dxa"/>
            <w:shd w:val="clear" w:color="auto" w:fill="EEEEEE"/>
          </w:tcPr>
          <w:p>
            <w:pPr>
              <w:widowControl/>
              <w:spacing w:before="124" w:beforeLines="40" w:after="124" w:afterLines="40" w:line="24" w:lineRule="atLeast"/>
              <w:jc w:val="left"/>
              <w:rPr>
                <w:rFonts w:ascii="Arial" w:hAnsi="Arial" w:eastAsia="Times New Roman" w:cs="Arial"/>
                <w:kern w:val="0"/>
                <w:sz w:val="18"/>
                <w:szCs w:val="18"/>
                <w:lang w:val="en-GB" w:eastAsia="en-GB"/>
                <w14:ligatures w14:val="none"/>
              </w:rPr>
            </w:pPr>
          </w:p>
        </w:tc>
        <w:tc>
          <w:tcPr>
            <w:tcW w:w="4320" w:type="dxa"/>
            <w:shd w:val="clear" w:color="auto" w:fill="EEEEEE"/>
          </w:tcPr>
          <w:p>
            <w:pPr>
              <w:widowControl/>
              <w:spacing w:before="124" w:beforeLines="40" w:after="124" w:afterLines="40" w:line="24" w:lineRule="atLeast"/>
              <w:jc w:val="left"/>
              <w:rPr>
                <w:rFonts w:ascii="Arial" w:hAnsi="Arial" w:eastAsia="Times New Roman" w:cs="Arial"/>
                <w:kern w:val="0"/>
                <w:sz w:val="18"/>
                <w:szCs w:val="18"/>
                <w:lang w:val="en-GB" w:eastAsia="en-GB"/>
                <w14:ligatures w14:val="none"/>
              </w:rPr>
            </w:pPr>
            <w:r>
              <w:rPr>
                <w:rFonts w:ascii="Arial" w:hAnsi="Arial" w:eastAsia="Times New Roman" w:cs="Arial"/>
                <w:kern w:val="0"/>
                <w:sz w:val="18"/>
                <w:szCs w:val="18"/>
                <w14:ligatures w14:val="none"/>
              </w:rPr>
              <w:t>Not applicable.</w:t>
            </w:r>
          </w:p>
        </w:tc>
      </w:tr>
      <w:tr>
        <w:tblPrEx>
          <w:tblCellMar>
            <w:top w:w="0" w:type="dxa"/>
            <w:left w:w="108" w:type="dxa"/>
            <w:bottom w:w="0" w:type="dxa"/>
            <w:right w:w="108" w:type="dxa"/>
          </w:tblCellMar>
        </w:tblPrEx>
        <w:tc>
          <w:tcPr>
            <w:tcW w:w="587" w:type="dxa"/>
            <w:shd w:val="clear" w:color="auto" w:fill="auto"/>
          </w:tcPr>
          <w:p>
            <w:pPr>
              <w:spacing w:before="124" w:beforeLines="40" w:after="124" w:afterLines="40" w:line="24" w:lineRule="atLeast"/>
              <w:jc w:val="right"/>
              <w:rPr>
                <w:rFonts w:ascii="Arial" w:hAnsi="Arial" w:eastAsia="Cambria" w:cs="Arial"/>
                <w:b/>
                <w:bCs/>
                <w:sz w:val="18"/>
                <w:szCs w:val="18"/>
                <w:lang w:val="en-GB" w:eastAsia="en-US"/>
              </w:rPr>
            </w:pPr>
          </w:p>
        </w:tc>
        <w:tc>
          <w:tcPr>
            <w:tcW w:w="1822" w:type="dxa"/>
            <w:shd w:val="clear" w:color="auto" w:fill="auto"/>
          </w:tcPr>
          <w:p>
            <w:pPr>
              <w:spacing w:before="124" w:beforeLines="40" w:after="124" w:afterLines="40" w:line="24" w:lineRule="atLeast"/>
              <w:jc w:val="right"/>
              <w:rPr>
                <w:rFonts w:ascii="Arial" w:hAnsi="Arial" w:eastAsia="Cambria" w:cs="Arial"/>
                <w:sz w:val="18"/>
                <w:szCs w:val="18"/>
                <w:lang w:val="en-GB" w:eastAsia="en-US"/>
              </w:rPr>
            </w:pPr>
            <w:r>
              <w:rPr>
                <w:rFonts w:ascii="Arial" w:hAnsi="Arial" w:eastAsia="Cambria" w:cs="Arial"/>
                <w:sz w:val="18"/>
                <w:szCs w:val="18"/>
                <w:lang w:val="en-GB" w:eastAsia="en-US"/>
              </w:rPr>
              <w:t>e)</w:t>
            </w:r>
          </w:p>
        </w:tc>
        <w:tc>
          <w:tcPr>
            <w:tcW w:w="7041" w:type="dxa"/>
            <w:shd w:val="clear" w:color="auto" w:fill="auto"/>
          </w:tcPr>
          <w:p>
            <w:pPr>
              <w:widowControl/>
              <w:spacing w:before="124" w:beforeLines="40" w:after="124" w:afterLines="40" w:line="24" w:lineRule="atLeast"/>
              <w:jc w:val="left"/>
              <w:rPr>
                <w:rFonts w:ascii="Arial" w:hAnsi="Arial" w:eastAsia="Times New Roman" w:cs="Arial"/>
                <w:kern w:val="0"/>
                <w:sz w:val="18"/>
                <w:szCs w:val="18"/>
                <w:lang w:val="en-GB" w:eastAsia="en-US"/>
                <w14:ligatures w14:val="none"/>
              </w:rPr>
            </w:pPr>
            <w:r>
              <w:rPr>
                <w:rFonts w:ascii="Arial" w:hAnsi="Arial" w:eastAsia="Times New Roman" w:cs="Arial"/>
                <w:kern w:val="0"/>
                <w:sz w:val="18"/>
                <w:szCs w:val="18"/>
                <w:lang w:val="en-GB" w:eastAsia="en-GB"/>
                <w14:ligatures w14:val="none"/>
              </w:rPr>
              <w:t>If applicable, indicate how multiple testing was addressed</w:t>
            </w:r>
          </w:p>
        </w:tc>
        <w:tc>
          <w:tcPr>
            <w:tcW w:w="720" w:type="dxa"/>
          </w:tcPr>
          <w:p>
            <w:pPr>
              <w:widowControl/>
              <w:spacing w:before="124" w:beforeLines="40" w:after="124" w:afterLines="40" w:line="24" w:lineRule="atLeast"/>
              <w:jc w:val="left"/>
              <w:rPr>
                <w:rFonts w:ascii="Arial" w:hAnsi="Arial" w:eastAsia="宋体" w:cs="Arial"/>
                <w:kern w:val="0"/>
                <w:sz w:val="18"/>
                <w:szCs w:val="18"/>
                <w14:ligatures w14:val="none"/>
              </w:rPr>
            </w:pPr>
            <w:r>
              <w:rPr>
                <w:rFonts w:hint="eastAsia" w:ascii="Arial" w:hAnsi="Arial" w:eastAsia="宋体" w:cs="Arial"/>
                <w:kern w:val="0"/>
                <w:sz w:val="18"/>
                <w:szCs w:val="18"/>
                <w14:ligatures w14:val="none"/>
              </w:rPr>
              <w:t>8</w:t>
            </w:r>
          </w:p>
        </w:tc>
        <w:tc>
          <w:tcPr>
            <w:tcW w:w="4320" w:type="dxa"/>
          </w:tcPr>
          <w:p>
            <w:pPr>
              <w:widowControl/>
              <w:spacing w:before="124" w:beforeLines="40" w:after="124" w:afterLines="40" w:line="24" w:lineRule="atLeast"/>
              <w:jc w:val="left"/>
              <w:rPr>
                <w:rFonts w:ascii="Arial" w:hAnsi="Arial" w:eastAsia="Times New Roman" w:cs="Arial"/>
                <w:kern w:val="0"/>
                <w:sz w:val="18"/>
                <w:szCs w:val="18"/>
                <w:lang w:val="en-GB" w:eastAsia="en-GB"/>
                <w14:ligatures w14:val="none"/>
              </w:rPr>
            </w:pPr>
            <w:r>
              <w:rPr>
                <w:rFonts w:ascii="Arial" w:hAnsi="Arial" w:eastAsia="Times New Roman" w:cs="Arial"/>
                <w:kern w:val="0"/>
                <w:sz w:val="18"/>
                <w:szCs w:val="18"/>
                <w14:ligatures w14:val="none"/>
              </w:rPr>
              <w:t>MVMR analysis was conducted to examine the significance of the causal relationship between diabetes and IPF established by the univariate MR analysis.</w:t>
            </w:r>
          </w:p>
        </w:tc>
      </w:tr>
      <w:tr>
        <w:tblPrEx>
          <w:tblCellMar>
            <w:top w:w="0" w:type="dxa"/>
            <w:left w:w="108" w:type="dxa"/>
            <w:bottom w:w="0" w:type="dxa"/>
            <w:right w:w="108" w:type="dxa"/>
          </w:tblCellMar>
        </w:tblPrEx>
        <w:tc>
          <w:tcPr>
            <w:tcW w:w="587" w:type="dxa"/>
            <w:shd w:val="clear" w:color="auto" w:fill="EEEEEE"/>
          </w:tcPr>
          <w:p>
            <w:pPr>
              <w:spacing w:before="124" w:beforeLines="40" w:after="124" w:afterLines="40" w:line="24" w:lineRule="atLeast"/>
              <w:rPr>
                <w:rFonts w:ascii="Arial" w:hAnsi="Arial" w:eastAsia="Times New Roman" w:cs="Arial"/>
                <w:b/>
                <w:bCs/>
                <w:sz w:val="18"/>
                <w:szCs w:val="18"/>
                <w:lang w:val="en-GB" w:eastAsia="en-GB"/>
              </w:rPr>
            </w:pPr>
            <w:r>
              <w:rPr>
                <w:rFonts w:ascii="Arial" w:hAnsi="Arial" w:eastAsia="Times New Roman" w:cs="Arial"/>
                <w:sz w:val="18"/>
                <w:szCs w:val="18"/>
                <w:lang w:val="en-GB" w:eastAsia="en-GB"/>
              </w:rPr>
              <w:t>7</w:t>
            </w:r>
          </w:p>
        </w:tc>
        <w:tc>
          <w:tcPr>
            <w:tcW w:w="1822" w:type="dxa"/>
            <w:shd w:val="clear" w:color="auto" w:fill="EEEEEE"/>
          </w:tcPr>
          <w:p>
            <w:pPr>
              <w:spacing w:before="124" w:beforeLines="40" w:after="124" w:afterLines="40" w:line="24" w:lineRule="atLeast"/>
              <w:rPr>
                <w:rFonts w:ascii="Arial" w:hAnsi="Arial" w:eastAsia="Cambria" w:cs="Arial"/>
                <w:sz w:val="18"/>
                <w:szCs w:val="18"/>
                <w:lang w:val="en-GB" w:eastAsia="en-US"/>
              </w:rPr>
            </w:pPr>
            <w:r>
              <w:rPr>
                <w:rFonts w:ascii="Arial" w:hAnsi="Arial" w:eastAsia="Times New Roman" w:cs="Arial"/>
                <w:b/>
                <w:bCs/>
                <w:sz w:val="18"/>
                <w:szCs w:val="18"/>
                <w:lang w:val="en-GB" w:eastAsia="en-GB"/>
              </w:rPr>
              <w:t>Assessment of assumptions</w:t>
            </w:r>
          </w:p>
        </w:tc>
        <w:tc>
          <w:tcPr>
            <w:tcW w:w="7041" w:type="dxa"/>
            <w:shd w:val="clear" w:color="auto" w:fill="EEEEEE"/>
          </w:tcPr>
          <w:p>
            <w:pPr>
              <w:widowControl/>
              <w:spacing w:before="124" w:beforeLines="40" w:after="124" w:afterLines="40" w:line="24" w:lineRule="atLeast"/>
              <w:jc w:val="left"/>
              <w:rPr>
                <w:rFonts w:ascii="Arial" w:hAnsi="Arial" w:eastAsia="Times New Roman" w:cs="Arial"/>
                <w:kern w:val="0"/>
                <w:sz w:val="18"/>
                <w:szCs w:val="18"/>
                <w:lang w:val="en-GB" w:eastAsia="en-US"/>
                <w14:ligatures w14:val="none"/>
              </w:rPr>
            </w:pPr>
            <w:r>
              <w:rPr>
                <w:rFonts w:ascii="Arial" w:hAnsi="Arial" w:eastAsia="Times New Roman" w:cs="Arial"/>
                <w:kern w:val="0"/>
                <w:sz w:val="18"/>
                <w:szCs w:val="18"/>
                <w:lang w:val="en-GB" w:eastAsia="en-GB"/>
                <w14:ligatures w14:val="none"/>
              </w:rPr>
              <w:t>Describe any methods or prior knowledge used to assess the assumptions or justify their validity</w:t>
            </w:r>
            <w:r>
              <w:rPr>
                <w:rFonts w:ascii="Arial" w:hAnsi="Arial" w:eastAsia="Times New Roman" w:cs="Arial"/>
                <w:kern w:val="0"/>
                <w:sz w:val="18"/>
                <w:szCs w:val="18"/>
                <w:lang w:val="en-GB" w:eastAsia="en-US"/>
                <w14:ligatures w14:val="none"/>
              </w:rPr>
              <w:tab/>
            </w:r>
          </w:p>
        </w:tc>
        <w:tc>
          <w:tcPr>
            <w:tcW w:w="720" w:type="dxa"/>
            <w:shd w:val="clear" w:color="auto" w:fill="EEEEEE"/>
          </w:tcPr>
          <w:p>
            <w:pPr>
              <w:widowControl/>
              <w:spacing w:before="124" w:beforeLines="40" w:after="124" w:afterLines="40" w:line="24" w:lineRule="atLeast"/>
              <w:jc w:val="left"/>
              <w:rPr>
                <w:rFonts w:ascii="Arial" w:hAnsi="Arial" w:eastAsia="Times New Roman" w:cs="Arial"/>
                <w:kern w:val="0"/>
                <w:sz w:val="18"/>
                <w:szCs w:val="18"/>
                <w14:ligatures w14:val="none"/>
              </w:rPr>
            </w:pPr>
            <w:r>
              <w:rPr>
                <w:rFonts w:ascii="Arial" w:hAnsi="Arial" w:eastAsia="Times New Roman" w:cs="Arial"/>
                <w:kern w:val="0"/>
                <w:sz w:val="18"/>
                <w:szCs w:val="18"/>
                <w14:ligatures w14:val="none"/>
              </w:rPr>
              <w:t>6</w:t>
            </w:r>
          </w:p>
        </w:tc>
        <w:tc>
          <w:tcPr>
            <w:tcW w:w="4320" w:type="dxa"/>
            <w:shd w:val="clear" w:color="auto" w:fill="EEEEEE"/>
          </w:tcPr>
          <w:p>
            <w:pPr>
              <w:widowControl/>
              <w:spacing w:before="124" w:beforeLines="40" w:after="124" w:afterLines="40" w:line="24" w:lineRule="atLeast"/>
              <w:jc w:val="left"/>
              <w:rPr>
                <w:rFonts w:ascii="Arial" w:hAnsi="Arial" w:eastAsia="Times New Roman" w:cs="Arial"/>
                <w:kern w:val="0"/>
                <w:sz w:val="18"/>
                <w:szCs w:val="18"/>
                <w:lang w:val="en-GB" w:eastAsia="en-GB"/>
                <w14:ligatures w14:val="none"/>
              </w:rPr>
            </w:pPr>
            <w:r>
              <w:rPr>
                <w:rFonts w:ascii="Arial" w:hAnsi="Arial" w:eastAsia="Times New Roman" w:cs="Arial"/>
                <w:kern w:val="0"/>
                <w:sz w:val="18"/>
                <w:szCs w:val="18"/>
                <w14:ligatures w14:val="none"/>
              </w:rPr>
              <w:t>To ensure a strong relationship between the IVs and exposure, it is necessary to calculate F-statistics and R2.</w:t>
            </w:r>
          </w:p>
        </w:tc>
      </w:tr>
      <w:tr>
        <w:tblPrEx>
          <w:tblCellMar>
            <w:top w:w="0" w:type="dxa"/>
            <w:left w:w="108" w:type="dxa"/>
            <w:bottom w:w="0" w:type="dxa"/>
            <w:right w:w="108" w:type="dxa"/>
          </w:tblCellMar>
        </w:tblPrEx>
        <w:tc>
          <w:tcPr>
            <w:tcW w:w="587" w:type="dxa"/>
            <w:shd w:val="clear" w:color="auto" w:fill="auto"/>
          </w:tcPr>
          <w:p>
            <w:pPr>
              <w:spacing w:before="124" w:beforeLines="40" w:after="124" w:afterLines="40" w:line="24" w:lineRule="atLeast"/>
              <w:rPr>
                <w:rFonts w:ascii="Arial" w:hAnsi="Arial" w:eastAsia="Times New Roman" w:cs="Arial"/>
                <w:b/>
                <w:bCs/>
                <w:sz w:val="18"/>
                <w:szCs w:val="18"/>
                <w:lang w:val="en-GB" w:eastAsia="en-GB"/>
              </w:rPr>
            </w:pPr>
            <w:r>
              <w:rPr>
                <w:rFonts w:ascii="Arial" w:hAnsi="Arial" w:eastAsia="Times New Roman" w:cs="Arial"/>
                <w:sz w:val="18"/>
                <w:szCs w:val="18"/>
                <w:lang w:val="en-GB" w:eastAsia="en-GB"/>
              </w:rPr>
              <w:t>8</w:t>
            </w:r>
          </w:p>
        </w:tc>
        <w:tc>
          <w:tcPr>
            <w:tcW w:w="1822" w:type="dxa"/>
            <w:shd w:val="clear" w:color="auto" w:fill="auto"/>
          </w:tcPr>
          <w:p>
            <w:pPr>
              <w:spacing w:before="124" w:beforeLines="40" w:after="124" w:afterLines="40" w:line="24" w:lineRule="atLeast"/>
              <w:rPr>
                <w:rFonts w:ascii="Arial" w:hAnsi="Arial" w:eastAsia="Cambria" w:cs="Arial"/>
                <w:sz w:val="18"/>
                <w:szCs w:val="18"/>
                <w:lang w:val="en-GB" w:eastAsia="en-US"/>
              </w:rPr>
            </w:pPr>
            <w:r>
              <w:rPr>
                <w:rFonts w:ascii="Arial" w:hAnsi="Arial" w:eastAsia="Times New Roman" w:cs="Arial"/>
                <w:b/>
                <w:bCs/>
                <w:sz w:val="18"/>
                <w:szCs w:val="18"/>
                <w:lang w:val="en-GB" w:eastAsia="en-GB"/>
              </w:rPr>
              <w:t>Sensitivity analyses and additional analyses</w:t>
            </w:r>
          </w:p>
        </w:tc>
        <w:tc>
          <w:tcPr>
            <w:tcW w:w="7041" w:type="dxa"/>
            <w:shd w:val="clear" w:color="auto" w:fill="auto"/>
          </w:tcPr>
          <w:p>
            <w:pPr>
              <w:widowControl/>
              <w:spacing w:before="124" w:beforeLines="40" w:after="124" w:afterLines="40" w:line="24" w:lineRule="atLeast"/>
              <w:jc w:val="left"/>
              <w:rPr>
                <w:rFonts w:ascii="Arial" w:hAnsi="Arial" w:eastAsia="Times New Roman" w:cs="Arial"/>
                <w:kern w:val="0"/>
                <w:sz w:val="18"/>
                <w:szCs w:val="18"/>
                <w:lang w:val="en-GB" w:eastAsia="en-US"/>
                <w14:ligatures w14:val="none"/>
              </w:rPr>
            </w:pPr>
            <w:r>
              <w:rPr>
                <w:rFonts w:ascii="Arial" w:hAnsi="Arial" w:eastAsia="Times New Roman" w:cs="Arial"/>
                <w:kern w:val="0"/>
                <w:sz w:val="18"/>
                <w:szCs w:val="18"/>
                <w:lang w:val="en-GB" w:eastAsia="en-GB"/>
                <w14:ligatures w14:val="none"/>
              </w:rPr>
              <w:t>Describe any sensitivity analyses or additional analyses performed (e.g. comparison of effect estimates from different approaches, independent replication, bias analytic techniques, validation of instruments, simulations)</w:t>
            </w:r>
          </w:p>
        </w:tc>
        <w:tc>
          <w:tcPr>
            <w:tcW w:w="720" w:type="dxa"/>
          </w:tcPr>
          <w:p>
            <w:pPr>
              <w:widowControl/>
              <w:spacing w:before="124" w:beforeLines="40" w:after="124" w:afterLines="40" w:line="24" w:lineRule="atLeast"/>
              <w:jc w:val="left"/>
              <w:rPr>
                <w:rFonts w:ascii="Arial" w:hAnsi="Arial" w:eastAsia="Times New Roman" w:cs="Arial"/>
                <w:kern w:val="0"/>
                <w:sz w:val="18"/>
                <w:szCs w:val="18"/>
                <w14:ligatures w14:val="none"/>
              </w:rPr>
            </w:pPr>
            <w:r>
              <w:rPr>
                <w:rFonts w:ascii="Arial" w:hAnsi="Arial" w:eastAsia="Times New Roman" w:cs="Arial"/>
                <w:kern w:val="0"/>
                <w:sz w:val="18"/>
                <w:szCs w:val="18"/>
                <w14:ligatures w14:val="none"/>
              </w:rPr>
              <w:t>7</w:t>
            </w:r>
          </w:p>
        </w:tc>
        <w:tc>
          <w:tcPr>
            <w:tcW w:w="4320" w:type="dxa"/>
          </w:tcPr>
          <w:p>
            <w:pPr>
              <w:widowControl/>
              <w:spacing w:before="124" w:beforeLines="40" w:after="124" w:afterLines="40" w:line="24" w:lineRule="atLeast"/>
              <w:jc w:val="left"/>
              <w:rPr>
                <w:rFonts w:ascii="Arial" w:hAnsi="Arial" w:eastAsia="Times New Roman" w:cs="Arial"/>
                <w:kern w:val="0"/>
                <w:sz w:val="18"/>
                <w:szCs w:val="18"/>
                <w:lang w:eastAsia="en-GB"/>
                <w14:ligatures w14:val="none"/>
              </w:rPr>
            </w:pPr>
            <w:r>
              <w:rPr>
                <w:rFonts w:ascii="Arial" w:hAnsi="Arial" w:eastAsia="Times New Roman" w:cs="Arial"/>
                <w:kern w:val="0"/>
                <w:sz w:val="18"/>
                <w:szCs w:val="18"/>
                <w14:ligatures w14:val="none"/>
              </w:rPr>
              <w:t>To ensure the reliability of our research findings, we employed MR-IVW and MR-Egger regression methods to assess heterogeneity and quantified the results using Cochran's Q statistics in univariable MR. In MVMR, the extended IVW and MR-Egger methods were employed to assess heterogeneity, while the MR-Egger intercept was used to evaluate pleiotropic effects.</w:t>
            </w:r>
          </w:p>
        </w:tc>
      </w:tr>
      <w:tr>
        <w:tblPrEx>
          <w:tblCellMar>
            <w:top w:w="0" w:type="dxa"/>
            <w:left w:w="108" w:type="dxa"/>
            <w:bottom w:w="0" w:type="dxa"/>
            <w:right w:w="108" w:type="dxa"/>
          </w:tblCellMar>
        </w:tblPrEx>
        <w:tc>
          <w:tcPr>
            <w:tcW w:w="587" w:type="dxa"/>
            <w:shd w:val="clear" w:color="auto" w:fill="EEEEEE"/>
          </w:tcPr>
          <w:p>
            <w:pPr>
              <w:spacing w:before="124" w:beforeLines="40" w:after="124" w:afterLines="40" w:line="24" w:lineRule="atLeast"/>
              <w:rPr>
                <w:rFonts w:ascii="Arial" w:hAnsi="Arial" w:eastAsia="Times New Roman" w:cs="Arial"/>
                <w:b/>
                <w:bCs/>
                <w:sz w:val="18"/>
                <w:szCs w:val="18"/>
                <w:lang w:val="en-GB" w:eastAsia="en-GB"/>
              </w:rPr>
            </w:pPr>
            <w:r>
              <w:rPr>
                <w:rFonts w:ascii="Arial" w:hAnsi="Arial" w:eastAsia="Times New Roman" w:cs="Arial"/>
                <w:sz w:val="18"/>
                <w:szCs w:val="18"/>
                <w:lang w:val="en-GB" w:eastAsia="en-GB"/>
              </w:rPr>
              <w:t>9</w:t>
            </w:r>
          </w:p>
        </w:tc>
        <w:tc>
          <w:tcPr>
            <w:tcW w:w="1822" w:type="dxa"/>
            <w:shd w:val="clear" w:color="auto" w:fill="EEEEEE"/>
          </w:tcPr>
          <w:p>
            <w:pPr>
              <w:spacing w:before="124" w:beforeLines="40" w:after="124" w:afterLines="40" w:line="24" w:lineRule="atLeast"/>
              <w:rPr>
                <w:rFonts w:ascii="Arial" w:hAnsi="Arial" w:eastAsia="Cambria" w:cs="Arial"/>
                <w:sz w:val="18"/>
                <w:szCs w:val="18"/>
                <w:lang w:val="en-GB" w:eastAsia="en-US"/>
              </w:rPr>
            </w:pPr>
            <w:r>
              <w:rPr>
                <w:rFonts w:ascii="Arial" w:hAnsi="Arial" w:eastAsia="Times New Roman" w:cs="Arial"/>
                <w:b/>
                <w:bCs/>
                <w:sz w:val="18"/>
                <w:szCs w:val="18"/>
                <w:lang w:val="en-GB" w:eastAsia="en-GB"/>
              </w:rPr>
              <w:t>Software and pre-registration</w:t>
            </w:r>
          </w:p>
        </w:tc>
        <w:tc>
          <w:tcPr>
            <w:tcW w:w="7041" w:type="dxa"/>
            <w:shd w:val="clear" w:color="auto" w:fill="EEEEEE"/>
          </w:tcPr>
          <w:p>
            <w:pPr>
              <w:widowControl/>
              <w:spacing w:before="124" w:beforeLines="40" w:after="124" w:afterLines="40" w:line="24" w:lineRule="atLeast"/>
              <w:jc w:val="left"/>
              <w:rPr>
                <w:rFonts w:ascii="Arial" w:hAnsi="Arial" w:eastAsia="Times New Roman" w:cs="Arial"/>
                <w:kern w:val="0"/>
                <w:sz w:val="18"/>
                <w:szCs w:val="18"/>
                <w:lang w:val="en-GB" w:eastAsia="en-US"/>
                <w14:ligatures w14:val="none"/>
              </w:rPr>
            </w:pPr>
          </w:p>
        </w:tc>
        <w:tc>
          <w:tcPr>
            <w:tcW w:w="720" w:type="dxa"/>
            <w:shd w:val="clear" w:color="auto" w:fill="EEEEEE"/>
          </w:tcPr>
          <w:p>
            <w:pPr>
              <w:widowControl/>
              <w:spacing w:before="124" w:beforeLines="40" w:after="124" w:afterLines="40" w:line="24" w:lineRule="atLeast"/>
              <w:jc w:val="left"/>
              <w:rPr>
                <w:rFonts w:ascii="Arial" w:hAnsi="Arial" w:eastAsia="Times New Roman" w:cs="Arial"/>
                <w:kern w:val="0"/>
                <w:sz w:val="18"/>
                <w:szCs w:val="18"/>
                <w:lang w:val="en-GB" w:eastAsia="en-US"/>
                <w14:ligatures w14:val="none"/>
              </w:rPr>
            </w:pPr>
          </w:p>
        </w:tc>
        <w:tc>
          <w:tcPr>
            <w:tcW w:w="4320" w:type="dxa"/>
            <w:shd w:val="clear" w:color="auto" w:fill="EEEEEE"/>
          </w:tcPr>
          <w:p>
            <w:pPr>
              <w:widowControl/>
              <w:spacing w:before="124" w:beforeLines="40" w:after="124" w:afterLines="40" w:line="24" w:lineRule="atLeast"/>
              <w:jc w:val="left"/>
              <w:rPr>
                <w:rFonts w:ascii="Arial" w:hAnsi="Arial" w:eastAsia="Times New Roman" w:cs="Arial"/>
                <w:kern w:val="0"/>
                <w:sz w:val="18"/>
                <w:szCs w:val="18"/>
                <w:lang w:val="en-GB" w:eastAsia="en-US"/>
                <w14:ligatures w14:val="none"/>
              </w:rPr>
            </w:pPr>
          </w:p>
        </w:tc>
      </w:tr>
      <w:tr>
        <w:tblPrEx>
          <w:tblCellMar>
            <w:top w:w="0" w:type="dxa"/>
            <w:left w:w="108" w:type="dxa"/>
            <w:bottom w:w="0" w:type="dxa"/>
            <w:right w:w="108" w:type="dxa"/>
          </w:tblCellMar>
        </w:tblPrEx>
        <w:tc>
          <w:tcPr>
            <w:tcW w:w="587" w:type="dxa"/>
            <w:shd w:val="clear" w:color="auto" w:fill="auto"/>
          </w:tcPr>
          <w:p>
            <w:pPr>
              <w:spacing w:before="124" w:beforeLines="40" w:after="124" w:afterLines="40" w:line="24" w:lineRule="atLeast"/>
              <w:jc w:val="right"/>
              <w:rPr>
                <w:rFonts w:ascii="Arial" w:hAnsi="Arial" w:eastAsia="Cambria" w:cs="Arial"/>
                <w:b/>
                <w:bCs/>
                <w:sz w:val="18"/>
                <w:szCs w:val="18"/>
                <w:lang w:val="en-GB" w:eastAsia="en-US"/>
              </w:rPr>
            </w:pPr>
          </w:p>
        </w:tc>
        <w:tc>
          <w:tcPr>
            <w:tcW w:w="1822" w:type="dxa"/>
            <w:shd w:val="clear" w:color="auto" w:fill="auto"/>
          </w:tcPr>
          <w:p>
            <w:pPr>
              <w:spacing w:before="124" w:beforeLines="40" w:after="124" w:afterLines="40" w:line="24" w:lineRule="atLeast"/>
              <w:jc w:val="right"/>
              <w:rPr>
                <w:rFonts w:ascii="Arial" w:hAnsi="Arial" w:eastAsia="Cambria" w:cs="Arial"/>
                <w:sz w:val="18"/>
                <w:szCs w:val="18"/>
                <w:lang w:val="en-GB" w:eastAsia="en-US"/>
              </w:rPr>
            </w:pPr>
            <w:r>
              <w:rPr>
                <w:rFonts w:ascii="Arial" w:hAnsi="Arial" w:eastAsia="Cambria" w:cs="Arial"/>
                <w:sz w:val="18"/>
                <w:szCs w:val="18"/>
                <w:lang w:val="en-GB" w:eastAsia="en-US"/>
              </w:rPr>
              <w:t>a)</w:t>
            </w:r>
          </w:p>
        </w:tc>
        <w:tc>
          <w:tcPr>
            <w:tcW w:w="7041" w:type="dxa"/>
            <w:shd w:val="clear" w:color="auto" w:fill="auto"/>
          </w:tcPr>
          <w:p>
            <w:pPr>
              <w:widowControl/>
              <w:spacing w:before="124" w:beforeLines="40" w:after="124" w:afterLines="40" w:line="24" w:lineRule="atLeast"/>
              <w:jc w:val="left"/>
              <w:rPr>
                <w:rFonts w:ascii="Arial" w:hAnsi="Arial" w:eastAsia="Times New Roman" w:cs="Arial"/>
                <w:kern w:val="0"/>
                <w:sz w:val="18"/>
                <w:szCs w:val="18"/>
                <w:lang w:val="en-GB" w:eastAsia="en-GB"/>
                <w14:ligatures w14:val="none"/>
              </w:rPr>
            </w:pPr>
            <w:r>
              <w:rPr>
                <w:rFonts w:ascii="Arial" w:hAnsi="Arial" w:eastAsia="Times New Roman" w:cs="Arial"/>
                <w:kern w:val="0"/>
                <w:sz w:val="18"/>
                <w:szCs w:val="18"/>
                <w:lang w:val="en-GB" w:eastAsia="en-GB"/>
                <w14:ligatures w14:val="none"/>
              </w:rPr>
              <w:t>Name statistical software and package(s), including version and settings used </w:t>
            </w:r>
          </w:p>
        </w:tc>
        <w:tc>
          <w:tcPr>
            <w:tcW w:w="720" w:type="dxa"/>
          </w:tcPr>
          <w:p>
            <w:pPr>
              <w:widowControl/>
              <w:spacing w:before="124" w:beforeLines="40" w:after="124" w:afterLines="40" w:line="24" w:lineRule="atLeast"/>
              <w:jc w:val="left"/>
              <w:rPr>
                <w:rFonts w:ascii="Arial" w:hAnsi="Arial" w:eastAsia="宋体" w:cs="Arial"/>
                <w:kern w:val="0"/>
                <w:sz w:val="18"/>
                <w:szCs w:val="18"/>
                <w14:ligatures w14:val="none"/>
              </w:rPr>
            </w:pPr>
            <w:r>
              <w:rPr>
                <w:rFonts w:hint="eastAsia" w:ascii="Arial" w:hAnsi="Arial" w:eastAsia="宋体" w:cs="Arial"/>
                <w:kern w:val="0"/>
                <w:sz w:val="18"/>
                <w:szCs w:val="18"/>
                <w14:ligatures w14:val="none"/>
              </w:rPr>
              <w:t>8</w:t>
            </w:r>
          </w:p>
        </w:tc>
        <w:tc>
          <w:tcPr>
            <w:tcW w:w="4320" w:type="dxa"/>
          </w:tcPr>
          <w:p>
            <w:pPr>
              <w:widowControl/>
              <w:spacing w:before="124" w:beforeLines="40" w:after="124" w:afterLines="40" w:line="24" w:lineRule="atLeast"/>
              <w:jc w:val="left"/>
              <w:rPr>
                <w:rFonts w:ascii="Arial" w:hAnsi="Arial" w:eastAsia="Times New Roman" w:cs="Arial"/>
                <w:kern w:val="0"/>
                <w:sz w:val="18"/>
                <w:szCs w:val="18"/>
                <w:lang w:val="en-GB" w:eastAsia="en-GB"/>
                <w14:ligatures w14:val="none"/>
              </w:rPr>
            </w:pPr>
            <w:r>
              <w:rPr>
                <w:rFonts w:ascii="Arial" w:hAnsi="Arial" w:eastAsia="Times New Roman" w:cs="Arial"/>
                <w:kern w:val="0"/>
                <w:sz w:val="18"/>
                <w:szCs w:val="18"/>
                <w14:ligatures w14:val="none"/>
              </w:rPr>
              <w:t>The statistical analyses in this study were performed using the "TwoSampleMR" and "MendelianRandomization" packages in R v4.3.0 (R Foundation for Statistical Computing, Vienna, Austria).</w:t>
            </w:r>
          </w:p>
        </w:tc>
      </w:tr>
      <w:tr>
        <w:tblPrEx>
          <w:tblCellMar>
            <w:top w:w="0" w:type="dxa"/>
            <w:left w:w="108" w:type="dxa"/>
            <w:bottom w:w="0" w:type="dxa"/>
            <w:right w:w="108" w:type="dxa"/>
          </w:tblCellMar>
        </w:tblPrEx>
        <w:tc>
          <w:tcPr>
            <w:tcW w:w="587" w:type="dxa"/>
            <w:tcBorders>
              <w:bottom w:val="single" w:color="7F7F7F" w:sz="6" w:space="0"/>
            </w:tcBorders>
            <w:shd w:val="clear" w:color="auto" w:fill="EEEEEE"/>
          </w:tcPr>
          <w:p>
            <w:pPr>
              <w:spacing w:before="124" w:beforeLines="40" w:after="124" w:afterLines="40" w:line="24" w:lineRule="atLeast"/>
              <w:jc w:val="right"/>
              <w:rPr>
                <w:rFonts w:ascii="Arial" w:hAnsi="Arial" w:eastAsia="Cambria" w:cs="Arial"/>
                <w:b/>
                <w:bCs/>
                <w:sz w:val="18"/>
                <w:szCs w:val="18"/>
                <w:lang w:val="en-GB" w:eastAsia="en-US"/>
              </w:rPr>
            </w:pPr>
          </w:p>
        </w:tc>
        <w:tc>
          <w:tcPr>
            <w:tcW w:w="1822" w:type="dxa"/>
            <w:tcBorders>
              <w:bottom w:val="single" w:color="7F7F7F" w:sz="6" w:space="0"/>
            </w:tcBorders>
            <w:shd w:val="clear" w:color="auto" w:fill="EEEEEE"/>
          </w:tcPr>
          <w:p>
            <w:pPr>
              <w:spacing w:before="124" w:beforeLines="40" w:after="124" w:afterLines="40" w:line="24" w:lineRule="atLeast"/>
              <w:jc w:val="right"/>
              <w:rPr>
                <w:rFonts w:ascii="Arial" w:hAnsi="Arial" w:eastAsia="Cambria" w:cs="Arial"/>
                <w:sz w:val="18"/>
                <w:szCs w:val="18"/>
                <w:lang w:val="en-GB" w:eastAsia="en-US"/>
              </w:rPr>
            </w:pPr>
            <w:r>
              <w:rPr>
                <w:rFonts w:ascii="Arial" w:hAnsi="Arial" w:eastAsia="Cambria" w:cs="Arial"/>
                <w:sz w:val="18"/>
                <w:szCs w:val="18"/>
                <w:lang w:val="en-GB" w:eastAsia="en-US"/>
              </w:rPr>
              <w:t>b)</w:t>
            </w:r>
          </w:p>
        </w:tc>
        <w:tc>
          <w:tcPr>
            <w:tcW w:w="7041" w:type="dxa"/>
            <w:tcBorders>
              <w:bottom w:val="single" w:color="7F7F7F" w:sz="6" w:space="0"/>
            </w:tcBorders>
            <w:shd w:val="clear" w:color="auto" w:fill="EEEEEE"/>
          </w:tcPr>
          <w:p>
            <w:pPr>
              <w:widowControl/>
              <w:spacing w:before="124" w:beforeLines="40" w:after="124" w:afterLines="40" w:line="24" w:lineRule="atLeast"/>
              <w:jc w:val="left"/>
              <w:rPr>
                <w:rFonts w:ascii="Arial" w:hAnsi="Arial" w:eastAsia="Times New Roman" w:cs="Arial"/>
                <w:kern w:val="0"/>
                <w:sz w:val="18"/>
                <w:szCs w:val="18"/>
                <w:lang w:val="en-GB" w:eastAsia="en-US"/>
                <w14:ligatures w14:val="none"/>
              </w:rPr>
            </w:pPr>
            <w:r>
              <w:rPr>
                <w:rFonts w:ascii="Arial" w:hAnsi="Arial" w:eastAsia="Times New Roman" w:cs="Arial"/>
                <w:kern w:val="0"/>
                <w:sz w:val="18"/>
                <w:szCs w:val="18"/>
                <w:lang w:val="en-GB" w:eastAsia="en-GB"/>
                <w14:ligatures w14:val="none"/>
              </w:rPr>
              <w:t>State whether the study protocol and details were pre-registered (as well as when and where)</w:t>
            </w:r>
          </w:p>
        </w:tc>
        <w:tc>
          <w:tcPr>
            <w:tcW w:w="720" w:type="dxa"/>
            <w:tcBorders>
              <w:bottom w:val="single" w:color="7F7F7F" w:sz="6" w:space="0"/>
            </w:tcBorders>
            <w:shd w:val="clear" w:color="auto" w:fill="EEEEEE"/>
          </w:tcPr>
          <w:p>
            <w:pPr>
              <w:widowControl/>
              <w:spacing w:before="124" w:beforeLines="40" w:after="124" w:afterLines="40" w:line="24" w:lineRule="atLeast"/>
              <w:jc w:val="left"/>
              <w:rPr>
                <w:rFonts w:ascii="Arial" w:hAnsi="Arial" w:eastAsia="Times New Roman" w:cs="Arial"/>
                <w:kern w:val="0"/>
                <w:sz w:val="18"/>
                <w:szCs w:val="18"/>
                <w14:ligatures w14:val="none"/>
              </w:rPr>
            </w:pPr>
          </w:p>
        </w:tc>
        <w:tc>
          <w:tcPr>
            <w:tcW w:w="4320" w:type="dxa"/>
            <w:tcBorders>
              <w:bottom w:val="single" w:color="7F7F7F" w:sz="6" w:space="0"/>
            </w:tcBorders>
            <w:shd w:val="clear" w:color="auto" w:fill="EEEEEE"/>
          </w:tcPr>
          <w:p>
            <w:pPr>
              <w:widowControl/>
              <w:spacing w:before="124" w:beforeLines="40" w:after="124" w:afterLines="40" w:line="24" w:lineRule="atLeast"/>
              <w:jc w:val="left"/>
              <w:rPr>
                <w:rFonts w:ascii="Arial" w:hAnsi="Arial" w:eastAsia="Times New Roman" w:cs="Arial"/>
                <w:kern w:val="0"/>
                <w:sz w:val="18"/>
                <w:szCs w:val="18"/>
                <w:lang w:val="en-GB" w:eastAsia="en-GB"/>
                <w14:ligatures w14:val="none"/>
              </w:rPr>
            </w:pPr>
            <w:r>
              <w:rPr>
                <w:rFonts w:ascii="Arial" w:hAnsi="Arial" w:eastAsia="Times New Roman" w:cs="Arial"/>
                <w:kern w:val="0"/>
                <w:sz w:val="18"/>
                <w:szCs w:val="18"/>
                <w:lang w:val="en-GB" w:eastAsia="en-GB"/>
                <w14:ligatures w14:val="none"/>
              </w:rPr>
              <w:t>No preregistration was required for the study protocol and details</w:t>
            </w:r>
          </w:p>
        </w:tc>
      </w:tr>
      <w:tr>
        <w:tblPrEx>
          <w:tblCellMar>
            <w:top w:w="0" w:type="dxa"/>
            <w:left w:w="108" w:type="dxa"/>
            <w:bottom w:w="0" w:type="dxa"/>
            <w:right w:w="108" w:type="dxa"/>
          </w:tblCellMar>
        </w:tblPrEx>
        <w:tc>
          <w:tcPr>
            <w:tcW w:w="587" w:type="dxa"/>
            <w:tcBorders>
              <w:top w:val="single" w:color="7F7F7F" w:sz="6" w:space="0"/>
            </w:tcBorders>
            <w:shd w:val="clear" w:color="auto" w:fill="auto"/>
          </w:tcPr>
          <w:p>
            <w:pPr>
              <w:spacing w:before="124" w:beforeLines="40" w:after="124" w:afterLines="40" w:line="24" w:lineRule="atLeast"/>
              <w:rPr>
                <w:rFonts w:ascii="Arial" w:hAnsi="Arial" w:eastAsia="Times New Roman" w:cs="Arial"/>
                <w:b/>
                <w:bCs/>
                <w:sz w:val="18"/>
                <w:szCs w:val="18"/>
                <w:lang w:val="en-GB" w:eastAsia="en-GB"/>
              </w:rPr>
            </w:pPr>
          </w:p>
        </w:tc>
        <w:tc>
          <w:tcPr>
            <w:tcW w:w="1822" w:type="dxa"/>
            <w:tcBorders>
              <w:top w:val="single" w:color="7F7F7F" w:sz="6" w:space="0"/>
            </w:tcBorders>
            <w:shd w:val="clear" w:color="auto" w:fill="auto"/>
          </w:tcPr>
          <w:p>
            <w:pPr>
              <w:spacing w:before="124" w:beforeLines="40" w:after="124" w:afterLines="40" w:line="24" w:lineRule="atLeast"/>
              <w:rPr>
                <w:rFonts w:ascii="Arial" w:hAnsi="Arial" w:eastAsia="Times New Roman" w:cs="Arial"/>
                <w:sz w:val="18"/>
                <w:szCs w:val="18"/>
                <w:lang w:val="en-GB" w:eastAsia="en-GB"/>
              </w:rPr>
            </w:pPr>
            <w:r>
              <w:rPr>
                <w:rFonts w:ascii="Arial" w:hAnsi="Arial" w:eastAsia="Times New Roman" w:cs="Arial"/>
                <w:b/>
                <w:bCs/>
                <w:sz w:val="18"/>
                <w:szCs w:val="18"/>
                <w:lang w:val="en-GB" w:eastAsia="en-GB"/>
              </w:rPr>
              <w:t>RESULTS</w:t>
            </w:r>
          </w:p>
        </w:tc>
        <w:tc>
          <w:tcPr>
            <w:tcW w:w="7041" w:type="dxa"/>
            <w:tcBorders>
              <w:top w:val="single" w:color="7F7F7F" w:sz="6" w:space="0"/>
            </w:tcBorders>
            <w:shd w:val="clear" w:color="auto" w:fill="auto"/>
          </w:tcPr>
          <w:p>
            <w:pPr>
              <w:widowControl/>
              <w:spacing w:before="124" w:beforeLines="40" w:after="124" w:afterLines="40" w:line="24" w:lineRule="atLeast"/>
              <w:jc w:val="left"/>
              <w:rPr>
                <w:rFonts w:ascii="Arial" w:hAnsi="Arial" w:eastAsia="Times New Roman" w:cs="Arial"/>
                <w:kern w:val="0"/>
                <w:sz w:val="18"/>
                <w:szCs w:val="18"/>
                <w:lang w:val="en-GB" w:eastAsia="en-US"/>
                <w14:ligatures w14:val="none"/>
              </w:rPr>
            </w:pPr>
          </w:p>
        </w:tc>
        <w:tc>
          <w:tcPr>
            <w:tcW w:w="720" w:type="dxa"/>
            <w:tcBorders>
              <w:top w:val="single" w:color="7F7F7F" w:sz="6" w:space="0"/>
            </w:tcBorders>
          </w:tcPr>
          <w:p>
            <w:pPr>
              <w:widowControl/>
              <w:spacing w:before="124" w:beforeLines="40" w:after="124" w:afterLines="40" w:line="24" w:lineRule="atLeast"/>
              <w:jc w:val="left"/>
              <w:rPr>
                <w:rFonts w:ascii="Arial" w:hAnsi="Arial" w:eastAsia="Times New Roman" w:cs="Arial"/>
                <w:kern w:val="0"/>
                <w:sz w:val="18"/>
                <w:szCs w:val="18"/>
                <w:lang w:val="en-GB" w:eastAsia="en-US"/>
                <w14:ligatures w14:val="none"/>
              </w:rPr>
            </w:pPr>
          </w:p>
        </w:tc>
        <w:tc>
          <w:tcPr>
            <w:tcW w:w="4320" w:type="dxa"/>
            <w:tcBorders>
              <w:top w:val="single" w:color="7F7F7F" w:sz="6" w:space="0"/>
            </w:tcBorders>
          </w:tcPr>
          <w:p>
            <w:pPr>
              <w:widowControl/>
              <w:spacing w:before="124" w:beforeLines="40" w:after="124" w:afterLines="40" w:line="24" w:lineRule="atLeast"/>
              <w:jc w:val="left"/>
              <w:rPr>
                <w:rFonts w:ascii="Arial" w:hAnsi="Arial" w:eastAsia="Times New Roman" w:cs="Arial"/>
                <w:kern w:val="0"/>
                <w:sz w:val="18"/>
                <w:szCs w:val="18"/>
                <w:lang w:val="en-GB" w:eastAsia="en-US"/>
                <w14:ligatures w14:val="none"/>
              </w:rPr>
            </w:pPr>
          </w:p>
        </w:tc>
      </w:tr>
      <w:tr>
        <w:tblPrEx>
          <w:tblCellMar>
            <w:top w:w="0" w:type="dxa"/>
            <w:left w:w="108" w:type="dxa"/>
            <w:bottom w:w="0" w:type="dxa"/>
            <w:right w:w="108" w:type="dxa"/>
          </w:tblCellMar>
        </w:tblPrEx>
        <w:tc>
          <w:tcPr>
            <w:tcW w:w="587" w:type="dxa"/>
            <w:shd w:val="clear" w:color="auto" w:fill="EEEEEE"/>
          </w:tcPr>
          <w:p>
            <w:pPr>
              <w:spacing w:before="124" w:beforeLines="40" w:after="124" w:afterLines="40" w:line="24" w:lineRule="atLeast"/>
              <w:rPr>
                <w:rFonts w:ascii="Arial" w:hAnsi="Arial" w:eastAsia="Times New Roman" w:cs="Arial"/>
                <w:b/>
                <w:bCs/>
                <w:sz w:val="18"/>
                <w:szCs w:val="18"/>
                <w:lang w:val="en-GB" w:eastAsia="en-GB"/>
              </w:rPr>
            </w:pPr>
            <w:r>
              <w:rPr>
                <w:rFonts w:ascii="Arial" w:hAnsi="Arial" w:eastAsia="Times New Roman" w:cs="Arial"/>
                <w:sz w:val="18"/>
                <w:szCs w:val="18"/>
                <w:lang w:val="en-GB" w:eastAsia="en-GB"/>
              </w:rPr>
              <w:t>10</w:t>
            </w:r>
          </w:p>
        </w:tc>
        <w:tc>
          <w:tcPr>
            <w:tcW w:w="1822" w:type="dxa"/>
            <w:shd w:val="clear" w:color="auto" w:fill="EEEEEE"/>
          </w:tcPr>
          <w:p>
            <w:pPr>
              <w:spacing w:before="124" w:beforeLines="40" w:after="124" w:afterLines="40" w:line="24" w:lineRule="atLeast"/>
              <w:rPr>
                <w:rFonts w:ascii="Arial" w:hAnsi="Arial" w:eastAsia="Times New Roman" w:cs="Arial"/>
                <w:sz w:val="18"/>
                <w:szCs w:val="18"/>
                <w:lang w:val="en-GB" w:eastAsia="en-GB"/>
              </w:rPr>
            </w:pPr>
            <w:r>
              <w:rPr>
                <w:rFonts w:ascii="Arial" w:hAnsi="Arial" w:eastAsia="Times New Roman" w:cs="Arial"/>
                <w:b/>
                <w:bCs/>
                <w:sz w:val="18"/>
                <w:szCs w:val="18"/>
                <w:lang w:val="en-GB" w:eastAsia="en-GB"/>
              </w:rPr>
              <w:t>Descriptive data</w:t>
            </w:r>
          </w:p>
        </w:tc>
        <w:tc>
          <w:tcPr>
            <w:tcW w:w="7041" w:type="dxa"/>
            <w:shd w:val="clear" w:color="auto" w:fill="EEEEEE"/>
          </w:tcPr>
          <w:p>
            <w:pPr>
              <w:widowControl/>
              <w:spacing w:before="124" w:beforeLines="40" w:after="124" w:afterLines="40" w:line="24" w:lineRule="atLeast"/>
              <w:jc w:val="left"/>
              <w:rPr>
                <w:rFonts w:ascii="Arial" w:hAnsi="Arial" w:eastAsia="Times New Roman" w:cs="Arial"/>
                <w:kern w:val="0"/>
                <w:sz w:val="18"/>
                <w:szCs w:val="18"/>
                <w:lang w:val="en-GB" w:eastAsia="en-US"/>
                <w14:ligatures w14:val="none"/>
              </w:rPr>
            </w:pPr>
          </w:p>
        </w:tc>
        <w:tc>
          <w:tcPr>
            <w:tcW w:w="720" w:type="dxa"/>
            <w:shd w:val="clear" w:color="auto" w:fill="EEEEEE"/>
          </w:tcPr>
          <w:p>
            <w:pPr>
              <w:widowControl/>
              <w:spacing w:before="124" w:beforeLines="40" w:after="124" w:afterLines="40" w:line="24" w:lineRule="atLeast"/>
              <w:jc w:val="left"/>
              <w:rPr>
                <w:rFonts w:ascii="Arial" w:hAnsi="Arial" w:eastAsia="Times New Roman" w:cs="Arial"/>
                <w:kern w:val="0"/>
                <w:sz w:val="18"/>
                <w:szCs w:val="18"/>
                <w:lang w:val="en-GB" w:eastAsia="en-US"/>
                <w14:ligatures w14:val="none"/>
              </w:rPr>
            </w:pPr>
          </w:p>
        </w:tc>
        <w:tc>
          <w:tcPr>
            <w:tcW w:w="4320" w:type="dxa"/>
            <w:shd w:val="clear" w:color="auto" w:fill="EEEEEE"/>
          </w:tcPr>
          <w:p>
            <w:pPr>
              <w:widowControl/>
              <w:spacing w:before="124" w:beforeLines="40" w:after="124" w:afterLines="40" w:line="24" w:lineRule="atLeast"/>
              <w:jc w:val="left"/>
              <w:rPr>
                <w:rFonts w:ascii="Arial" w:hAnsi="Arial" w:eastAsia="Times New Roman" w:cs="Arial"/>
                <w:kern w:val="0"/>
                <w:sz w:val="18"/>
                <w:szCs w:val="18"/>
                <w:lang w:val="en-GB" w:eastAsia="en-US"/>
                <w14:ligatures w14:val="none"/>
              </w:rPr>
            </w:pPr>
          </w:p>
        </w:tc>
      </w:tr>
      <w:tr>
        <w:tblPrEx>
          <w:tblCellMar>
            <w:top w:w="0" w:type="dxa"/>
            <w:left w:w="108" w:type="dxa"/>
            <w:bottom w:w="0" w:type="dxa"/>
            <w:right w:w="108" w:type="dxa"/>
          </w:tblCellMar>
        </w:tblPrEx>
        <w:tc>
          <w:tcPr>
            <w:tcW w:w="587" w:type="dxa"/>
            <w:shd w:val="clear" w:color="auto" w:fill="auto"/>
          </w:tcPr>
          <w:p>
            <w:pPr>
              <w:spacing w:before="124" w:beforeLines="40" w:after="124" w:afterLines="40" w:line="24" w:lineRule="atLeast"/>
              <w:jc w:val="right"/>
              <w:rPr>
                <w:rFonts w:ascii="Arial" w:hAnsi="Arial" w:eastAsia="Cambria" w:cs="Arial"/>
                <w:b/>
                <w:bCs/>
                <w:sz w:val="18"/>
                <w:szCs w:val="18"/>
                <w:lang w:val="en-GB" w:eastAsia="en-US"/>
              </w:rPr>
            </w:pPr>
          </w:p>
        </w:tc>
        <w:tc>
          <w:tcPr>
            <w:tcW w:w="1822" w:type="dxa"/>
            <w:shd w:val="clear" w:color="auto" w:fill="auto"/>
          </w:tcPr>
          <w:p>
            <w:pPr>
              <w:spacing w:before="124" w:beforeLines="40" w:after="124" w:afterLines="40" w:line="24" w:lineRule="atLeast"/>
              <w:jc w:val="right"/>
              <w:rPr>
                <w:rFonts w:ascii="Arial" w:hAnsi="Arial" w:eastAsia="Cambria" w:cs="Arial"/>
                <w:sz w:val="18"/>
                <w:szCs w:val="18"/>
                <w:lang w:val="en-GB" w:eastAsia="en-US"/>
              </w:rPr>
            </w:pPr>
            <w:r>
              <w:rPr>
                <w:rFonts w:ascii="Arial" w:hAnsi="Arial" w:eastAsia="Cambria" w:cs="Arial"/>
                <w:sz w:val="18"/>
                <w:szCs w:val="18"/>
                <w:lang w:val="en-GB" w:eastAsia="en-US"/>
              </w:rPr>
              <w:t>a)</w:t>
            </w:r>
          </w:p>
        </w:tc>
        <w:tc>
          <w:tcPr>
            <w:tcW w:w="7041" w:type="dxa"/>
            <w:shd w:val="clear" w:color="auto" w:fill="auto"/>
          </w:tcPr>
          <w:p>
            <w:pPr>
              <w:widowControl/>
              <w:spacing w:before="124" w:beforeLines="40" w:after="124" w:afterLines="40" w:line="24" w:lineRule="atLeast"/>
              <w:jc w:val="left"/>
              <w:rPr>
                <w:rFonts w:ascii="Arial" w:hAnsi="Arial" w:eastAsia="Times New Roman" w:cs="Arial"/>
                <w:kern w:val="0"/>
                <w:sz w:val="18"/>
                <w:szCs w:val="18"/>
                <w:lang w:val="en-GB" w:eastAsia="en-US"/>
                <w14:ligatures w14:val="none"/>
              </w:rPr>
            </w:pPr>
            <w:r>
              <w:rPr>
                <w:rFonts w:ascii="Arial" w:hAnsi="Arial" w:eastAsia="Times New Roman" w:cs="Arial"/>
                <w:kern w:val="0"/>
                <w:sz w:val="18"/>
                <w:szCs w:val="18"/>
                <w:lang w:val="en-GB" w:eastAsia="en-GB"/>
                <w14:ligatures w14:val="none"/>
              </w:rPr>
              <w:t>Report the numbers of individuals at each stage of included studies and reasons for exclusion. Consider use of a flow diagram</w:t>
            </w:r>
          </w:p>
        </w:tc>
        <w:tc>
          <w:tcPr>
            <w:tcW w:w="720" w:type="dxa"/>
          </w:tcPr>
          <w:p>
            <w:pPr>
              <w:widowControl/>
              <w:spacing w:before="124" w:beforeLines="40" w:after="124" w:afterLines="40" w:line="24" w:lineRule="atLeast"/>
              <w:jc w:val="left"/>
              <w:rPr>
                <w:rFonts w:ascii="Arial" w:hAnsi="Arial" w:eastAsia="Times New Roman" w:cs="Arial"/>
                <w:kern w:val="0"/>
                <w:sz w:val="18"/>
                <w:szCs w:val="18"/>
                <w14:ligatures w14:val="none"/>
              </w:rPr>
            </w:pPr>
            <w:r>
              <w:rPr>
                <w:rFonts w:ascii="Arial" w:hAnsi="Arial" w:eastAsia="Times New Roman" w:cs="Arial"/>
                <w:kern w:val="0"/>
                <w:sz w:val="18"/>
                <w:szCs w:val="18"/>
                <w14:ligatures w14:val="none"/>
              </w:rPr>
              <w:t>24</w:t>
            </w:r>
          </w:p>
        </w:tc>
        <w:tc>
          <w:tcPr>
            <w:tcW w:w="4320" w:type="dxa"/>
          </w:tcPr>
          <w:p>
            <w:pPr>
              <w:widowControl/>
              <w:spacing w:before="124" w:beforeLines="40" w:after="124" w:afterLines="40" w:line="24" w:lineRule="atLeast"/>
              <w:jc w:val="left"/>
              <w:rPr>
                <w:rFonts w:ascii="Arial" w:hAnsi="Arial" w:eastAsia="Times New Roman" w:cs="Arial"/>
                <w:kern w:val="0"/>
                <w:sz w:val="18"/>
                <w:szCs w:val="18"/>
                <w:lang w:val="en-GB" w:eastAsia="en-GB"/>
                <w14:ligatures w14:val="none"/>
              </w:rPr>
            </w:pPr>
            <w:r>
              <w:rPr>
                <w:rFonts w:ascii="Arial" w:hAnsi="Arial" w:eastAsia="Times New Roman" w:cs="Arial"/>
                <w:kern w:val="0"/>
                <w:sz w:val="18"/>
                <w:szCs w:val="18"/>
                <w:lang w:val="en-GB" w:eastAsia="en-GB"/>
                <w14:ligatures w14:val="none"/>
              </w:rPr>
              <w:t>Demographic data such as the number of cases in each data set included in the study are shown in Table 1.</w:t>
            </w:r>
          </w:p>
        </w:tc>
      </w:tr>
      <w:tr>
        <w:tblPrEx>
          <w:tblCellMar>
            <w:top w:w="0" w:type="dxa"/>
            <w:left w:w="108" w:type="dxa"/>
            <w:bottom w:w="0" w:type="dxa"/>
            <w:right w:w="108" w:type="dxa"/>
          </w:tblCellMar>
        </w:tblPrEx>
        <w:tc>
          <w:tcPr>
            <w:tcW w:w="587" w:type="dxa"/>
            <w:shd w:val="clear" w:color="auto" w:fill="EEEEEE"/>
          </w:tcPr>
          <w:p>
            <w:pPr>
              <w:spacing w:before="124" w:beforeLines="40" w:after="124" w:afterLines="40" w:line="24" w:lineRule="atLeast"/>
              <w:jc w:val="right"/>
              <w:rPr>
                <w:rFonts w:ascii="Arial" w:hAnsi="Arial" w:eastAsia="Cambria" w:cs="Arial"/>
                <w:b/>
                <w:bCs/>
                <w:sz w:val="18"/>
                <w:szCs w:val="18"/>
                <w:lang w:val="en-GB" w:eastAsia="en-US"/>
              </w:rPr>
            </w:pPr>
          </w:p>
        </w:tc>
        <w:tc>
          <w:tcPr>
            <w:tcW w:w="1822" w:type="dxa"/>
            <w:shd w:val="clear" w:color="auto" w:fill="EEEEEE"/>
          </w:tcPr>
          <w:p>
            <w:pPr>
              <w:spacing w:before="124" w:beforeLines="40" w:after="124" w:afterLines="40" w:line="24" w:lineRule="atLeast"/>
              <w:jc w:val="right"/>
              <w:rPr>
                <w:rFonts w:ascii="Arial" w:hAnsi="Arial" w:eastAsia="Cambria" w:cs="Arial"/>
                <w:sz w:val="18"/>
                <w:szCs w:val="18"/>
                <w:lang w:val="en-GB" w:eastAsia="en-US"/>
              </w:rPr>
            </w:pPr>
            <w:r>
              <w:rPr>
                <w:rFonts w:ascii="Arial" w:hAnsi="Arial" w:eastAsia="Cambria" w:cs="Arial"/>
                <w:sz w:val="18"/>
                <w:szCs w:val="18"/>
                <w:lang w:val="en-GB" w:eastAsia="en-US"/>
              </w:rPr>
              <w:t>b)</w:t>
            </w:r>
          </w:p>
        </w:tc>
        <w:tc>
          <w:tcPr>
            <w:tcW w:w="7041" w:type="dxa"/>
            <w:shd w:val="clear" w:color="auto" w:fill="EEEEEE"/>
          </w:tcPr>
          <w:p>
            <w:pPr>
              <w:widowControl/>
              <w:spacing w:before="124" w:beforeLines="40" w:after="124" w:afterLines="40" w:line="24" w:lineRule="atLeast"/>
              <w:jc w:val="left"/>
              <w:rPr>
                <w:rFonts w:ascii="Arial" w:hAnsi="Arial" w:eastAsia="Times New Roman" w:cs="Arial"/>
                <w:kern w:val="0"/>
                <w:sz w:val="18"/>
                <w:szCs w:val="18"/>
                <w:lang w:val="en-GB" w:eastAsia="en-GB"/>
                <w14:ligatures w14:val="none"/>
              </w:rPr>
            </w:pPr>
            <w:r>
              <w:rPr>
                <w:rFonts w:ascii="Arial" w:hAnsi="Arial" w:eastAsia="Times New Roman" w:cs="Arial"/>
                <w:kern w:val="0"/>
                <w:sz w:val="18"/>
                <w:szCs w:val="18"/>
                <w:lang w:val="en-GB" w:eastAsia="en-GB"/>
                <w14:ligatures w14:val="none"/>
              </w:rPr>
              <w:t>Report summary statistics for phenotypic exposure(s), outcome(s), and other relevant variables (e.g. means, SDs, proportions)</w:t>
            </w:r>
          </w:p>
        </w:tc>
        <w:tc>
          <w:tcPr>
            <w:tcW w:w="720" w:type="dxa"/>
            <w:shd w:val="clear" w:color="auto" w:fill="EEEEEE"/>
          </w:tcPr>
          <w:p>
            <w:pPr>
              <w:widowControl/>
              <w:spacing w:before="124" w:beforeLines="40" w:after="124" w:afterLines="40" w:line="24" w:lineRule="atLeast"/>
              <w:jc w:val="left"/>
              <w:rPr>
                <w:rFonts w:ascii="Arial" w:hAnsi="Arial" w:eastAsia="Times New Roman" w:cs="Arial"/>
                <w:kern w:val="0"/>
                <w:sz w:val="18"/>
                <w:szCs w:val="18"/>
                <w:lang w:val="en-GB" w:eastAsia="en-GB"/>
                <w14:ligatures w14:val="none"/>
              </w:rPr>
            </w:pPr>
          </w:p>
        </w:tc>
        <w:tc>
          <w:tcPr>
            <w:tcW w:w="4320" w:type="dxa"/>
            <w:shd w:val="clear" w:color="auto" w:fill="EEEEEE"/>
          </w:tcPr>
          <w:p>
            <w:pPr>
              <w:widowControl/>
              <w:spacing w:before="124" w:beforeLines="40" w:after="124" w:afterLines="40" w:line="24" w:lineRule="atLeast"/>
              <w:jc w:val="left"/>
              <w:rPr>
                <w:rFonts w:ascii="Arial" w:hAnsi="Arial" w:eastAsia="Times New Roman" w:cs="Arial"/>
                <w:kern w:val="0"/>
                <w:sz w:val="18"/>
                <w:szCs w:val="18"/>
                <w:lang w:val="en-GB" w:eastAsia="en-GB"/>
                <w14:ligatures w14:val="none"/>
              </w:rPr>
            </w:pPr>
            <w:r>
              <w:rPr>
                <w:rFonts w:ascii="Arial" w:hAnsi="Arial" w:eastAsia="Times New Roman" w:cs="Arial"/>
                <w:kern w:val="0"/>
                <w:sz w:val="18"/>
                <w:szCs w:val="18"/>
                <w:lang w:val="en-GB" w:eastAsia="en-GB"/>
                <w14:ligatures w14:val="none"/>
              </w:rPr>
              <w:t>Relevant summary statistics were not available</w:t>
            </w:r>
          </w:p>
        </w:tc>
      </w:tr>
      <w:tr>
        <w:tblPrEx>
          <w:tblCellMar>
            <w:top w:w="0" w:type="dxa"/>
            <w:left w:w="108" w:type="dxa"/>
            <w:bottom w:w="0" w:type="dxa"/>
            <w:right w:w="108" w:type="dxa"/>
          </w:tblCellMar>
        </w:tblPrEx>
        <w:tc>
          <w:tcPr>
            <w:tcW w:w="587" w:type="dxa"/>
            <w:shd w:val="clear" w:color="auto" w:fill="auto"/>
          </w:tcPr>
          <w:p>
            <w:pPr>
              <w:spacing w:before="124" w:beforeLines="40" w:after="124" w:afterLines="40" w:line="24" w:lineRule="atLeast"/>
              <w:jc w:val="right"/>
              <w:rPr>
                <w:rFonts w:ascii="Arial" w:hAnsi="Arial" w:eastAsia="Cambria" w:cs="Arial"/>
                <w:b/>
                <w:bCs/>
                <w:sz w:val="18"/>
                <w:szCs w:val="18"/>
                <w:lang w:val="en-GB" w:eastAsia="en-US"/>
              </w:rPr>
            </w:pPr>
          </w:p>
        </w:tc>
        <w:tc>
          <w:tcPr>
            <w:tcW w:w="1822" w:type="dxa"/>
            <w:shd w:val="clear" w:color="auto" w:fill="auto"/>
          </w:tcPr>
          <w:p>
            <w:pPr>
              <w:spacing w:before="124" w:beforeLines="40" w:after="124" w:afterLines="40" w:line="24" w:lineRule="atLeast"/>
              <w:jc w:val="right"/>
              <w:rPr>
                <w:rFonts w:ascii="Arial" w:hAnsi="Arial" w:eastAsia="Cambria" w:cs="Arial"/>
                <w:sz w:val="18"/>
                <w:szCs w:val="18"/>
                <w:lang w:val="en-GB" w:eastAsia="en-US"/>
              </w:rPr>
            </w:pPr>
            <w:r>
              <w:rPr>
                <w:rFonts w:ascii="Arial" w:hAnsi="Arial" w:eastAsia="Cambria" w:cs="Arial"/>
                <w:sz w:val="18"/>
                <w:szCs w:val="18"/>
                <w:lang w:val="en-GB" w:eastAsia="en-US"/>
              </w:rPr>
              <w:t>c)</w:t>
            </w:r>
          </w:p>
        </w:tc>
        <w:tc>
          <w:tcPr>
            <w:tcW w:w="7041" w:type="dxa"/>
            <w:shd w:val="clear" w:color="auto" w:fill="auto"/>
          </w:tcPr>
          <w:p>
            <w:pPr>
              <w:widowControl/>
              <w:spacing w:before="124" w:beforeLines="40" w:after="124" w:afterLines="40" w:line="24" w:lineRule="atLeast"/>
              <w:jc w:val="left"/>
              <w:rPr>
                <w:rFonts w:ascii="Arial" w:hAnsi="Arial" w:eastAsia="Times New Roman" w:cs="Arial"/>
                <w:kern w:val="0"/>
                <w:sz w:val="18"/>
                <w:szCs w:val="18"/>
                <w:lang w:val="en-GB" w:eastAsia="en-US"/>
                <w14:ligatures w14:val="none"/>
              </w:rPr>
            </w:pPr>
            <w:r>
              <w:rPr>
                <w:rFonts w:ascii="Arial" w:hAnsi="Arial" w:eastAsia="Times New Roman" w:cs="Arial"/>
                <w:kern w:val="0"/>
                <w:sz w:val="18"/>
                <w:szCs w:val="18"/>
                <w:lang w:val="en-GB" w:eastAsia="en-GB"/>
                <w14:ligatures w14:val="none"/>
              </w:rPr>
              <w:t>If the data sources include meta-analyses of previous studies, provide the assessments of heterogeneity across these studies</w:t>
            </w:r>
          </w:p>
        </w:tc>
        <w:tc>
          <w:tcPr>
            <w:tcW w:w="720" w:type="dxa"/>
          </w:tcPr>
          <w:p>
            <w:pPr>
              <w:widowControl/>
              <w:spacing w:before="124" w:beforeLines="40" w:after="124" w:afterLines="40" w:line="24" w:lineRule="atLeast"/>
              <w:jc w:val="left"/>
              <w:rPr>
                <w:rFonts w:ascii="Arial" w:hAnsi="Arial" w:eastAsia="Times New Roman" w:cs="Arial"/>
                <w:kern w:val="0"/>
                <w:sz w:val="18"/>
                <w:szCs w:val="18"/>
                <w:lang w:val="en-GB" w:eastAsia="en-GB"/>
                <w14:ligatures w14:val="none"/>
              </w:rPr>
            </w:pPr>
          </w:p>
        </w:tc>
        <w:tc>
          <w:tcPr>
            <w:tcW w:w="4320" w:type="dxa"/>
          </w:tcPr>
          <w:p>
            <w:pPr>
              <w:widowControl/>
              <w:spacing w:before="124" w:beforeLines="40" w:after="124" w:afterLines="40" w:line="24" w:lineRule="atLeast"/>
              <w:jc w:val="left"/>
              <w:rPr>
                <w:rFonts w:ascii="Arial" w:hAnsi="Arial" w:eastAsia="Times New Roman" w:cs="Arial"/>
                <w:kern w:val="0"/>
                <w:sz w:val="18"/>
                <w:szCs w:val="18"/>
                <w:lang w:val="en-GB" w:eastAsia="en-GB"/>
                <w14:ligatures w14:val="none"/>
              </w:rPr>
            </w:pPr>
            <w:r>
              <w:rPr>
                <w:rFonts w:ascii="Arial" w:hAnsi="Arial" w:eastAsia="Times New Roman" w:cs="Arial"/>
                <w:kern w:val="0"/>
                <w:sz w:val="18"/>
                <w:szCs w:val="18"/>
                <w:lang w:val="en-GB" w:eastAsia="en-GB"/>
                <w14:ligatures w14:val="none"/>
              </w:rPr>
              <w:t>Data sources did not include meta-analyses of previous studies</w:t>
            </w:r>
          </w:p>
        </w:tc>
      </w:tr>
      <w:tr>
        <w:tblPrEx>
          <w:tblCellMar>
            <w:top w:w="0" w:type="dxa"/>
            <w:left w:w="108" w:type="dxa"/>
            <w:bottom w:w="0" w:type="dxa"/>
            <w:right w:w="108" w:type="dxa"/>
          </w:tblCellMar>
        </w:tblPrEx>
        <w:tc>
          <w:tcPr>
            <w:tcW w:w="587" w:type="dxa"/>
            <w:shd w:val="clear" w:color="auto" w:fill="EEEEEE"/>
          </w:tcPr>
          <w:p>
            <w:pPr>
              <w:spacing w:before="124" w:beforeLines="40" w:after="124" w:afterLines="40" w:line="24" w:lineRule="atLeast"/>
              <w:jc w:val="right"/>
              <w:rPr>
                <w:rFonts w:ascii="Arial" w:hAnsi="Arial" w:eastAsia="Cambria" w:cs="Arial"/>
                <w:b/>
                <w:bCs/>
                <w:sz w:val="18"/>
                <w:szCs w:val="18"/>
                <w:lang w:val="en-GB" w:eastAsia="en-US"/>
              </w:rPr>
            </w:pPr>
          </w:p>
        </w:tc>
        <w:tc>
          <w:tcPr>
            <w:tcW w:w="1822" w:type="dxa"/>
            <w:shd w:val="clear" w:color="auto" w:fill="EEEEEE"/>
          </w:tcPr>
          <w:p>
            <w:pPr>
              <w:spacing w:before="124" w:beforeLines="40" w:after="124" w:afterLines="40" w:line="24" w:lineRule="atLeast"/>
              <w:jc w:val="right"/>
              <w:rPr>
                <w:rFonts w:ascii="Arial" w:hAnsi="Arial" w:eastAsia="Cambria" w:cs="Arial"/>
                <w:sz w:val="18"/>
                <w:szCs w:val="18"/>
                <w:lang w:val="en-GB" w:eastAsia="en-US"/>
              </w:rPr>
            </w:pPr>
            <w:r>
              <w:rPr>
                <w:rFonts w:ascii="Arial" w:hAnsi="Arial" w:eastAsia="Cambria" w:cs="Arial"/>
                <w:sz w:val="18"/>
                <w:szCs w:val="18"/>
                <w:lang w:val="en-GB" w:eastAsia="en-US"/>
              </w:rPr>
              <w:t>d)</w:t>
            </w:r>
          </w:p>
        </w:tc>
        <w:tc>
          <w:tcPr>
            <w:tcW w:w="7041" w:type="dxa"/>
            <w:shd w:val="clear" w:color="auto" w:fill="EEEEEE"/>
          </w:tcPr>
          <w:p>
            <w:pPr>
              <w:widowControl/>
              <w:spacing w:before="124" w:beforeLines="40" w:after="124" w:afterLines="40" w:line="24" w:lineRule="atLeast"/>
              <w:jc w:val="left"/>
              <w:rPr>
                <w:rFonts w:ascii="Arial" w:hAnsi="Arial" w:eastAsia="Times New Roman" w:cs="Arial"/>
                <w:kern w:val="0"/>
                <w:sz w:val="18"/>
                <w:szCs w:val="18"/>
                <w:lang w:val="en-GB" w:eastAsia="en-GB"/>
                <w14:ligatures w14:val="none"/>
              </w:rPr>
            </w:pPr>
            <w:r>
              <w:rPr>
                <w:rFonts w:ascii="Arial" w:hAnsi="Arial" w:eastAsia="Times New Roman" w:cs="Arial"/>
                <w:kern w:val="0"/>
                <w:sz w:val="18"/>
                <w:szCs w:val="18"/>
                <w:lang w:val="en-GB" w:eastAsia="en-GB"/>
                <w14:ligatures w14:val="none"/>
              </w:rPr>
              <w:t>For two-sample MR:</w:t>
            </w:r>
          </w:p>
          <w:p>
            <w:pPr>
              <w:widowControl/>
              <w:spacing w:before="124" w:beforeLines="40" w:after="124" w:afterLines="40" w:line="24" w:lineRule="atLeast"/>
              <w:jc w:val="left"/>
              <w:rPr>
                <w:rFonts w:ascii="Arial" w:hAnsi="Arial" w:eastAsia="Times New Roman" w:cs="Arial"/>
                <w:kern w:val="0"/>
                <w:sz w:val="18"/>
                <w:szCs w:val="18"/>
                <w:lang w:val="en-GB" w:eastAsia="en-GB"/>
                <w14:ligatures w14:val="none"/>
              </w:rPr>
            </w:pPr>
            <w:r>
              <w:rPr>
                <w:rFonts w:ascii="Arial" w:hAnsi="Arial" w:eastAsia="Times New Roman" w:cs="Arial"/>
                <w:kern w:val="0"/>
                <w:sz w:val="18"/>
                <w:szCs w:val="18"/>
                <w:lang w:val="en-GB" w:eastAsia="en-GB"/>
                <w14:ligatures w14:val="none"/>
              </w:rPr>
              <w:t xml:space="preserve">   i.  Provide justification of the similarity of the genetic variant-exposure associations between the exposure and outcome samples</w:t>
            </w:r>
          </w:p>
          <w:p>
            <w:pPr>
              <w:widowControl/>
              <w:spacing w:before="124" w:beforeLines="40" w:after="124" w:afterLines="40" w:line="24" w:lineRule="atLeast"/>
              <w:jc w:val="left"/>
              <w:rPr>
                <w:rFonts w:ascii="Arial" w:hAnsi="Arial" w:eastAsia="Times New Roman" w:cs="Arial"/>
                <w:kern w:val="0"/>
                <w:sz w:val="18"/>
                <w:szCs w:val="18"/>
                <w:lang w:val="en-GB" w:eastAsia="en-US"/>
                <w14:ligatures w14:val="none"/>
              </w:rPr>
            </w:pPr>
            <w:r>
              <w:rPr>
                <w:rFonts w:ascii="Arial" w:hAnsi="Arial" w:eastAsia="Times New Roman" w:cs="Arial"/>
                <w:kern w:val="0"/>
                <w:sz w:val="18"/>
                <w:szCs w:val="18"/>
                <w:lang w:val="en-GB" w:eastAsia="en-GB"/>
                <w14:ligatures w14:val="none"/>
              </w:rPr>
              <w:t xml:space="preserve">   ii.  Provide information on the number of individuals who overlap between the exposure and outcome studies</w:t>
            </w:r>
          </w:p>
        </w:tc>
        <w:tc>
          <w:tcPr>
            <w:tcW w:w="720" w:type="dxa"/>
            <w:shd w:val="clear" w:color="auto" w:fill="EEEEEE"/>
          </w:tcPr>
          <w:p>
            <w:pPr>
              <w:widowControl/>
              <w:spacing w:before="124" w:beforeLines="40" w:after="124" w:afterLines="40" w:line="24" w:lineRule="atLeast"/>
              <w:jc w:val="left"/>
              <w:rPr>
                <w:rFonts w:ascii="Arial" w:hAnsi="Arial" w:eastAsia="Times New Roman" w:cs="Arial"/>
                <w:kern w:val="0"/>
                <w:sz w:val="18"/>
                <w:szCs w:val="18"/>
                <w14:ligatures w14:val="none"/>
              </w:rPr>
            </w:pPr>
            <w:r>
              <w:rPr>
                <w:rFonts w:ascii="Arial" w:hAnsi="Arial" w:eastAsia="Times New Roman" w:cs="Arial"/>
                <w:kern w:val="0"/>
                <w:sz w:val="18"/>
                <w:szCs w:val="18"/>
                <w14:ligatures w14:val="none"/>
              </w:rPr>
              <w:t>5,</w:t>
            </w:r>
            <w:r>
              <w:rPr>
                <w:rFonts w:hint="eastAsia" w:ascii="Arial" w:hAnsi="Arial" w:eastAsia="Times New Roman" w:cs="Arial"/>
                <w:kern w:val="0"/>
                <w:sz w:val="18"/>
                <w:szCs w:val="18"/>
                <w14:ligatures w14:val="none"/>
              </w:rPr>
              <w:t xml:space="preserve"> </w:t>
            </w:r>
            <w:r>
              <w:rPr>
                <w:rFonts w:ascii="Arial" w:hAnsi="Arial" w:eastAsia="Times New Roman" w:cs="Arial"/>
                <w:kern w:val="0"/>
                <w:sz w:val="18"/>
                <w:szCs w:val="18"/>
                <w14:ligatures w14:val="none"/>
              </w:rPr>
              <w:t>24</w:t>
            </w:r>
          </w:p>
        </w:tc>
        <w:tc>
          <w:tcPr>
            <w:tcW w:w="4320" w:type="dxa"/>
            <w:shd w:val="clear" w:color="auto" w:fill="EEEEEE"/>
          </w:tcPr>
          <w:p>
            <w:pPr>
              <w:widowControl/>
              <w:spacing w:before="124" w:beforeLines="40" w:after="124" w:afterLines="40" w:line="24" w:lineRule="atLeast"/>
              <w:jc w:val="left"/>
              <w:rPr>
                <w:rFonts w:ascii="Arial" w:hAnsi="Arial" w:eastAsia="Times New Roman" w:cs="Arial"/>
                <w:kern w:val="0"/>
                <w:sz w:val="18"/>
                <w:szCs w:val="18"/>
                <w14:ligatures w14:val="none"/>
              </w:rPr>
            </w:pPr>
            <w:r>
              <w:rPr>
                <w:rFonts w:ascii="Arial" w:hAnsi="Arial" w:eastAsia="Times New Roman" w:cs="Arial"/>
                <w:kern w:val="0"/>
                <w:sz w:val="18"/>
                <w:szCs w:val="18"/>
                <w:lang w:val="en-GB" w:eastAsia="en-GB"/>
                <w14:ligatures w14:val="none"/>
              </w:rPr>
              <w:t xml:space="preserve">  i.  </w:t>
            </w:r>
            <w:r>
              <w:rPr>
                <w:rFonts w:ascii="Arial" w:hAnsi="Arial" w:eastAsia="Times New Roman" w:cs="Arial"/>
                <w:kern w:val="0"/>
                <w:sz w:val="18"/>
                <w:szCs w:val="18"/>
                <w14:ligatures w14:val="none"/>
              </w:rPr>
              <w:t>All the sample populations listed in Table 1 were from Europe and thus showed little ethnic heterogeneity</w:t>
            </w:r>
          </w:p>
          <w:p>
            <w:pPr>
              <w:widowControl/>
              <w:spacing w:before="124" w:beforeLines="40" w:after="124" w:afterLines="40" w:line="24" w:lineRule="atLeast"/>
              <w:jc w:val="left"/>
              <w:rPr>
                <w:rFonts w:ascii="Arial" w:hAnsi="Arial" w:eastAsia="Times New Roman" w:cs="Arial"/>
                <w:kern w:val="0"/>
                <w:sz w:val="18"/>
                <w:szCs w:val="18"/>
                <w:lang w:val="en-GB" w:eastAsia="en-GB"/>
                <w14:ligatures w14:val="none"/>
              </w:rPr>
            </w:pPr>
            <w:r>
              <w:rPr>
                <w:rFonts w:ascii="Arial" w:hAnsi="Arial" w:eastAsia="Times New Roman" w:cs="Arial"/>
                <w:kern w:val="0"/>
                <w:sz w:val="18"/>
                <w:szCs w:val="18"/>
                <w:lang w:val="en-GB" w:eastAsia="en-GB"/>
                <w14:ligatures w14:val="none"/>
              </w:rPr>
              <w:t xml:space="preserve">  ii.  </w:t>
            </w:r>
            <w:r>
              <w:rPr>
                <w:rFonts w:ascii="Arial" w:hAnsi="Arial" w:eastAsia="Times New Roman" w:cs="Arial"/>
                <w:kern w:val="0"/>
                <w:sz w:val="18"/>
                <w:szCs w:val="18"/>
                <w14:ligatures w14:val="none"/>
              </w:rPr>
              <w:t>We utilized GWAS datasets from various databases for exposure and outcome to mitigate potential bias in causal effect estimation due to sample overlap.</w:t>
            </w:r>
          </w:p>
        </w:tc>
      </w:tr>
      <w:tr>
        <w:tblPrEx>
          <w:tblCellMar>
            <w:top w:w="0" w:type="dxa"/>
            <w:left w:w="108" w:type="dxa"/>
            <w:bottom w:w="0" w:type="dxa"/>
            <w:right w:w="108" w:type="dxa"/>
          </w:tblCellMar>
        </w:tblPrEx>
        <w:tc>
          <w:tcPr>
            <w:tcW w:w="587" w:type="dxa"/>
            <w:shd w:val="clear" w:color="auto" w:fill="auto"/>
          </w:tcPr>
          <w:p>
            <w:pPr>
              <w:spacing w:before="124" w:beforeLines="40" w:after="124" w:afterLines="40" w:line="24" w:lineRule="atLeast"/>
              <w:rPr>
                <w:rFonts w:ascii="Arial" w:hAnsi="Arial" w:eastAsia="Times New Roman" w:cs="Arial"/>
                <w:b/>
                <w:bCs/>
                <w:sz w:val="18"/>
                <w:szCs w:val="18"/>
                <w:lang w:val="en-GB" w:eastAsia="en-GB"/>
              </w:rPr>
            </w:pPr>
            <w:r>
              <w:rPr>
                <w:rFonts w:ascii="Arial" w:hAnsi="Arial" w:eastAsia="Times New Roman" w:cs="Arial"/>
                <w:sz w:val="18"/>
                <w:szCs w:val="18"/>
                <w:lang w:val="en-GB" w:eastAsia="en-GB"/>
              </w:rPr>
              <w:t>11</w:t>
            </w:r>
          </w:p>
        </w:tc>
        <w:tc>
          <w:tcPr>
            <w:tcW w:w="1822" w:type="dxa"/>
            <w:shd w:val="clear" w:color="auto" w:fill="auto"/>
          </w:tcPr>
          <w:p>
            <w:pPr>
              <w:spacing w:before="124" w:beforeLines="40" w:after="124" w:afterLines="40" w:line="24" w:lineRule="atLeast"/>
              <w:rPr>
                <w:rFonts w:ascii="Arial" w:hAnsi="Arial" w:eastAsia="Cambria" w:cs="Arial"/>
                <w:sz w:val="18"/>
                <w:szCs w:val="18"/>
                <w:lang w:val="en-GB" w:eastAsia="en-US"/>
              </w:rPr>
            </w:pPr>
            <w:r>
              <w:rPr>
                <w:rFonts w:ascii="Arial" w:hAnsi="Arial" w:eastAsia="Times New Roman" w:cs="Arial"/>
                <w:b/>
                <w:bCs/>
                <w:sz w:val="18"/>
                <w:szCs w:val="18"/>
                <w:lang w:val="en-GB" w:eastAsia="en-GB"/>
              </w:rPr>
              <w:t>Main results</w:t>
            </w:r>
          </w:p>
        </w:tc>
        <w:tc>
          <w:tcPr>
            <w:tcW w:w="7041" w:type="dxa"/>
            <w:shd w:val="clear" w:color="auto" w:fill="auto"/>
          </w:tcPr>
          <w:p>
            <w:pPr>
              <w:widowControl/>
              <w:spacing w:before="124" w:beforeLines="40" w:after="124" w:afterLines="40" w:line="24" w:lineRule="atLeast"/>
              <w:jc w:val="left"/>
              <w:rPr>
                <w:rFonts w:ascii="Arial" w:hAnsi="Arial" w:eastAsia="Times New Roman" w:cs="Arial"/>
                <w:kern w:val="0"/>
                <w:sz w:val="18"/>
                <w:szCs w:val="18"/>
                <w:lang w:val="en-GB" w:eastAsia="en-US"/>
                <w14:ligatures w14:val="none"/>
              </w:rPr>
            </w:pPr>
          </w:p>
        </w:tc>
        <w:tc>
          <w:tcPr>
            <w:tcW w:w="720" w:type="dxa"/>
          </w:tcPr>
          <w:p>
            <w:pPr>
              <w:widowControl/>
              <w:spacing w:before="124" w:beforeLines="40" w:after="124" w:afterLines="40" w:line="24" w:lineRule="atLeast"/>
              <w:jc w:val="left"/>
              <w:rPr>
                <w:rFonts w:ascii="Arial" w:hAnsi="Arial" w:eastAsia="Times New Roman" w:cs="Arial"/>
                <w:kern w:val="0"/>
                <w:sz w:val="18"/>
                <w:szCs w:val="18"/>
                <w:lang w:val="en-GB" w:eastAsia="en-US"/>
                <w14:ligatures w14:val="none"/>
              </w:rPr>
            </w:pPr>
          </w:p>
        </w:tc>
        <w:tc>
          <w:tcPr>
            <w:tcW w:w="4320" w:type="dxa"/>
          </w:tcPr>
          <w:p>
            <w:pPr>
              <w:widowControl/>
              <w:spacing w:before="124" w:beforeLines="40" w:after="124" w:afterLines="40" w:line="24" w:lineRule="atLeast"/>
              <w:jc w:val="left"/>
              <w:rPr>
                <w:rFonts w:ascii="Arial" w:hAnsi="Arial" w:eastAsia="Times New Roman" w:cs="Arial"/>
                <w:kern w:val="0"/>
                <w:sz w:val="18"/>
                <w:szCs w:val="18"/>
                <w:lang w:val="en-GB" w:eastAsia="en-US"/>
                <w14:ligatures w14:val="none"/>
              </w:rPr>
            </w:pPr>
          </w:p>
        </w:tc>
      </w:tr>
      <w:tr>
        <w:tblPrEx>
          <w:tblCellMar>
            <w:top w:w="0" w:type="dxa"/>
            <w:left w:w="108" w:type="dxa"/>
            <w:bottom w:w="0" w:type="dxa"/>
            <w:right w:w="108" w:type="dxa"/>
          </w:tblCellMar>
        </w:tblPrEx>
        <w:tc>
          <w:tcPr>
            <w:tcW w:w="587" w:type="dxa"/>
            <w:shd w:val="clear" w:color="auto" w:fill="EEEEEE"/>
          </w:tcPr>
          <w:p>
            <w:pPr>
              <w:spacing w:before="124" w:beforeLines="40" w:after="124" w:afterLines="40" w:line="24" w:lineRule="atLeast"/>
              <w:jc w:val="right"/>
              <w:rPr>
                <w:rFonts w:ascii="Arial" w:hAnsi="Arial" w:eastAsia="Cambria" w:cs="Arial"/>
                <w:b/>
                <w:bCs/>
                <w:sz w:val="18"/>
                <w:szCs w:val="18"/>
                <w:lang w:val="en-GB" w:eastAsia="en-US"/>
              </w:rPr>
            </w:pPr>
          </w:p>
        </w:tc>
        <w:tc>
          <w:tcPr>
            <w:tcW w:w="1822" w:type="dxa"/>
            <w:shd w:val="clear" w:color="auto" w:fill="EEEEEE"/>
          </w:tcPr>
          <w:p>
            <w:pPr>
              <w:spacing w:before="124" w:beforeLines="40" w:after="124" w:afterLines="40" w:line="24" w:lineRule="atLeast"/>
              <w:jc w:val="right"/>
              <w:rPr>
                <w:rFonts w:ascii="Arial" w:hAnsi="Arial" w:eastAsia="Cambria" w:cs="Arial"/>
                <w:sz w:val="18"/>
                <w:szCs w:val="18"/>
                <w:lang w:val="en-GB" w:eastAsia="en-US"/>
              </w:rPr>
            </w:pPr>
            <w:r>
              <w:rPr>
                <w:rFonts w:ascii="Arial" w:hAnsi="Arial" w:eastAsia="Cambria" w:cs="Arial"/>
                <w:sz w:val="18"/>
                <w:szCs w:val="18"/>
                <w:lang w:val="en-GB" w:eastAsia="en-US"/>
              </w:rPr>
              <w:t>a)</w:t>
            </w:r>
          </w:p>
        </w:tc>
        <w:tc>
          <w:tcPr>
            <w:tcW w:w="7041" w:type="dxa"/>
            <w:shd w:val="clear" w:color="auto" w:fill="EEEEEE"/>
          </w:tcPr>
          <w:p>
            <w:pPr>
              <w:widowControl/>
              <w:spacing w:before="124" w:beforeLines="40" w:after="124" w:afterLines="40" w:line="24" w:lineRule="atLeast"/>
              <w:jc w:val="left"/>
              <w:rPr>
                <w:rFonts w:ascii="Arial" w:hAnsi="Arial" w:eastAsia="Times New Roman" w:cs="Arial"/>
                <w:kern w:val="0"/>
                <w:sz w:val="18"/>
                <w:szCs w:val="18"/>
                <w:lang w:val="en-GB" w:eastAsia="en-US"/>
                <w14:ligatures w14:val="none"/>
              </w:rPr>
            </w:pPr>
            <w:r>
              <w:rPr>
                <w:rFonts w:ascii="Arial" w:hAnsi="Arial" w:eastAsia="Times New Roman" w:cs="Arial"/>
                <w:kern w:val="0"/>
                <w:sz w:val="18"/>
                <w:szCs w:val="18"/>
                <w:lang w:val="en-GB" w:eastAsia="en-GB"/>
                <w14:ligatures w14:val="none"/>
              </w:rPr>
              <w:t>Report the associations between genetic variant and exposure, and between genetic variant and outcome, preferably on an interpretable scale</w:t>
            </w:r>
          </w:p>
        </w:tc>
        <w:tc>
          <w:tcPr>
            <w:tcW w:w="720" w:type="dxa"/>
            <w:shd w:val="clear" w:color="auto" w:fill="EEEEEE"/>
          </w:tcPr>
          <w:p>
            <w:pPr>
              <w:widowControl/>
              <w:spacing w:before="124" w:beforeLines="40" w:after="124" w:afterLines="40" w:line="24" w:lineRule="atLeast"/>
              <w:jc w:val="left"/>
              <w:rPr>
                <w:rFonts w:ascii="Arial" w:hAnsi="Arial" w:eastAsia="Times New Roman" w:cs="Arial"/>
                <w:kern w:val="0"/>
                <w:sz w:val="18"/>
                <w:szCs w:val="18"/>
                <w:lang w:val="en-GB" w:eastAsia="en-GB"/>
                <w14:ligatures w14:val="none"/>
              </w:rPr>
            </w:pPr>
          </w:p>
        </w:tc>
        <w:tc>
          <w:tcPr>
            <w:tcW w:w="4320" w:type="dxa"/>
            <w:shd w:val="clear" w:color="auto" w:fill="EEEEEE"/>
          </w:tcPr>
          <w:p>
            <w:pPr>
              <w:widowControl/>
              <w:spacing w:before="124" w:beforeLines="40" w:after="124" w:afterLines="40" w:line="24" w:lineRule="atLeast"/>
              <w:jc w:val="left"/>
              <w:rPr>
                <w:rFonts w:ascii="Arial" w:hAnsi="Arial" w:eastAsia="宋体" w:cs="Arial"/>
                <w:kern w:val="0"/>
                <w:sz w:val="18"/>
                <w:szCs w:val="18"/>
                <w14:ligatures w14:val="none"/>
              </w:rPr>
            </w:pPr>
            <w:r>
              <w:rPr>
                <w:rFonts w:ascii="Arial" w:hAnsi="Arial" w:eastAsia="Times New Roman" w:cs="Arial"/>
                <w:kern w:val="0"/>
                <w:sz w:val="18"/>
                <w:szCs w:val="18"/>
                <w:lang w:val="en-GB" w:eastAsia="en-GB"/>
                <w14:ligatures w14:val="none"/>
              </w:rPr>
              <w:t>Relationships among exposures, outcomes, and covariates were interpreted in directed acyclic graphs</w:t>
            </w:r>
            <w:r>
              <w:rPr>
                <w:rFonts w:hint="eastAsia" w:ascii="Arial" w:hAnsi="Arial" w:eastAsia="宋体" w:cs="Arial"/>
                <w:kern w:val="0"/>
                <w:sz w:val="18"/>
                <w:szCs w:val="18"/>
                <w14:ligatures w14:val="none"/>
              </w:rPr>
              <w:t>( Figure 1).</w:t>
            </w:r>
          </w:p>
        </w:tc>
      </w:tr>
      <w:tr>
        <w:tblPrEx>
          <w:tblCellMar>
            <w:top w:w="0" w:type="dxa"/>
            <w:left w:w="108" w:type="dxa"/>
            <w:bottom w:w="0" w:type="dxa"/>
            <w:right w:w="108" w:type="dxa"/>
          </w:tblCellMar>
        </w:tblPrEx>
        <w:tc>
          <w:tcPr>
            <w:tcW w:w="587" w:type="dxa"/>
            <w:shd w:val="clear" w:color="auto" w:fill="auto"/>
          </w:tcPr>
          <w:p>
            <w:pPr>
              <w:spacing w:before="124" w:beforeLines="40" w:after="124" w:afterLines="40" w:line="24" w:lineRule="atLeast"/>
              <w:jc w:val="right"/>
              <w:rPr>
                <w:rFonts w:ascii="Arial" w:hAnsi="Arial" w:eastAsia="Cambria" w:cs="Arial"/>
                <w:b/>
                <w:bCs/>
                <w:sz w:val="18"/>
                <w:szCs w:val="18"/>
                <w:lang w:val="en-GB" w:eastAsia="en-US"/>
              </w:rPr>
            </w:pPr>
          </w:p>
        </w:tc>
        <w:tc>
          <w:tcPr>
            <w:tcW w:w="1822" w:type="dxa"/>
            <w:shd w:val="clear" w:color="auto" w:fill="auto"/>
          </w:tcPr>
          <w:p>
            <w:pPr>
              <w:spacing w:before="124" w:beforeLines="40" w:after="124" w:afterLines="40" w:line="24" w:lineRule="atLeast"/>
              <w:jc w:val="right"/>
              <w:rPr>
                <w:rFonts w:ascii="Arial" w:hAnsi="Arial" w:eastAsia="Cambria" w:cs="Arial"/>
                <w:sz w:val="18"/>
                <w:szCs w:val="18"/>
                <w:lang w:val="en-GB" w:eastAsia="en-US"/>
              </w:rPr>
            </w:pPr>
            <w:r>
              <w:rPr>
                <w:rFonts w:ascii="Arial" w:hAnsi="Arial" w:eastAsia="Cambria" w:cs="Arial"/>
                <w:sz w:val="18"/>
                <w:szCs w:val="18"/>
                <w:lang w:val="en-GB" w:eastAsia="en-US"/>
              </w:rPr>
              <w:t>b)</w:t>
            </w:r>
          </w:p>
        </w:tc>
        <w:tc>
          <w:tcPr>
            <w:tcW w:w="7041" w:type="dxa"/>
            <w:shd w:val="clear" w:color="auto" w:fill="auto"/>
          </w:tcPr>
          <w:p>
            <w:pPr>
              <w:widowControl/>
              <w:spacing w:before="124" w:beforeLines="40" w:after="124" w:afterLines="40" w:line="24" w:lineRule="atLeast"/>
              <w:jc w:val="left"/>
              <w:rPr>
                <w:rFonts w:ascii="Arial" w:hAnsi="Arial" w:eastAsia="Times New Roman" w:cs="Arial"/>
                <w:kern w:val="0"/>
                <w:sz w:val="18"/>
                <w:szCs w:val="18"/>
                <w:lang w:val="en-GB" w:eastAsia="en-US"/>
                <w14:ligatures w14:val="none"/>
              </w:rPr>
            </w:pPr>
            <w:r>
              <w:rPr>
                <w:rFonts w:ascii="Arial" w:hAnsi="Arial" w:eastAsia="Times New Roman" w:cs="Arial"/>
                <w:kern w:val="0"/>
                <w:sz w:val="18"/>
                <w:szCs w:val="18"/>
                <w:lang w:val="en-GB" w:eastAsia="en-GB"/>
                <w14:ligatures w14:val="none"/>
              </w:rPr>
              <w:t>Report MR estimates of the relationship between exposure and outcome, and the measures of uncertainty from the MR analysis, on an interpretable scale, such as odds ratio or relative risk per SD difference</w:t>
            </w:r>
          </w:p>
        </w:tc>
        <w:tc>
          <w:tcPr>
            <w:tcW w:w="720" w:type="dxa"/>
          </w:tcPr>
          <w:p>
            <w:pPr>
              <w:widowControl/>
              <w:spacing w:before="124" w:beforeLines="40" w:after="124" w:afterLines="40" w:line="24" w:lineRule="atLeast"/>
              <w:jc w:val="left"/>
              <w:rPr>
                <w:rFonts w:ascii="Arial" w:hAnsi="Arial" w:eastAsia="Times New Roman" w:cs="Arial"/>
                <w:kern w:val="0"/>
                <w:sz w:val="18"/>
                <w:szCs w:val="18"/>
                <w14:ligatures w14:val="none"/>
              </w:rPr>
            </w:pPr>
            <w:r>
              <w:rPr>
                <w:rFonts w:ascii="Arial" w:hAnsi="Arial" w:eastAsia="Times New Roman" w:cs="Arial"/>
                <w:kern w:val="0"/>
                <w:sz w:val="18"/>
                <w:szCs w:val="18"/>
                <w14:ligatures w14:val="none"/>
              </w:rPr>
              <w:t>8,</w:t>
            </w:r>
            <w:r>
              <w:rPr>
                <w:rFonts w:hint="eastAsia" w:ascii="Arial" w:hAnsi="Arial" w:eastAsia="Times New Roman" w:cs="Arial"/>
                <w:kern w:val="0"/>
                <w:sz w:val="18"/>
                <w:szCs w:val="18"/>
                <w14:ligatures w14:val="none"/>
              </w:rPr>
              <w:t xml:space="preserve"> </w:t>
            </w:r>
            <w:r>
              <w:rPr>
                <w:rFonts w:ascii="Arial" w:hAnsi="Arial" w:eastAsia="Times New Roman" w:cs="Arial"/>
                <w:kern w:val="0"/>
                <w:sz w:val="18"/>
                <w:szCs w:val="18"/>
                <w14:ligatures w14:val="none"/>
              </w:rPr>
              <w:t>9</w:t>
            </w:r>
          </w:p>
        </w:tc>
        <w:tc>
          <w:tcPr>
            <w:tcW w:w="4320" w:type="dxa"/>
          </w:tcPr>
          <w:p>
            <w:pPr>
              <w:widowControl/>
              <w:spacing w:before="124" w:beforeLines="40" w:after="124" w:afterLines="40" w:line="24" w:lineRule="atLeast"/>
              <w:jc w:val="left"/>
              <w:rPr>
                <w:rFonts w:ascii="Arial" w:hAnsi="Arial" w:eastAsia="Times New Roman" w:cs="Arial"/>
                <w:kern w:val="0"/>
                <w:sz w:val="18"/>
                <w:szCs w:val="18"/>
                <w:lang w:eastAsia="en-GB"/>
                <w14:ligatures w14:val="none"/>
              </w:rPr>
            </w:pPr>
            <w:r>
              <w:rPr>
                <w:rFonts w:ascii="Arial" w:hAnsi="Arial" w:eastAsia="Times New Roman" w:cs="Arial"/>
                <w:kern w:val="0"/>
                <w:sz w:val="18"/>
                <w:szCs w:val="18"/>
                <w14:ligatures w14:val="none"/>
              </w:rPr>
              <w:t>In the two-sample univariate MR analysis, the IVW analysis revealed that T1D was associated with an increased risk of IPF (OR = 1.118, 95% CI = 1.021–1.225, P = 0.016), with a mean increase of 11.8% of the likelihood of developing IPF. When T1D was adjusted for T2D, the results of the multivariate analysis were consistent with the results of the univariate MR, suggesting that T1D was significantly associated with an increased risk of IPF (IVW: OR = 1.133, 95% CI = 1.011–1.270, P = 0.032, MR-Lasso: OR = 1.114, 95% CI = 1.004–1.236, P = 0.042, Table 3 and figure 6).</w:t>
            </w:r>
          </w:p>
        </w:tc>
      </w:tr>
      <w:tr>
        <w:tblPrEx>
          <w:tblCellMar>
            <w:top w:w="0" w:type="dxa"/>
            <w:left w:w="108" w:type="dxa"/>
            <w:bottom w:w="0" w:type="dxa"/>
            <w:right w:w="108" w:type="dxa"/>
          </w:tblCellMar>
        </w:tblPrEx>
        <w:tc>
          <w:tcPr>
            <w:tcW w:w="587" w:type="dxa"/>
            <w:shd w:val="clear" w:color="auto" w:fill="EEEEEE"/>
          </w:tcPr>
          <w:p>
            <w:pPr>
              <w:spacing w:before="124" w:beforeLines="40" w:after="124" w:afterLines="40" w:line="24" w:lineRule="atLeast"/>
              <w:jc w:val="right"/>
              <w:rPr>
                <w:rFonts w:ascii="Arial" w:hAnsi="Arial" w:eastAsia="Cambria" w:cs="Arial"/>
                <w:b/>
                <w:bCs/>
                <w:sz w:val="18"/>
                <w:szCs w:val="18"/>
                <w:lang w:val="en-GB" w:eastAsia="en-US"/>
              </w:rPr>
            </w:pPr>
          </w:p>
        </w:tc>
        <w:tc>
          <w:tcPr>
            <w:tcW w:w="1822" w:type="dxa"/>
            <w:shd w:val="clear" w:color="auto" w:fill="EEEEEE"/>
          </w:tcPr>
          <w:p>
            <w:pPr>
              <w:spacing w:before="124" w:beforeLines="40" w:after="124" w:afterLines="40" w:line="24" w:lineRule="atLeast"/>
              <w:jc w:val="right"/>
              <w:rPr>
                <w:rFonts w:ascii="Arial" w:hAnsi="Arial" w:eastAsia="Cambria" w:cs="Arial"/>
                <w:sz w:val="18"/>
                <w:szCs w:val="18"/>
                <w:lang w:val="en-GB" w:eastAsia="en-US"/>
              </w:rPr>
            </w:pPr>
            <w:r>
              <w:rPr>
                <w:rFonts w:ascii="Arial" w:hAnsi="Arial" w:eastAsia="Cambria" w:cs="Arial"/>
                <w:sz w:val="18"/>
                <w:szCs w:val="18"/>
                <w:lang w:val="en-GB" w:eastAsia="en-US"/>
              </w:rPr>
              <w:t>c)</w:t>
            </w:r>
          </w:p>
        </w:tc>
        <w:tc>
          <w:tcPr>
            <w:tcW w:w="7041" w:type="dxa"/>
            <w:shd w:val="clear" w:color="auto" w:fill="EEEEEE"/>
          </w:tcPr>
          <w:p>
            <w:pPr>
              <w:widowControl/>
              <w:spacing w:before="124" w:beforeLines="40" w:after="124" w:afterLines="40" w:line="24" w:lineRule="atLeast"/>
              <w:jc w:val="left"/>
              <w:rPr>
                <w:rFonts w:ascii="Arial" w:hAnsi="Arial" w:eastAsia="Times New Roman" w:cs="Arial"/>
                <w:kern w:val="0"/>
                <w:sz w:val="18"/>
                <w:szCs w:val="18"/>
                <w:lang w:val="en-GB" w:eastAsia="en-US"/>
                <w14:ligatures w14:val="none"/>
              </w:rPr>
            </w:pPr>
            <w:r>
              <w:rPr>
                <w:rFonts w:ascii="Arial" w:hAnsi="Arial" w:eastAsia="Times New Roman" w:cs="Arial"/>
                <w:kern w:val="0"/>
                <w:sz w:val="18"/>
                <w:szCs w:val="18"/>
                <w:lang w:val="en-GB" w:eastAsia="en-GB"/>
                <w14:ligatures w14:val="none"/>
              </w:rPr>
              <w:t>If relevant, consider translating estimates of relative risk into absolute risk for a meaningful time period</w:t>
            </w:r>
          </w:p>
        </w:tc>
        <w:tc>
          <w:tcPr>
            <w:tcW w:w="720" w:type="dxa"/>
            <w:shd w:val="clear" w:color="auto" w:fill="EEEEEE"/>
          </w:tcPr>
          <w:p>
            <w:pPr>
              <w:widowControl/>
              <w:spacing w:before="124" w:beforeLines="40" w:after="124" w:afterLines="40" w:line="24" w:lineRule="atLeast"/>
              <w:jc w:val="left"/>
              <w:rPr>
                <w:rFonts w:ascii="Arial" w:hAnsi="Arial" w:eastAsia="Times New Roman" w:cs="Arial"/>
                <w:kern w:val="0"/>
                <w:sz w:val="18"/>
                <w:szCs w:val="18"/>
                <w:lang w:val="en-GB" w:eastAsia="en-GB"/>
                <w14:ligatures w14:val="none"/>
              </w:rPr>
            </w:pPr>
          </w:p>
        </w:tc>
        <w:tc>
          <w:tcPr>
            <w:tcW w:w="4320" w:type="dxa"/>
            <w:shd w:val="clear" w:color="auto" w:fill="EEEEEE"/>
          </w:tcPr>
          <w:p>
            <w:pPr>
              <w:widowControl/>
              <w:spacing w:before="124" w:beforeLines="40" w:after="124" w:afterLines="40" w:line="24" w:lineRule="atLeast"/>
              <w:jc w:val="left"/>
              <w:rPr>
                <w:rFonts w:ascii="Arial" w:hAnsi="Arial" w:eastAsia="Times New Roman" w:cs="Arial"/>
                <w:kern w:val="0"/>
                <w:sz w:val="18"/>
                <w:szCs w:val="18"/>
                <w:lang w:val="en-GB" w:eastAsia="en-GB"/>
                <w14:ligatures w14:val="none"/>
              </w:rPr>
            </w:pPr>
            <w:r>
              <w:rPr>
                <w:rFonts w:ascii="Arial" w:hAnsi="Arial" w:eastAsia="Times New Roman" w:cs="Arial"/>
                <w:kern w:val="0"/>
                <w:sz w:val="18"/>
                <w:szCs w:val="18"/>
                <w14:ligatures w14:val="none"/>
              </w:rPr>
              <w:t>Not applicable.</w:t>
            </w:r>
          </w:p>
        </w:tc>
      </w:tr>
      <w:tr>
        <w:tblPrEx>
          <w:tblCellMar>
            <w:top w:w="0" w:type="dxa"/>
            <w:left w:w="108" w:type="dxa"/>
            <w:bottom w:w="0" w:type="dxa"/>
            <w:right w:w="108" w:type="dxa"/>
          </w:tblCellMar>
        </w:tblPrEx>
        <w:tc>
          <w:tcPr>
            <w:tcW w:w="587" w:type="dxa"/>
            <w:shd w:val="clear" w:color="auto" w:fill="auto"/>
          </w:tcPr>
          <w:p>
            <w:pPr>
              <w:spacing w:before="124" w:beforeLines="40" w:after="124" w:afterLines="40" w:line="24" w:lineRule="atLeast"/>
              <w:jc w:val="right"/>
              <w:rPr>
                <w:rFonts w:ascii="Arial" w:hAnsi="Arial" w:eastAsia="Cambria" w:cs="Arial"/>
                <w:b/>
                <w:bCs/>
                <w:sz w:val="18"/>
                <w:szCs w:val="18"/>
                <w:lang w:val="en-GB" w:eastAsia="en-US"/>
              </w:rPr>
            </w:pPr>
          </w:p>
        </w:tc>
        <w:tc>
          <w:tcPr>
            <w:tcW w:w="1822" w:type="dxa"/>
            <w:shd w:val="clear" w:color="auto" w:fill="auto"/>
          </w:tcPr>
          <w:p>
            <w:pPr>
              <w:spacing w:before="124" w:beforeLines="40" w:after="124" w:afterLines="40" w:line="24" w:lineRule="atLeast"/>
              <w:jc w:val="right"/>
              <w:rPr>
                <w:rFonts w:ascii="Arial" w:hAnsi="Arial" w:eastAsia="Cambria" w:cs="Arial"/>
                <w:sz w:val="18"/>
                <w:szCs w:val="18"/>
                <w:lang w:val="en-GB" w:eastAsia="en-US"/>
              </w:rPr>
            </w:pPr>
            <w:r>
              <w:rPr>
                <w:rFonts w:ascii="Arial" w:hAnsi="Arial" w:eastAsia="Cambria" w:cs="Arial"/>
                <w:sz w:val="18"/>
                <w:szCs w:val="18"/>
                <w:lang w:val="en-GB" w:eastAsia="en-US"/>
              </w:rPr>
              <w:t>d)</w:t>
            </w:r>
          </w:p>
        </w:tc>
        <w:tc>
          <w:tcPr>
            <w:tcW w:w="7041" w:type="dxa"/>
            <w:shd w:val="clear" w:color="auto" w:fill="auto"/>
          </w:tcPr>
          <w:p>
            <w:pPr>
              <w:widowControl/>
              <w:spacing w:before="124" w:beforeLines="40" w:after="124" w:afterLines="40" w:line="24" w:lineRule="atLeast"/>
              <w:jc w:val="left"/>
              <w:rPr>
                <w:rFonts w:ascii="Arial" w:hAnsi="Arial" w:eastAsia="Times New Roman" w:cs="Arial"/>
                <w:kern w:val="0"/>
                <w:sz w:val="18"/>
                <w:szCs w:val="18"/>
                <w:lang w:val="en-GB" w:eastAsia="en-US"/>
                <w14:ligatures w14:val="none"/>
              </w:rPr>
            </w:pPr>
            <w:r>
              <w:rPr>
                <w:rFonts w:ascii="Arial" w:hAnsi="Arial" w:eastAsia="Times New Roman" w:cs="Arial"/>
                <w:kern w:val="0"/>
                <w:sz w:val="18"/>
                <w:szCs w:val="18"/>
                <w:lang w:val="en-GB" w:eastAsia="en-GB"/>
                <w14:ligatures w14:val="none"/>
              </w:rPr>
              <w:t>Consider plots to visualize results (e.g. forest plot, scatterplot of associations between genetic variants and outcome versus between genetic variants and exposure)</w:t>
            </w:r>
          </w:p>
        </w:tc>
        <w:tc>
          <w:tcPr>
            <w:tcW w:w="720" w:type="dxa"/>
          </w:tcPr>
          <w:p>
            <w:pPr>
              <w:widowControl/>
              <w:spacing w:before="124" w:beforeLines="40" w:after="124" w:afterLines="40" w:line="24" w:lineRule="atLeast"/>
              <w:jc w:val="left"/>
              <w:rPr>
                <w:rFonts w:ascii="Arial" w:hAnsi="Arial" w:eastAsia="Times New Roman" w:cs="Arial"/>
                <w:kern w:val="0"/>
                <w:sz w:val="18"/>
                <w:szCs w:val="18"/>
                <w:lang w:val="en-GB" w:eastAsia="en-GB"/>
                <w14:ligatures w14:val="none"/>
              </w:rPr>
            </w:pPr>
          </w:p>
        </w:tc>
        <w:tc>
          <w:tcPr>
            <w:tcW w:w="4320" w:type="dxa"/>
          </w:tcPr>
          <w:p>
            <w:pPr>
              <w:widowControl/>
              <w:spacing w:before="124" w:beforeLines="40" w:after="124" w:afterLines="40" w:line="24" w:lineRule="atLeast"/>
              <w:jc w:val="left"/>
              <w:rPr>
                <w:rFonts w:ascii="Arial" w:hAnsi="Arial" w:eastAsia="Times New Roman" w:cs="Arial"/>
                <w:kern w:val="0"/>
                <w:sz w:val="18"/>
                <w:szCs w:val="18"/>
                <w:lang w:val="en-GB" w:eastAsia="en-GB"/>
                <w14:ligatures w14:val="none"/>
              </w:rPr>
            </w:pPr>
            <w:r>
              <w:rPr>
                <w:rFonts w:ascii="Arial" w:hAnsi="Arial" w:eastAsia="Times New Roman" w:cs="Arial"/>
                <w:kern w:val="0"/>
                <w:sz w:val="18"/>
                <w:szCs w:val="18"/>
                <w:lang w:val="en-GB" w:eastAsia="en-GB"/>
                <w14:ligatures w14:val="none"/>
              </w:rPr>
              <w:t>Visualizations of the results are shown in Figure 2-6(including forest plots, etc.)</w:t>
            </w:r>
          </w:p>
        </w:tc>
      </w:tr>
      <w:tr>
        <w:tblPrEx>
          <w:tblCellMar>
            <w:top w:w="0" w:type="dxa"/>
            <w:left w:w="108" w:type="dxa"/>
            <w:bottom w:w="0" w:type="dxa"/>
            <w:right w:w="108" w:type="dxa"/>
          </w:tblCellMar>
        </w:tblPrEx>
        <w:tc>
          <w:tcPr>
            <w:tcW w:w="587" w:type="dxa"/>
            <w:shd w:val="clear" w:color="auto" w:fill="EEEEEE"/>
          </w:tcPr>
          <w:p>
            <w:pPr>
              <w:spacing w:before="124" w:beforeLines="40" w:after="124" w:afterLines="40" w:line="24" w:lineRule="atLeast"/>
              <w:rPr>
                <w:rFonts w:ascii="Arial" w:hAnsi="Arial" w:eastAsia="Times New Roman" w:cs="Arial"/>
                <w:b/>
                <w:bCs/>
                <w:sz w:val="18"/>
                <w:szCs w:val="18"/>
                <w:lang w:val="en-GB" w:eastAsia="en-GB"/>
              </w:rPr>
            </w:pPr>
            <w:r>
              <w:rPr>
                <w:rFonts w:ascii="Arial" w:hAnsi="Arial" w:eastAsia="Times New Roman" w:cs="Arial"/>
                <w:sz w:val="18"/>
                <w:szCs w:val="18"/>
                <w:lang w:val="en-GB" w:eastAsia="en-GB"/>
              </w:rPr>
              <w:t>12</w:t>
            </w:r>
          </w:p>
        </w:tc>
        <w:tc>
          <w:tcPr>
            <w:tcW w:w="1822" w:type="dxa"/>
            <w:shd w:val="clear" w:color="auto" w:fill="EEEEEE"/>
          </w:tcPr>
          <w:p>
            <w:pPr>
              <w:spacing w:before="124" w:beforeLines="40" w:after="124" w:afterLines="40" w:line="24" w:lineRule="atLeast"/>
              <w:rPr>
                <w:rFonts w:ascii="Arial" w:hAnsi="Arial" w:eastAsia="Cambria" w:cs="Arial"/>
                <w:sz w:val="18"/>
                <w:szCs w:val="18"/>
                <w:lang w:val="en-GB" w:eastAsia="en-US"/>
              </w:rPr>
            </w:pPr>
            <w:r>
              <w:rPr>
                <w:rFonts w:ascii="Arial" w:hAnsi="Arial" w:eastAsia="Times New Roman" w:cs="Arial"/>
                <w:b/>
                <w:bCs/>
                <w:sz w:val="18"/>
                <w:szCs w:val="18"/>
                <w:lang w:val="en-GB" w:eastAsia="en-GB"/>
              </w:rPr>
              <w:t>Assessment of assumptions</w:t>
            </w:r>
          </w:p>
        </w:tc>
        <w:tc>
          <w:tcPr>
            <w:tcW w:w="7041" w:type="dxa"/>
            <w:shd w:val="clear" w:color="auto" w:fill="EEEEEE"/>
          </w:tcPr>
          <w:p>
            <w:pPr>
              <w:widowControl/>
              <w:spacing w:before="124" w:beforeLines="40" w:after="124" w:afterLines="40" w:line="24" w:lineRule="atLeast"/>
              <w:jc w:val="left"/>
              <w:rPr>
                <w:rFonts w:ascii="Arial" w:hAnsi="Arial" w:eastAsia="Times New Roman" w:cs="Arial"/>
                <w:kern w:val="0"/>
                <w:sz w:val="18"/>
                <w:szCs w:val="18"/>
                <w:lang w:val="en-GB" w:eastAsia="en-US"/>
                <w14:ligatures w14:val="none"/>
              </w:rPr>
            </w:pPr>
          </w:p>
        </w:tc>
        <w:tc>
          <w:tcPr>
            <w:tcW w:w="720" w:type="dxa"/>
            <w:shd w:val="clear" w:color="auto" w:fill="EEEEEE"/>
          </w:tcPr>
          <w:p>
            <w:pPr>
              <w:widowControl/>
              <w:spacing w:before="124" w:beforeLines="40" w:after="124" w:afterLines="40" w:line="24" w:lineRule="atLeast"/>
              <w:jc w:val="left"/>
              <w:rPr>
                <w:rFonts w:ascii="Arial" w:hAnsi="Arial" w:eastAsia="Times New Roman" w:cs="Arial"/>
                <w:kern w:val="0"/>
                <w:sz w:val="18"/>
                <w:szCs w:val="18"/>
                <w:lang w:val="en-GB" w:eastAsia="en-US"/>
                <w14:ligatures w14:val="none"/>
              </w:rPr>
            </w:pPr>
          </w:p>
        </w:tc>
        <w:tc>
          <w:tcPr>
            <w:tcW w:w="4320" w:type="dxa"/>
            <w:shd w:val="clear" w:color="auto" w:fill="EEEEEE"/>
          </w:tcPr>
          <w:p>
            <w:pPr>
              <w:widowControl/>
              <w:spacing w:before="124" w:beforeLines="40" w:after="124" w:afterLines="40" w:line="24" w:lineRule="atLeast"/>
              <w:jc w:val="left"/>
              <w:rPr>
                <w:rFonts w:ascii="Arial" w:hAnsi="Arial" w:eastAsia="Times New Roman" w:cs="Arial"/>
                <w:kern w:val="0"/>
                <w:sz w:val="18"/>
                <w:szCs w:val="18"/>
                <w:lang w:val="en-GB" w:eastAsia="en-US"/>
                <w14:ligatures w14:val="none"/>
              </w:rPr>
            </w:pPr>
          </w:p>
        </w:tc>
      </w:tr>
      <w:tr>
        <w:tblPrEx>
          <w:tblCellMar>
            <w:top w:w="0" w:type="dxa"/>
            <w:left w:w="108" w:type="dxa"/>
            <w:bottom w:w="0" w:type="dxa"/>
            <w:right w:w="108" w:type="dxa"/>
          </w:tblCellMar>
        </w:tblPrEx>
        <w:tc>
          <w:tcPr>
            <w:tcW w:w="587" w:type="dxa"/>
            <w:shd w:val="clear" w:color="auto" w:fill="auto"/>
          </w:tcPr>
          <w:p>
            <w:pPr>
              <w:spacing w:before="124" w:beforeLines="40" w:after="124" w:afterLines="40" w:line="24" w:lineRule="atLeast"/>
              <w:jc w:val="right"/>
              <w:rPr>
                <w:rFonts w:ascii="Arial" w:hAnsi="Arial" w:eastAsia="Cambria" w:cs="Arial"/>
                <w:b/>
                <w:bCs/>
                <w:sz w:val="18"/>
                <w:szCs w:val="18"/>
                <w:lang w:val="en-GB" w:eastAsia="en-US"/>
              </w:rPr>
            </w:pPr>
          </w:p>
        </w:tc>
        <w:tc>
          <w:tcPr>
            <w:tcW w:w="1822" w:type="dxa"/>
            <w:shd w:val="clear" w:color="auto" w:fill="auto"/>
          </w:tcPr>
          <w:p>
            <w:pPr>
              <w:spacing w:before="124" w:beforeLines="40" w:after="124" w:afterLines="40" w:line="24" w:lineRule="atLeast"/>
              <w:jc w:val="right"/>
              <w:rPr>
                <w:rFonts w:ascii="Arial" w:hAnsi="Arial" w:eastAsia="Cambria" w:cs="Arial"/>
                <w:sz w:val="18"/>
                <w:szCs w:val="18"/>
                <w:lang w:val="en-GB" w:eastAsia="en-US"/>
              </w:rPr>
            </w:pPr>
            <w:r>
              <w:rPr>
                <w:rFonts w:ascii="Arial" w:hAnsi="Arial" w:eastAsia="Cambria" w:cs="Arial"/>
                <w:sz w:val="18"/>
                <w:szCs w:val="18"/>
                <w:lang w:val="en-GB" w:eastAsia="en-US"/>
              </w:rPr>
              <w:t>a)</w:t>
            </w:r>
          </w:p>
        </w:tc>
        <w:tc>
          <w:tcPr>
            <w:tcW w:w="7041" w:type="dxa"/>
            <w:shd w:val="clear" w:color="auto" w:fill="auto"/>
          </w:tcPr>
          <w:p>
            <w:pPr>
              <w:widowControl/>
              <w:spacing w:before="124" w:beforeLines="40" w:after="124" w:afterLines="40" w:line="24" w:lineRule="atLeast"/>
              <w:jc w:val="left"/>
              <w:rPr>
                <w:rFonts w:ascii="Arial" w:hAnsi="Arial" w:eastAsia="Times New Roman" w:cs="Arial"/>
                <w:kern w:val="0"/>
                <w:sz w:val="18"/>
                <w:szCs w:val="18"/>
                <w:lang w:val="en-GB" w:eastAsia="en-US"/>
                <w14:ligatures w14:val="none"/>
              </w:rPr>
            </w:pPr>
            <w:r>
              <w:rPr>
                <w:rFonts w:ascii="Arial" w:hAnsi="Arial" w:eastAsia="Times New Roman" w:cs="Arial"/>
                <w:kern w:val="0"/>
                <w:sz w:val="18"/>
                <w:szCs w:val="18"/>
                <w:lang w:val="en-GB" w:eastAsia="en-GB"/>
                <w14:ligatures w14:val="none"/>
              </w:rPr>
              <w:t>Report the assessment of the validity of the assumptions</w:t>
            </w:r>
          </w:p>
        </w:tc>
        <w:tc>
          <w:tcPr>
            <w:tcW w:w="720" w:type="dxa"/>
          </w:tcPr>
          <w:p>
            <w:pPr>
              <w:widowControl/>
              <w:spacing w:before="124" w:beforeLines="40" w:after="124" w:afterLines="40" w:line="24" w:lineRule="atLeast"/>
              <w:jc w:val="left"/>
              <w:rPr>
                <w:rFonts w:ascii="Arial" w:hAnsi="Arial" w:eastAsia="Times New Roman" w:cs="Arial"/>
                <w:kern w:val="0"/>
                <w:sz w:val="18"/>
                <w:szCs w:val="18"/>
                <w14:ligatures w14:val="none"/>
              </w:rPr>
            </w:pPr>
            <w:r>
              <w:rPr>
                <w:rFonts w:ascii="Arial" w:hAnsi="Arial" w:eastAsia="Times New Roman" w:cs="Arial"/>
                <w:kern w:val="0"/>
                <w:sz w:val="18"/>
                <w:szCs w:val="18"/>
                <w14:ligatures w14:val="none"/>
              </w:rPr>
              <w:t>6</w:t>
            </w:r>
          </w:p>
        </w:tc>
        <w:tc>
          <w:tcPr>
            <w:tcW w:w="4320" w:type="dxa"/>
          </w:tcPr>
          <w:p>
            <w:pPr>
              <w:widowControl/>
              <w:spacing w:before="124" w:beforeLines="40" w:after="124" w:afterLines="40" w:line="24" w:lineRule="atLeast"/>
              <w:jc w:val="left"/>
              <w:rPr>
                <w:rFonts w:ascii="Arial" w:hAnsi="Arial" w:eastAsia="Times New Roman" w:cs="Arial"/>
                <w:kern w:val="0"/>
                <w:sz w:val="18"/>
                <w:szCs w:val="18"/>
                <w:lang w:val="en-GB" w:eastAsia="en-GB"/>
                <w14:ligatures w14:val="none"/>
              </w:rPr>
            </w:pPr>
            <w:r>
              <w:rPr>
                <w:rFonts w:ascii="Arial" w:hAnsi="Arial" w:eastAsia="Times New Roman" w:cs="Arial"/>
                <w:kern w:val="0"/>
                <w:sz w:val="18"/>
                <w:szCs w:val="18"/>
                <w14:ligatures w14:val="none"/>
              </w:rPr>
              <w:t>A genome-wide search was conducted for SNPs (P&lt;5×10-8) associated with T1D or T2D exposure, which were used as IVs for genetic prediction. Non-independent SNPs based on linkage disequilibrium (r2&lt;0.001 within a 10,000 kb aggregation window) were excluded using the European population reference. To ensure independence and exclusivity, these SNPs were searched using Phenoscanner and any SNPs related to the outcome or confounding factors were excluded. Confounding factors included risk factors other than exposure that may contribute to the outcome. The risk factors associated with IPF include smoking, gastroesophageal reflux, obstructive sleep apnea, herpes virus infection, and certain occupational interstitial lung diseases</w:t>
            </w:r>
            <w:r>
              <w:rPr>
                <w:rFonts w:ascii="Arial" w:hAnsi="Arial" w:eastAsia="Times New Roman" w:cs="Arial"/>
                <w:kern w:val="0"/>
                <w:sz w:val="18"/>
                <w:szCs w:val="18"/>
                <w14:ligatures w14:val="none"/>
              </w:rPr>
              <w:fldChar w:fldCharType="begin"/>
            </w:r>
            <w:r>
              <w:rPr>
                <w:rFonts w:ascii="Arial" w:hAnsi="Arial" w:eastAsia="Times New Roman" w:cs="Arial"/>
                <w:kern w:val="0"/>
                <w:sz w:val="18"/>
                <w:szCs w:val="18"/>
                <w14:ligatures w14:val="none"/>
              </w:rPr>
              <w:instrText xml:space="preserve"> ADDIN EN.CITE </w:instrText>
            </w:r>
            <w:r>
              <w:rPr>
                <w:rFonts w:ascii="Arial" w:hAnsi="Arial" w:eastAsia="Times New Roman" w:cs="Arial"/>
                <w:kern w:val="0"/>
                <w:sz w:val="18"/>
                <w:szCs w:val="18"/>
                <w14:ligatures w14:val="none"/>
              </w:rPr>
              <w:fldChar w:fldCharType="begin"/>
            </w:r>
            <w:r>
              <w:rPr>
                <w:rFonts w:ascii="Arial" w:hAnsi="Arial" w:eastAsia="Times New Roman" w:cs="Arial"/>
                <w:kern w:val="0"/>
                <w:sz w:val="18"/>
                <w:szCs w:val="18"/>
                <w14:ligatures w14:val="none"/>
              </w:rPr>
              <w:instrText xml:space="preserve"> ADDIN EN.CITE.DATA </w:instrText>
            </w:r>
            <w:r>
              <w:rPr>
                <w:rFonts w:ascii="Arial" w:hAnsi="Arial" w:eastAsia="Times New Roman" w:cs="Arial"/>
                <w:kern w:val="0"/>
                <w:sz w:val="18"/>
                <w:szCs w:val="18"/>
                <w14:ligatures w14:val="none"/>
              </w:rPr>
              <w:fldChar w:fldCharType="separate"/>
            </w:r>
            <w:r>
              <w:rPr>
                <w:rFonts w:ascii="Arial" w:hAnsi="Arial" w:eastAsia="Times New Roman" w:cs="Arial"/>
                <w:kern w:val="0"/>
                <w:sz w:val="18"/>
                <w:szCs w:val="18"/>
                <w14:ligatures w14:val="none"/>
              </w:rPr>
              <w:fldChar w:fldCharType="end"/>
            </w:r>
            <w:r>
              <w:rPr>
                <w:rFonts w:ascii="Arial" w:hAnsi="Arial" w:eastAsia="Times New Roman" w:cs="Arial"/>
                <w:kern w:val="0"/>
                <w:sz w:val="18"/>
                <w:szCs w:val="18"/>
                <w14:ligatures w14:val="none"/>
              </w:rPr>
              <w:fldChar w:fldCharType="separate"/>
            </w:r>
            <w:r>
              <w:rPr>
                <w:rFonts w:ascii="Arial" w:hAnsi="Arial" w:eastAsia="Times New Roman" w:cs="Arial"/>
                <w:kern w:val="0"/>
                <w:sz w:val="18"/>
                <w:szCs w:val="18"/>
                <w14:ligatures w14:val="none"/>
              </w:rPr>
              <w:fldChar w:fldCharType="end"/>
            </w:r>
            <w:r>
              <w:rPr>
                <w:rFonts w:ascii="Arial" w:hAnsi="Arial" w:eastAsia="Times New Roman" w:cs="Arial"/>
                <w:kern w:val="0"/>
                <w:sz w:val="18"/>
                <w:szCs w:val="18"/>
                <w14:ligatures w14:val="none"/>
              </w:rPr>
              <w:t>. To ensure a strong relationship between the IVs and exposure, it is necessary to calculate F-statistics and R2.</w:t>
            </w:r>
          </w:p>
        </w:tc>
      </w:tr>
      <w:tr>
        <w:tblPrEx>
          <w:tblCellMar>
            <w:top w:w="0" w:type="dxa"/>
            <w:left w:w="108" w:type="dxa"/>
            <w:bottom w:w="0" w:type="dxa"/>
            <w:right w:w="108" w:type="dxa"/>
          </w:tblCellMar>
        </w:tblPrEx>
        <w:tc>
          <w:tcPr>
            <w:tcW w:w="587" w:type="dxa"/>
            <w:shd w:val="clear" w:color="auto" w:fill="EEEEEE"/>
          </w:tcPr>
          <w:p>
            <w:pPr>
              <w:spacing w:before="124" w:beforeLines="40" w:after="124" w:afterLines="40" w:line="24" w:lineRule="atLeast"/>
              <w:jc w:val="right"/>
              <w:rPr>
                <w:rFonts w:ascii="Arial" w:hAnsi="Arial" w:eastAsia="Cambria" w:cs="Arial"/>
                <w:b/>
                <w:bCs/>
                <w:sz w:val="18"/>
                <w:szCs w:val="18"/>
                <w:lang w:val="en-GB" w:eastAsia="en-US"/>
              </w:rPr>
            </w:pPr>
          </w:p>
        </w:tc>
        <w:tc>
          <w:tcPr>
            <w:tcW w:w="1822" w:type="dxa"/>
            <w:shd w:val="clear" w:color="auto" w:fill="EEEEEE"/>
          </w:tcPr>
          <w:p>
            <w:pPr>
              <w:spacing w:before="124" w:beforeLines="40" w:after="124" w:afterLines="40" w:line="24" w:lineRule="atLeast"/>
              <w:jc w:val="right"/>
              <w:rPr>
                <w:rFonts w:ascii="Arial" w:hAnsi="Arial" w:eastAsia="Cambria" w:cs="Arial"/>
                <w:sz w:val="18"/>
                <w:szCs w:val="18"/>
                <w:lang w:val="en-GB" w:eastAsia="en-US"/>
              </w:rPr>
            </w:pPr>
            <w:r>
              <w:rPr>
                <w:rFonts w:ascii="Arial" w:hAnsi="Arial" w:eastAsia="Cambria" w:cs="Arial"/>
                <w:sz w:val="18"/>
                <w:szCs w:val="18"/>
                <w:lang w:val="en-GB" w:eastAsia="en-US"/>
              </w:rPr>
              <w:t>b)</w:t>
            </w:r>
          </w:p>
        </w:tc>
        <w:tc>
          <w:tcPr>
            <w:tcW w:w="7041" w:type="dxa"/>
            <w:shd w:val="clear" w:color="auto" w:fill="EEEEEE"/>
          </w:tcPr>
          <w:p>
            <w:pPr>
              <w:widowControl/>
              <w:spacing w:before="124" w:beforeLines="40" w:after="124" w:afterLines="40" w:line="24" w:lineRule="atLeast"/>
              <w:jc w:val="left"/>
              <w:rPr>
                <w:rFonts w:ascii="Arial" w:hAnsi="Arial" w:eastAsia="Times New Roman" w:cs="Arial"/>
                <w:kern w:val="0"/>
                <w:sz w:val="18"/>
                <w:szCs w:val="18"/>
                <w:lang w:val="en-GB" w:eastAsia="en-US"/>
                <w14:ligatures w14:val="none"/>
              </w:rPr>
            </w:pPr>
            <w:r>
              <w:rPr>
                <w:rFonts w:ascii="Arial" w:hAnsi="Arial" w:eastAsia="Times New Roman" w:cs="Arial"/>
                <w:kern w:val="0"/>
                <w:sz w:val="18"/>
                <w:szCs w:val="18"/>
                <w:lang w:val="en-GB" w:eastAsia="en-GB"/>
                <w14:ligatures w14:val="none"/>
              </w:rPr>
              <w:t>Report any additional statistics (e.g., assessments of heterogeneity across genetic variants, such as I2, Q statistic or E-value)</w:t>
            </w:r>
          </w:p>
        </w:tc>
        <w:tc>
          <w:tcPr>
            <w:tcW w:w="720" w:type="dxa"/>
            <w:shd w:val="clear" w:color="auto" w:fill="EEEEEE"/>
          </w:tcPr>
          <w:p>
            <w:pPr>
              <w:widowControl/>
              <w:spacing w:before="124" w:beforeLines="40" w:after="124" w:afterLines="40" w:line="24" w:lineRule="atLeast"/>
              <w:jc w:val="left"/>
              <w:rPr>
                <w:rFonts w:ascii="Arial" w:hAnsi="Arial" w:eastAsia="Times New Roman" w:cs="Arial"/>
                <w:kern w:val="0"/>
                <w:sz w:val="18"/>
                <w:szCs w:val="18"/>
                <w14:ligatures w14:val="none"/>
              </w:rPr>
            </w:pPr>
            <w:r>
              <w:rPr>
                <w:rFonts w:ascii="Arial" w:hAnsi="Arial" w:eastAsia="Times New Roman" w:cs="Arial"/>
                <w:kern w:val="0"/>
                <w:sz w:val="18"/>
                <w:szCs w:val="18"/>
                <w14:ligatures w14:val="none"/>
              </w:rPr>
              <w:t>24</w:t>
            </w:r>
          </w:p>
        </w:tc>
        <w:tc>
          <w:tcPr>
            <w:tcW w:w="4320" w:type="dxa"/>
            <w:shd w:val="clear" w:color="auto" w:fill="EEEEEE"/>
          </w:tcPr>
          <w:p>
            <w:pPr>
              <w:widowControl/>
              <w:spacing w:before="124" w:beforeLines="40" w:after="124" w:afterLines="40" w:line="24" w:lineRule="atLeast"/>
              <w:jc w:val="left"/>
              <w:rPr>
                <w:rFonts w:ascii="Arial" w:hAnsi="Arial" w:eastAsia="Times New Roman" w:cs="Arial"/>
                <w:kern w:val="0"/>
                <w:sz w:val="18"/>
                <w:szCs w:val="18"/>
                <w:lang w:val="en-GB" w:eastAsia="en-GB"/>
                <w14:ligatures w14:val="none"/>
              </w:rPr>
            </w:pPr>
            <w:r>
              <w:rPr>
                <w:rFonts w:ascii="Arial" w:hAnsi="Arial" w:eastAsia="Times New Roman" w:cs="Arial"/>
                <w:kern w:val="0"/>
                <w:sz w:val="18"/>
                <w:szCs w:val="18"/>
                <w:lang w:val="en-GB" w:eastAsia="en-GB"/>
                <w14:ligatures w14:val="none"/>
              </w:rPr>
              <w:t>Details of the results of the assessment of heterogeneity of genetic variants are provided in Table 4</w:t>
            </w:r>
          </w:p>
        </w:tc>
      </w:tr>
      <w:tr>
        <w:tblPrEx>
          <w:tblCellMar>
            <w:top w:w="0" w:type="dxa"/>
            <w:left w:w="108" w:type="dxa"/>
            <w:bottom w:w="0" w:type="dxa"/>
            <w:right w:w="108" w:type="dxa"/>
          </w:tblCellMar>
        </w:tblPrEx>
        <w:tc>
          <w:tcPr>
            <w:tcW w:w="587" w:type="dxa"/>
            <w:shd w:val="clear" w:color="auto" w:fill="auto"/>
          </w:tcPr>
          <w:p>
            <w:pPr>
              <w:spacing w:before="124" w:beforeLines="40" w:after="124" w:afterLines="40" w:line="24" w:lineRule="atLeast"/>
              <w:rPr>
                <w:rFonts w:ascii="Arial" w:hAnsi="Arial" w:eastAsia="Times New Roman" w:cs="Arial"/>
                <w:b/>
                <w:bCs/>
                <w:sz w:val="18"/>
                <w:szCs w:val="18"/>
                <w:lang w:val="en-GB" w:eastAsia="en-GB"/>
              </w:rPr>
            </w:pPr>
            <w:r>
              <w:rPr>
                <w:rFonts w:ascii="Arial" w:hAnsi="Arial" w:eastAsia="Times New Roman" w:cs="Arial"/>
                <w:sz w:val="18"/>
                <w:szCs w:val="18"/>
                <w:lang w:val="en-GB" w:eastAsia="en-GB"/>
              </w:rPr>
              <w:t>13</w:t>
            </w:r>
          </w:p>
        </w:tc>
        <w:tc>
          <w:tcPr>
            <w:tcW w:w="1822" w:type="dxa"/>
            <w:shd w:val="clear" w:color="auto" w:fill="auto"/>
          </w:tcPr>
          <w:p>
            <w:pPr>
              <w:spacing w:before="124" w:beforeLines="40" w:after="124" w:afterLines="40" w:line="24" w:lineRule="atLeast"/>
              <w:rPr>
                <w:rFonts w:ascii="Arial" w:hAnsi="Arial" w:eastAsia="Times New Roman" w:cs="Arial"/>
                <w:sz w:val="18"/>
                <w:szCs w:val="18"/>
                <w:lang w:val="en-GB" w:eastAsia="en-GB"/>
              </w:rPr>
            </w:pPr>
            <w:r>
              <w:rPr>
                <w:rFonts w:ascii="Arial" w:hAnsi="Arial" w:eastAsia="Times New Roman" w:cs="Arial"/>
                <w:b/>
                <w:bCs/>
                <w:sz w:val="18"/>
                <w:szCs w:val="18"/>
                <w:lang w:val="en-GB" w:eastAsia="en-GB"/>
              </w:rPr>
              <w:t>Sensitivity analyses and additional analyses</w:t>
            </w:r>
          </w:p>
        </w:tc>
        <w:tc>
          <w:tcPr>
            <w:tcW w:w="7041" w:type="dxa"/>
            <w:shd w:val="clear" w:color="auto" w:fill="auto"/>
          </w:tcPr>
          <w:p>
            <w:pPr>
              <w:widowControl/>
              <w:spacing w:before="124" w:beforeLines="40" w:after="124" w:afterLines="40" w:line="24" w:lineRule="atLeast"/>
              <w:jc w:val="left"/>
              <w:rPr>
                <w:rFonts w:ascii="Arial" w:hAnsi="Arial" w:eastAsia="Times New Roman" w:cs="Arial"/>
                <w:kern w:val="0"/>
                <w:sz w:val="18"/>
                <w:szCs w:val="18"/>
                <w:lang w:val="en-GB" w:eastAsia="en-US"/>
                <w14:ligatures w14:val="none"/>
              </w:rPr>
            </w:pPr>
          </w:p>
        </w:tc>
        <w:tc>
          <w:tcPr>
            <w:tcW w:w="720" w:type="dxa"/>
          </w:tcPr>
          <w:p>
            <w:pPr>
              <w:widowControl/>
              <w:spacing w:before="124" w:beforeLines="40" w:after="124" w:afterLines="40" w:line="24" w:lineRule="atLeast"/>
              <w:jc w:val="left"/>
              <w:rPr>
                <w:rFonts w:ascii="Arial" w:hAnsi="Arial" w:eastAsia="Times New Roman" w:cs="Arial"/>
                <w:kern w:val="0"/>
                <w:sz w:val="18"/>
                <w:szCs w:val="18"/>
                <w:lang w:val="en-GB" w:eastAsia="en-US"/>
                <w14:ligatures w14:val="none"/>
              </w:rPr>
            </w:pPr>
          </w:p>
        </w:tc>
        <w:tc>
          <w:tcPr>
            <w:tcW w:w="4320" w:type="dxa"/>
          </w:tcPr>
          <w:p>
            <w:pPr>
              <w:widowControl/>
              <w:spacing w:before="124" w:beforeLines="40" w:after="124" w:afterLines="40" w:line="24" w:lineRule="atLeast"/>
              <w:jc w:val="left"/>
              <w:rPr>
                <w:rFonts w:ascii="Arial" w:hAnsi="Arial" w:eastAsia="Times New Roman" w:cs="Arial"/>
                <w:kern w:val="0"/>
                <w:sz w:val="18"/>
                <w:szCs w:val="18"/>
                <w:lang w:val="en-GB" w:eastAsia="en-US"/>
                <w14:ligatures w14:val="none"/>
              </w:rPr>
            </w:pPr>
          </w:p>
        </w:tc>
      </w:tr>
      <w:tr>
        <w:tblPrEx>
          <w:tblCellMar>
            <w:top w:w="0" w:type="dxa"/>
            <w:left w:w="108" w:type="dxa"/>
            <w:bottom w:w="0" w:type="dxa"/>
            <w:right w:w="108" w:type="dxa"/>
          </w:tblCellMar>
        </w:tblPrEx>
        <w:tc>
          <w:tcPr>
            <w:tcW w:w="587" w:type="dxa"/>
            <w:shd w:val="clear" w:color="auto" w:fill="EEEEEE"/>
          </w:tcPr>
          <w:p>
            <w:pPr>
              <w:spacing w:before="124" w:beforeLines="40" w:after="124" w:afterLines="40" w:line="24" w:lineRule="atLeast"/>
              <w:jc w:val="right"/>
              <w:rPr>
                <w:rFonts w:ascii="Arial" w:hAnsi="Arial" w:eastAsia="Cambria" w:cs="Arial"/>
                <w:b/>
                <w:bCs/>
                <w:sz w:val="18"/>
                <w:szCs w:val="18"/>
                <w:lang w:val="en-GB" w:eastAsia="en-US"/>
              </w:rPr>
            </w:pPr>
          </w:p>
        </w:tc>
        <w:tc>
          <w:tcPr>
            <w:tcW w:w="1822" w:type="dxa"/>
            <w:shd w:val="clear" w:color="auto" w:fill="EEEEEE"/>
          </w:tcPr>
          <w:p>
            <w:pPr>
              <w:spacing w:before="124" w:beforeLines="40" w:after="124" w:afterLines="40" w:line="24" w:lineRule="atLeast"/>
              <w:jc w:val="right"/>
              <w:rPr>
                <w:rFonts w:ascii="Arial" w:hAnsi="Arial" w:eastAsia="Cambria" w:cs="Arial"/>
                <w:sz w:val="18"/>
                <w:szCs w:val="18"/>
                <w:lang w:val="en-GB" w:eastAsia="en-US"/>
              </w:rPr>
            </w:pPr>
            <w:r>
              <w:rPr>
                <w:rFonts w:ascii="Arial" w:hAnsi="Arial" w:eastAsia="Cambria" w:cs="Arial"/>
                <w:sz w:val="18"/>
                <w:szCs w:val="18"/>
                <w:lang w:val="en-GB" w:eastAsia="en-US"/>
              </w:rPr>
              <w:t>a)</w:t>
            </w:r>
          </w:p>
        </w:tc>
        <w:tc>
          <w:tcPr>
            <w:tcW w:w="7041" w:type="dxa"/>
            <w:shd w:val="clear" w:color="auto" w:fill="EEEEEE"/>
          </w:tcPr>
          <w:p>
            <w:pPr>
              <w:widowControl/>
              <w:spacing w:before="124" w:beforeLines="40" w:after="124" w:afterLines="40" w:line="24" w:lineRule="atLeast"/>
              <w:jc w:val="left"/>
              <w:rPr>
                <w:rFonts w:ascii="Arial" w:hAnsi="Arial" w:eastAsia="Times New Roman" w:cs="Arial"/>
                <w:kern w:val="0"/>
                <w:sz w:val="18"/>
                <w:szCs w:val="18"/>
                <w:lang w:val="en-GB" w:eastAsia="en-US"/>
                <w14:ligatures w14:val="none"/>
              </w:rPr>
            </w:pPr>
            <w:r>
              <w:rPr>
                <w:rFonts w:ascii="Arial" w:hAnsi="Arial" w:eastAsia="Times New Roman" w:cs="Arial"/>
                <w:kern w:val="0"/>
                <w:sz w:val="18"/>
                <w:szCs w:val="18"/>
                <w:lang w:val="en-GB" w:eastAsia="en-GB"/>
                <w14:ligatures w14:val="none"/>
              </w:rPr>
              <w:t>Report any sensitivity analyses to assess the robustness of the main results to violations of the assumptions</w:t>
            </w:r>
          </w:p>
        </w:tc>
        <w:tc>
          <w:tcPr>
            <w:tcW w:w="720" w:type="dxa"/>
            <w:shd w:val="clear" w:color="auto" w:fill="EEEEEE"/>
          </w:tcPr>
          <w:p>
            <w:pPr>
              <w:widowControl/>
              <w:spacing w:before="124" w:beforeLines="40" w:after="124" w:afterLines="40" w:line="24" w:lineRule="atLeast"/>
              <w:jc w:val="left"/>
              <w:rPr>
                <w:rFonts w:ascii="Arial" w:hAnsi="Arial" w:eastAsia="宋体" w:cs="Arial"/>
                <w:kern w:val="0"/>
                <w:sz w:val="18"/>
                <w:szCs w:val="18"/>
                <w14:ligatures w14:val="none"/>
              </w:rPr>
            </w:pPr>
            <w:r>
              <w:rPr>
                <w:rFonts w:hint="eastAsia" w:ascii="Arial" w:hAnsi="Arial" w:eastAsia="宋体" w:cs="Arial"/>
                <w:kern w:val="0"/>
                <w:sz w:val="18"/>
                <w:szCs w:val="18"/>
                <w14:ligatures w14:val="none"/>
              </w:rPr>
              <w:t>7, 8</w:t>
            </w:r>
          </w:p>
        </w:tc>
        <w:tc>
          <w:tcPr>
            <w:tcW w:w="4320" w:type="dxa"/>
            <w:shd w:val="clear" w:color="auto" w:fill="EEEEEE"/>
          </w:tcPr>
          <w:p>
            <w:pPr>
              <w:widowControl/>
              <w:spacing w:before="124" w:beforeLines="40" w:after="124" w:afterLines="40" w:line="24" w:lineRule="atLeast"/>
              <w:jc w:val="left"/>
              <w:rPr>
                <w:rFonts w:ascii="Arial" w:hAnsi="Arial" w:eastAsia="Times New Roman" w:cs="Arial"/>
                <w:kern w:val="0"/>
                <w:sz w:val="18"/>
                <w:szCs w:val="18"/>
                <w:lang w:val="en-GB" w:eastAsia="en-GB"/>
                <w14:ligatures w14:val="none"/>
              </w:rPr>
            </w:pPr>
            <w:r>
              <w:rPr>
                <w:rFonts w:ascii="Arial" w:hAnsi="Arial" w:eastAsia="Times New Roman" w:cs="Arial"/>
                <w:kern w:val="0"/>
                <w:sz w:val="18"/>
                <w:szCs w:val="18"/>
                <w14:ligatures w14:val="none"/>
              </w:rPr>
              <w:t xml:space="preserve">we employed MR-IVW and MR-Egger regression methods to assess heterogeneity and quantified the results using Cochran's Q statistics. We employed the MR-Egger intercept test to examine the presence of horizontal pleiotropy while utilizing a scatter plot of effective IVs for estimation of the causal effect of T1D and T2D on IPF to visually assess whether the outcome effect is zero when the IV effect is zero. </w:t>
            </w:r>
            <w:r>
              <w:rPr>
                <w:rFonts w:hint="eastAsia" w:ascii="Arial" w:hAnsi="Arial" w:eastAsia="Times New Roman" w:cs="Arial"/>
                <w:kern w:val="0"/>
                <w:sz w:val="18"/>
                <w:szCs w:val="18"/>
                <w14:ligatures w14:val="none"/>
              </w:rPr>
              <w:t>In</w:t>
            </w:r>
            <w:r>
              <w:rPr>
                <w:rFonts w:ascii="Arial" w:hAnsi="Arial" w:eastAsia="Times New Roman" w:cs="Arial"/>
                <w:kern w:val="0"/>
                <w:sz w:val="18"/>
                <w:szCs w:val="18"/>
                <w14:ligatures w14:val="none"/>
              </w:rPr>
              <w:t xml:space="preserve"> MVMR analysis</w:t>
            </w:r>
            <w:r>
              <w:rPr>
                <w:rFonts w:hint="eastAsia" w:ascii="Arial" w:hAnsi="Arial" w:eastAsia="Times New Roman" w:cs="Arial"/>
                <w:kern w:val="0"/>
                <w:sz w:val="18"/>
                <w:szCs w:val="18"/>
                <w14:ligatures w14:val="none"/>
              </w:rPr>
              <w:t>, t</w:t>
            </w:r>
            <w:r>
              <w:rPr>
                <w:rFonts w:ascii="Arial" w:hAnsi="Arial" w:eastAsia="Times New Roman" w:cs="Arial"/>
                <w:kern w:val="0"/>
                <w:sz w:val="18"/>
                <w:szCs w:val="18"/>
                <w14:ligatures w14:val="none"/>
              </w:rPr>
              <w:t>he extended IVW and MR-Egger methods were employed to assess heterogeneity, while the MR-Egger intercept was used to evaluate pleiotropic effects.</w:t>
            </w:r>
          </w:p>
        </w:tc>
      </w:tr>
      <w:tr>
        <w:tblPrEx>
          <w:tblCellMar>
            <w:top w:w="0" w:type="dxa"/>
            <w:left w:w="108" w:type="dxa"/>
            <w:bottom w:w="0" w:type="dxa"/>
            <w:right w:w="108" w:type="dxa"/>
          </w:tblCellMar>
        </w:tblPrEx>
        <w:tc>
          <w:tcPr>
            <w:tcW w:w="587" w:type="dxa"/>
            <w:shd w:val="clear" w:color="auto" w:fill="auto"/>
          </w:tcPr>
          <w:p>
            <w:pPr>
              <w:spacing w:before="124" w:beforeLines="40" w:after="124" w:afterLines="40" w:line="24" w:lineRule="atLeast"/>
              <w:jc w:val="right"/>
              <w:rPr>
                <w:rFonts w:ascii="Arial" w:hAnsi="Arial" w:eastAsia="Cambria" w:cs="Arial"/>
                <w:b/>
                <w:bCs/>
                <w:sz w:val="18"/>
                <w:szCs w:val="18"/>
                <w:lang w:val="en-GB" w:eastAsia="en-US"/>
              </w:rPr>
            </w:pPr>
          </w:p>
        </w:tc>
        <w:tc>
          <w:tcPr>
            <w:tcW w:w="1822" w:type="dxa"/>
            <w:shd w:val="clear" w:color="auto" w:fill="auto"/>
          </w:tcPr>
          <w:p>
            <w:pPr>
              <w:spacing w:before="124" w:beforeLines="40" w:after="124" w:afterLines="40" w:line="24" w:lineRule="atLeast"/>
              <w:jc w:val="right"/>
              <w:rPr>
                <w:rFonts w:ascii="Arial" w:hAnsi="Arial" w:eastAsia="Cambria" w:cs="Arial"/>
                <w:sz w:val="18"/>
                <w:szCs w:val="18"/>
                <w:lang w:val="en-GB" w:eastAsia="en-US"/>
              </w:rPr>
            </w:pPr>
            <w:r>
              <w:rPr>
                <w:rFonts w:ascii="Arial" w:hAnsi="Arial" w:eastAsia="Cambria" w:cs="Arial"/>
                <w:sz w:val="18"/>
                <w:szCs w:val="18"/>
                <w:lang w:val="en-GB" w:eastAsia="en-US"/>
              </w:rPr>
              <w:t>b)</w:t>
            </w:r>
          </w:p>
        </w:tc>
        <w:tc>
          <w:tcPr>
            <w:tcW w:w="7041" w:type="dxa"/>
            <w:shd w:val="clear" w:color="auto" w:fill="auto"/>
          </w:tcPr>
          <w:p>
            <w:pPr>
              <w:widowControl/>
              <w:spacing w:before="124" w:beforeLines="40" w:after="124" w:afterLines="40" w:line="24" w:lineRule="atLeast"/>
              <w:jc w:val="left"/>
              <w:rPr>
                <w:rFonts w:ascii="Arial" w:hAnsi="Arial" w:eastAsia="Times New Roman" w:cs="Arial"/>
                <w:kern w:val="0"/>
                <w:sz w:val="18"/>
                <w:szCs w:val="18"/>
                <w:lang w:val="en-GB" w:eastAsia="en-US"/>
                <w14:ligatures w14:val="none"/>
              </w:rPr>
            </w:pPr>
            <w:r>
              <w:rPr>
                <w:rFonts w:ascii="Arial" w:hAnsi="Arial" w:eastAsia="Times New Roman" w:cs="Arial"/>
                <w:kern w:val="0"/>
                <w:sz w:val="18"/>
                <w:szCs w:val="18"/>
                <w:lang w:val="en-GB" w:eastAsia="en-GB"/>
                <w14:ligatures w14:val="none"/>
              </w:rPr>
              <w:t>Report results from other sensitivity analyses or additional analyses</w:t>
            </w:r>
          </w:p>
        </w:tc>
        <w:tc>
          <w:tcPr>
            <w:tcW w:w="720" w:type="dxa"/>
          </w:tcPr>
          <w:p>
            <w:pPr>
              <w:widowControl/>
              <w:spacing w:before="124" w:beforeLines="40" w:after="124" w:afterLines="40" w:line="24" w:lineRule="atLeast"/>
              <w:jc w:val="left"/>
              <w:rPr>
                <w:rFonts w:ascii="Arial" w:hAnsi="Arial" w:eastAsia="宋体" w:cs="Arial"/>
                <w:kern w:val="0"/>
                <w:sz w:val="18"/>
                <w:szCs w:val="18"/>
                <w14:ligatures w14:val="none"/>
              </w:rPr>
            </w:pPr>
            <w:r>
              <w:rPr>
                <w:rFonts w:hint="eastAsia" w:ascii="Arial" w:hAnsi="Arial" w:eastAsia="宋体" w:cs="Arial"/>
                <w:kern w:val="0"/>
                <w:sz w:val="18"/>
                <w:szCs w:val="18"/>
                <w14:ligatures w14:val="none"/>
              </w:rPr>
              <w:t>10</w:t>
            </w:r>
          </w:p>
        </w:tc>
        <w:tc>
          <w:tcPr>
            <w:tcW w:w="4320" w:type="dxa"/>
          </w:tcPr>
          <w:p>
            <w:pPr>
              <w:widowControl/>
              <w:spacing w:before="124" w:beforeLines="40" w:after="124" w:afterLines="40" w:line="24" w:lineRule="atLeast"/>
              <w:jc w:val="left"/>
              <w:rPr>
                <w:rFonts w:ascii="Arial" w:hAnsi="Arial" w:eastAsia="Times New Roman" w:cs="Arial"/>
                <w:kern w:val="0"/>
                <w:sz w:val="18"/>
                <w:szCs w:val="18"/>
                <w:lang w:val="en-GB" w:eastAsia="en-GB"/>
                <w14:ligatures w14:val="none"/>
              </w:rPr>
            </w:pPr>
            <w:r>
              <w:rPr>
                <w:rFonts w:ascii="Arial" w:hAnsi="Arial" w:eastAsia="Times New Roman" w:cs="Arial"/>
                <w:kern w:val="0"/>
                <w:sz w:val="18"/>
                <w:szCs w:val="18"/>
                <w14:ligatures w14:val="none"/>
              </w:rPr>
              <w:t>The effective IVs used to estimate the effect of T1D on IPF showed no heterogeneity (IVW: I</w:t>
            </w:r>
            <w:r>
              <w:rPr>
                <w:rFonts w:ascii="Arial" w:hAnsi="Arial" w:eastAsia="Times New Roman" w:cs="Arial"/>
                <w:kern w:val="0"/>
                <w:sz w:val="18"/>
                <w:szCs w:val="18"/>
                <w:vertAlign w:val="superscript"/>
                <w14:ligatures w14:val="none"/>
              </w:rPr>
              <w:t>2</w:t>
            </w:r>
            <w:r>
              <w:rPr>
                <w:rFonts w:ascii="Arial" w:hAnsi="Arial" w:eastAsia="Times New Roman" w:cs="Arial"/>
                <w:kern w:val="0"/>
                <w:sz w:val="18"/>
                <w:szCs w:val="18"/>
                <w14:ligatures w14:val="none"/>
              </w:rPr>
              <w:t xml:space="preserve"> =0.14, P=0.232; MR-Egger: I</w:t>
            </w:r>
            <w:r>
              <w:rPr>
                <w:rFonts w:ascii="Arial" w:hAnsi="Arial" w:eastAsia="Times New Roman" w:cs="Arial"/>
                <w:kern w:val="0"/>
                <w:sz w:val="18"/>
                <w:szCs w:val="18"/>
                <w:vertAlign w:val="superscript"/>
                <w14:ligatures w14:val="none"/>
              </w:rPr>
              <w:t>2</w:t>
            </w:r>
            <w:r>
              <w:rPr>
                <w:rFonts w:ascii="Arial" w:hAnsi="Arial" w:eastAsia="Times New Roman" w:cs="Arial"/>
                <w:kern w:val="0"/>
                <w:sz w:val="18"/>
                <w:szCs w:val="18"/>
                <w14:ligatures w14:val="none"/>
              </w:rPr>
              <w:t xml:space="preserve"> =0.15, P=0.217, Table 4). The effective IVs used to estimate the effect of T2D on IPF also showed no heterogeneity (I</w:t>
            </w:r>
            <w:r>
              <w:rPr>
                <w:rFonts w:ascii="Arial" w:hAnsi="Arial" w:eastAsia="Times New Roman" w:cs="Arial"/>
                <w:kern w:val="0"/>
                <w:sz w:val="18"/>
                <w:szCs w:val="18"/>
                <w:vertAlign w:val="superscript"/>
                <w14:ligatures w14:val="none"/>
              </w:rPr>
              <w:t>2</w:t>
            </w:r>
            <w:r>
              <w:rPr>
                <w:rFonts w:ascii="Arial" w:hAnsi="Arial" w:eastAsia="Times New Roman" w:cs="Arial"/>
                <w:kern w:val="0"/>
                <w:sz w:val="18"/>
                <w:szCs w:val="18"/>
                <w14:ligatures w14:val="none"/>
              </w:rPr>
              <w:t xml:space="preserve"> = 0, P &gt; 0.05, Table 4). The MR-Egger intercepts for the effects of T1D and T2D on IPF were close to 0, with P-values of 0.464 and 0.777, respectively, suggesting no substantial horizontal pleiotropic bias (Figure </w:t>
            </w:r>
            <w:r>
              <w:rPr>
                <w:rFonts w:hint="eastAsia" w:ascii="Arial" w:hAnsi="Arial" w:eastAsia="Times New Roman" w:cs="Arial"/>
                <w:kern w:val="0"/>
                <w:sz w:val="18"/>
                <w:szCs w:val="18"/>
                <w14:ligatures w14:val="none"/>
              </w:rPr>
              <w:t>2</w:t>
            </w:r>
            <w:r>
              <w:rPr>
                <w:rFonts w:ascii="Arial" w:hAnsi="Arial" w:eastAsia="Times New Roman" w:cs="Arial"/>
                <w:kern w:val="0"/>
                <w:sz w:val="18"/>
                <w:szCs w:val="18"/>
                <w14:ligatures w14:val="none"/>
              </w:rPr>
              <w:t xml:space="preserve">). In addition, the leave-one-out analysis showed that no single SNP in T1D or T2D on IPF affected causal effect estimates (Figures </w:t>
            </w:r>
            <w:r>
              <w:rPr>
                <w:rFonts w:hint="eastAsia" w:ascii="Arial" w:hAnsi="Arial" w:eastAsia="Times New Roman" w:cs="Arial"/>
                <w:kern w:val="0"/>
                <w:sz w:val="18"/>
                <w:szCs w:val="18"/>
                <w14:ligatures w14:val="none"/>
              </w:rPr>
              <w:t>3</w:t>
            </w:r>
            <w:r>
              <w:rPr>
                <w:rFonts w:ascii="Arial" w:hAnsi="Arial" w:eastAsia="Times New Roman" w:cs="Arial"/>
                <w:kern w:val="0"/>
                <w:sz w:val="18"/>
                <w:szCs w:val="18"/>
                <w14:ligatures w14:val="none"/>
              </w:rPr>
              <w:t xml:space="preserve"> and </w:t>
            </w:r>
            <w:r>
              <w:rPr>
                <w:rFonts w:hint="eastAsia" w:ascii="Arial" w:hAnsi="Arial" w:eastAsia="Times New Roman" w:cs="Arial"/>
                <w:kern w:val="0"/>
                <w:sz w:val="18"/>
                <w:szCs w:val="18"/>
                <w14:ligatures w14:val="none"/>
              </w:rPr>
              <w:t>4</w:t>
            </w:r>
            <w:r>
              <w:rPr>
                <w:rFonts w:ascii="Arial" w:hAnsi="Arial" w:eastAsia="Times New Roman" w:cs="Arial"/>
                <w:kern w:val="0"/>
                <w:sz w:val="18"/>
                <w:szCs w:val="18"/>
                <w14:ligatures w14:val="none"/>
              </w:rPr>
              <w:t xml:space="preserve">), whereas effect SNPs in the univariate MR analysis were approximately symmetrical in a funnel plot (Figure </w:t>
            </w:r>
            <w:r>
              <w:rPr>
                <w:rFonts w:hint="eastAsia" w:ascii="Arial" w:hAnsi="Arial" w:eastAsia="Times New Roman" w:cs="Arial"/>
                <w:kern w:val="0"/>
                <w:sz w:val="18"/>
                <w:szCs w:val="18"/>
                <w14:ligatures w14:val="none"/>
              </w:rPr>
              <w:t>2</w:t>
            </w:r>
            <w:r>
              <w:rPr>
                <w:rFonts w:ascii="Arial" w:hAnsi="Arial" w:eastAsia="Times New Roman" w:cs="Arial"/>
                <w:kern w:val="0"/>
                <w:sz w:val="18"/>
                <w:szCs w:val="18"/>
                <w14:ligatures w14:val="none"/>
              </w:rPr>
              <w:t>). The results of the MVMR heterogeneity test showed no significant heterogeneity and no pleiotropic bias (MR-IVW: P = 0.125, MR-Egger: P = 0.109; MR-Egger intercept estimate = 0.003, P = 0.758).</w:t>
            </w:r>
          </w:p>
        </w:tc>
      </w:tr>
      <w:tr>
        <w:tblPrEx>
          <w:tblCellMar>
            <w:top w:w="0" w:type="dxa"/>
            <w:left w:w="108" w:type="dxa"/>
            <w:bottom w:w="0" w:type="dxa"/>
            <w:right w:w="108" w:type="dxa"/>
          </w:tblCellMar>
        </w:tblPrEx>
        <w:tc>
          <w:tcPr>
            <w:tcW w:w="587" w:type="dxa"/>
            <w:shd w:val="clear" w:color="auto" w:fill="EEEEEE"/>
          </w:tcPr>
          <w:p>
            <w:pPr>
              <w:spacing w:before="124" w:beforeLines="40" w:after="124" w:afterLines="40" w:line="24" w:lineRule="atLeast"/>
              <w:jc w:val="right"/>
              <w:rPr>
                <w:rFonts w:ascii="Arial" w:hAnsi="Arial" w:eastAsia="Cambria" w:cs="Arial"/>
                <w:b/>
                <w:bCs/>
                <w:sz w:val="18"/>
                <w:szCs w:val="18"/>
                <w:lang w:val="en-GB" w:eastAsia="en-US"/>
              </w:rPr>
            </w:pPr>
          </w:p>
        </w:tc>
        <w:tc>
          <w:tcPr>
            <w:tcW w:w="1822" w:type="dxa"/>
            <w:shd w:val="clear" w:color="auto" w:fill="EEEEEE"/>
          </w:tcPr>
          <w:p>
            <w:pPr>
              <w:spacing w:before="124" w:beforeLines="40" w:after="124" w:afterLines="40" w:line="24" w:lineRule="atLeast"/>
              <w:jc w:val="right"/>
              <w:rPr>
                <w:rFonts w:ascii="Arial" w:hAnsi="Arial" w:eastAsia="Cambria" w:cs="Arial"/>
                <w:sz w:val="18"/>
                <w:szCs w:val="18"/>
                <w:lang w:val="en-GB" w:eastAsia="en-US"/>
              </w:rPr>
            </w:pPr>
            <w:r>
              <w:rPr>
                <w:rFonts w:ascii="Arial" w:hAnsi="Arial" w:eastAsia="Cambria" w:cs="Arial"/>
                <w:sz w:val="18"/>
                <w:szCs w:val="18"/>
                <w:lang w:val="en-GB" w:eastAsia="en-US"/>
              </w:rPr>
              <w:t>c)</w:t>
            </w:r>
          </w:p>
        </w:tc>
        <w:tc>
          <w:tcPr>
            <w:tcW w:w="7041" w:type="dxa"/>
            <w:shd w:val="clear" w:color="auto" w:fill="EEEEEE"/>
          </w:tcPr>
          <w:p>
            <w:pPr>
              <w:widowControl/>
              <w:spacing w:before="124" w:beforeLines="40" w:after="124" w:afterLines="40" w:line="24" w:lineRule="atLeast"/>
              <w:jc w:val="left"/>
              <w:rPr>
                <w:rFonts w:ascii="Arial" w:hAnsi="Arial" w:eastAsia="Times New Roman" w:cs="Arial"/>
                <w:kern w:val="0"/>
                <w:sz w:val="18"/>
                <w:szCs w:val="18"/>
                <w:lang w:val="en-GB" w:eastAsia="en-GB"/>
                <w14:ligatures w14:val="none"/>
              </w:rPr>
            </w:pPr>
            <w:r>
              <w:rPr>
                <w:rFonts w:ascii="Arial" w:hAnsi="Arial" w:eastAsia="Times New Roman" w:cs="Arial"/>
                <w:kern w:val="0"/>
                <w:sz w:val="18"/>
                <w:szCs w:val="18"/>
                <w:lang w:val="en-GB" w:eastAsia="en-GB"/>
                <w14:ligatures w14:val="none"/>
              </w:rPr>
              <w:t>Report any assessment of direction of causal relationship (e.g., bidirectional MR)</w:t>
            </w:r>
          </w:p>
        </w:tc>
        <w:tc>
          <w:tcPr>
            <w:tcW w:w="720" w:type="dxa"/>
            <w:shd w:val="clear" w:color="auto" w:fill="EEEEEE"/>
          </w:tcPr>
          <w:p>
            <w:pPr>
              <w:widowControl/>
              <w:spacing w:before="124" w:beforeLines="40" w:after="124" w:afterLines="40" w:line="24" w:lineRule="atLeast"/>
              <w:jc w:val="left"/>
              <w:rPr>
                <w:rFonts w:ascii="Arial" w:hAnsi="Arial" w:eastAsia="Times New Roman" w:cs="Arial"/>
                <w:kern w:val="0"/>
                <w:sz w:val="18"/>
                <w:szCs w:val="18"/>
                <w14:ligatures w14:val="none"/>
              </w:rPr>
            </w:pPr>
            <w:r>
              <w:rPr>
                <w:rFonts w:ascii="Arial" w:hAnsi="Arial" w:eastAsia="Times New Roman" w:cs="Arial"/>
                <w:kern w:val="0"/>
                <w:sz w:val="18"/>
                <w:szCs w:val="18"/>
                <w14:ligatures w14:val="none"/>
              </w:rPr>
              <w:t>17</w:t>
            </w:r>
            <w:r>
              <w:rPr>
                <w:rFonts w:hint="eastAsia" w:ascii="Arial" w:hAnsi="Arial" w:eastAsia="Times New Roman" w:cs="Arial"/>
                <w:kern w:val="0"/>
                <w:sz w:val="18"/>
                <w:szCs w:val="18"/>
                <w14:ligatures w14:val="none"/>
              </w:rPr>
              <w:t xml:space="preserve">, </w:t>
            </w:r>
            <w:r>
              <w:rPr>
                <w:rFonts w:ascii="Arial" w:hAnsi="Arial" w:eastAsia="Times New Roman" w:cs="Arial"/>
                <w:kern w:val="0"/>
                <w:sz w:val="18"/>
                <w:szCs w:val="18"/>
                <w14:ligatures w14:val="none"/>
              </w:rPr>
              <w:t>18</w:t>
            </w:r>
          </w:p>
        </w:tc>
        <w:tc>
          <w:tcPr>
            <w:tcW w:w="4320" w:type="dxa"/>
            <w:shd w:val="clear" w:color="auto" w:fill="EEEEEE"/>
          </w:tcPr>
          <w:p>
            <w:pPr>
              <w:widowControl/>
              <w:spacing w:before="124" w:beforeLines="40" w:after="124" w:afterLines="40" w:line="24" w:lineRule="atLeast"/>
              <w:jc w:val="left"/>
              <w:rPr>
                <w:rFonts w:ascii="Arial" w:hAnsi="Arial" w:eastAsia="Times New Roman" w:cs="Arial"/>
                <w:kern w:val="0"/>
                <w:sz w:val="18"/>
                <w:szCs w:val="18"/>
                <w:lang w:val="en-GB" w:eastAsia="en-GB"/>
                <w14:ligatures w14:val="none"/>
              </w:rPr>
            </w:pPr>
            <w:r>
              <w:rPr>
                <w:rFonts w:ascii="Arial" w:hAnsi="Arial" w:eastAsia="Times New Roman" w:cs="Arial"/>
                <w:kern w:val="0"/>
                <w:sz w:val="18"/>
                <w:szCs w:val="18"/>
                <w14:ligatures w14:val="none"/>
              </w:rPr>
              <w:t>We examined the causal impact of both diabetes types on IPF without exploring the reverse causal effect. When we performed a reverse causality analysis, only six SNPs were screened from the IPF dataset, and these six SNPs did not correspond with the GWAS of T1D and T2D.</w:t>
            </w:r>
          </w:p>
        </w:tc>
      </w:tr>
      <w:tr>
        <w:tblPrEx>
          <w:tblCellMar>
            <w:top w:w="0" w:type="dxa"/>
            <w:left w:w="108" w:type="dxa"/>
            <w:bottom w:w="0" w:type="dxa"/>
            <w:right w:w="108" w:type="dxa"/>
          </w:tblCellMar>
        </w:tblPrEx>
        <w:tc>
          <w:tcPr>
            <w:tcW w:w="587" w:type="dxa"/>
            <w:shd w:val="clear" w:color="auto" w:fill="auto"/>
          </w:tcPr>
          <w:p>
            <w:pPr>
              <w:spacing w:before="124" w:beforeLines="40" w:after="124" w:afterLines="40" w:line="24" w:lineRule="atLeast"/>
              <w:jc w:val="right"/>
              <w:rPr>
                <w:rFonts w:ascii="Arial" w:hAnsi="Arial" w:eastAsia="Cambria" w:cs="Arial"/>
                <w:b/>
                <w:bCs/>
                <w:sz w:val="18"/>
                <w:szCs w:val="18"/>
                <w:lang w:val="en-GB" w:eastAsia="en-US"/>
              </w:rPr>
            </w:pPr>
          </w:p>
        </w:tc>
        <w:tc>
          <w:tcPr>
            <w:tcW w:w="1822" w:type="dxa"/>
            <w:shd w:val="clear" w:color="auto" w:fill="auto"/>
          </w:tcPr>
          <w:p>
            <w:pPr>
              <w:spacing w:before="124" w:beforeLines="40" w:after="124" w:afterLines="40" w:line="24" w:lineRule="atLeast"/>
              <w:jc w:val="right"/>
              <w:rPr>
                <w:rFonts w:ascii="Arial" w:hAnsi="Arial" w:eastAsia="Cambria" w:cs="Arial"/>
                <w:sz w:val="18"/>
                <w:szCs w:val="18"/>
                <w:lang w:val="en-GB" w:eastAsia="en-US"/>
              </w:rPr>
            </w:pPr>
            <w:r>
              <w:rPr>
                <w:rFonts w:ascii="Arial" w:hAnsi="Arial" w:eastAsia="Cambria" w:cs="Arial"/>
                <w:sz w:val="18"/>
                <w:szCs w:val="18"/>
                <w:lang w:val="en-GB" w:eastAsia="en-US"/>
              </w:rPr>
              <w:t>d)</w:t>
            </w:r>
          </w:p>
        </w:tc>
        <w:tc>
          <w:tcPr>
            <w:tcW w:w="7041" w:type="dxa"/>
            <w:shd w:val="clear" w:color="auto" w:fill="auto"/>
          </w:tcPr>
          <w:p>
            <w:pPr>
              <w:widowControl/>
              <w:spacing w:before="124" w:beforeLines="40" w:after="124" w:afterLines="40" w:line="24" w:lineRule="atLeast"/>
              <w:jc w:val="left"/>
              <w:rPr>
                <w:rFonts w:ascii="Arial" w:hAnsi="Arial" w:eastAsia="Times New Roman" w:cs="Arial"/>
                <w:kern w:val="0"/>
                <w:sz w:val="18"/>
                <w:szCs w:val="18"/>
                <w:lang w:val="en-GB" w:eastAsia="en-US"/>
                <w14:ligatures w14:val="none"/>
              </w:rPr>
            </w:pPr>
            <w:r>
              <w:rPr>
                <w:rFonts w:ascii="Arial" w:hAnsi="Arial" w:eastAsia="Times New Roman" w:cs="Arial"/>
                <w:kern w:val="0"/>
                <w:sz w:val="18"/>
                <w:szCs w:val="18"/>
                <w:lang w:val="en-GB" w:eastAsia="en-GB"/>
                <w14:ligatures w14:val="none"/>
              </w:rPr>
              <w:t>When relevant, report and compare with estimates from non-MR analyses</w:t>
            </w:r>
          </w:p>
        </w:tc>
        <w:tc>
          <w:tcPr>
            <w:tcW w:w="720" w:type="dxa"/>
          </w:tcPr>
          <w:p>
            <w:pPr>
              <w:widowControl/>
              <w:spacing w:before="124" w:beforeLines="40" w:after="124" w:afterLines="40" w:line="24" w:lineRule="atLeast"/>
              <w:jc w:val="left"/>
              <w:rPr>
                <w:rFonts w:ascii="Arial" w:hAnsi="Arial" w:eastAsia="Times New Roman" w:cs="Arial"/>
                <w:kern w:val="0"/>
                <w:sz w:val="18"/>
                <w:szCs w:val="18"/>
                <w:lang w:val="en-GB" w:eastAsia="en-GB"/>
                <w14:ligatures w14:val="none"/>
              </w:rPr>
            </w:pPr>
          </w:p>
        </w:tc>
        <w:tc>
          <w:tcPr>
            <w:tcW w:w="4320" w:type="dxa"/>
          </w:tcPr>
          <w:p>
            <w:pPr>
              <w:widowControl/>
              <w:spacing w:before="124" w:beforeLines="40" w:after="124" w:afterLines="40" w:line="24" w:lineRule="atLeast"/>
              <w:jc w:val="left"/>
              <w:rPr>
                <w:rFonts w:ascii="Arial" w:hAnsi="Arial" w:eastAsia="Times New Roman" w:cs="Arial"/>
                <w:kern w:val="0"/>
                <w:sz w:val="18"/>
                <w:szCs w:val="18"/>
                <w14:ligatures w14:val="none"/>
              </w:rPr>
            </w:pPr>
            <w:r>
              <w:rPr>
                <w:rFonts w:ascii="Arial" w:hAnsi="Arial" w:eastAsia="Times New Roman" w:cs="Arial"/>
                <w:kern w:val="0"/>
                <w:sz w:val="18"/>
                <w:szCs w:val="18"/>
                <w:lang w:val="en-GB" w:eastAsia="en-GB"/>
                <w14:ligatures w14:val="none"/>
              </w:rPr>
              <w:t>Non-</w:t>
            </w:r>
            <w:r>
              <w:rPr>
                <w:rFonts w:ascii="Arial" w:hAnsi="Arial" w:eastAsia="Times New Roman" w:cs="Arial"/>
                <w:kern w:val="0"/>
                <w:sz w:val="18"/>
                <w:szCs w:val="18"/>
                <w14:ligatures w14:val="none"/>
              </w:rPr>
              <w:t>MR</w:t>
            </w:r>
            <w:r>
              <w:rPr>
                <w:rFonts w:ascii="Arial" w:hAnsi="Arial" w:eastAsia="Times New Roman" w:cs="Arial"/>
                <w:kern w:val="0"/>
                <w:sz w:val="18"/>
                <w:szCs w:val="18"/>
                <w:lang w:val="en-GB" w:eastAsia="en-GB"/>
                <w14:ligatures w14:val="none"/>
              </w:rPr>
              <w:t xml:space="preserve"> analyses were not performed in this article</w:t>
            </w:r>
            <w:r>
              <w:rPr>
                <w:rFonts w:ascii="Arial" w:hAnsi="Arial" w:eastAsia="Times New Roman" w:cs="Arial"/>
                <w:kern w:val="0"/>
                <w:sz w:val="18"/>
                <w:szCs w:val="18"/>
                <w14:ligatures w14:val="none"/>
              </w:rPr>
              <w:t>.</w:t>
            </w:r>
          </w:p>
        </w:tc>
      </w:tr>
      <w:tr>
        <w:tblPrEx>
          <w:tblCellMar>
            <w:top w:w="0" w:type="dxa"/>
            <w:left w:w="108" w:type="dxa"/>
            <w:bottom w:w="0" w:type="dxa"/>
            <w:right w:w="108" w:type="dxa"/>
          </w:tblCellMar>
        </w:tblPrEx>
        <w:tc>
          <w:tcPr>
            <w:tcW w:w="587" w:type="dxa"/>
            <w:tcBorders>
              <w:bottom w:val="single" w:color="7F7F7F" w:sz="6" w:space="0"/>
            </w:tcBorders>
            <w:shd w:val="clear" w:color="auto" w:fill="EEEEEE"/>
          </w:tcPr>
          <w:p>
            <w:pPr>
              <w:spacing w:before="124" w:beforeLines="40" w:after="124" w:afterLines="40" w:line="24" w:lineRule="atLeast"/>
              <w:jc w:val="right"/>
              <w:rPr>
                <w:rFonts w:ascii="Arial" w:hAnsi="Arial" w:eastAsia="Cambria" w:cs="Arial"/>
                <w:b/>
                <w:bCs/>
                <w:sz w:val="18"/>
                <w:szCs w:val="18"/>
                <w:lang w:val="en-GB" w:eastAsia="en-US"/>
              </w:rPr>
            </w:pPr>
          </w:p>
        </w:tc>
        <w:tc>
          <w:tcPr>
            <w:tcW w:w="1822" w:type="dxa"/>
            <w:tcBorders>
              <w:bottom w:val="single" w:color="7F7F7F" w:sz="6" w:space="0"/>
            </w:tcBorders>
            <w:shd w:val="clear" w:color="auto" w:fill="EEEEEE"/>
          </w:tcPr>
          <w:p>
            <w:pPr>
              <w:spacing w:before="124" w:beforeLines="40" w:after="124" w:afterLines="40" w:line="24" w:lineRule="atLeast"/>
              <w:jc w:val="right"/>
              <w:rPr>
                <w:rFonts w:ascii="Arial" w:hAnsi="Arial" w:eastAsia="Cambria" w:cs="Arial"/>
                <w:sz w:val="18"/>
                <w:szCs w:val="18"/>
                <w:lang w:val="en-GB" w:eastAsia="en-US"/>
              </w:rPr>
            </w:pPr>
            <w:r>
              <w:rPr>
                <w:rFonts w:ascii="Arial" w:hAnsi="Arial" w:eastAsia="Cambria" w:cs="Arial"/>
                <w:sz w:val="18"/>
                <w:szCs w:val="18"/>
                <w:lang w:val="en-GB" w:eastAsia="en-US"/>
              </w:rPr>
              <w:t>e)</w:t>
            </w:r>
          </w:p>
        </w:tc>
        <w:tc>
          <w:tcPr>
            <w:tcW w:w="7041" w:type="dxa"/>
            <w:tcBorders>
              <w:bottom w:val="single" w:color="7F7F7F" w:sz="6" w:space="0"/>
            </w:tcBorders>
            <w:shd w:val="clear" w:color="auto" w:fill="EEEEEE"/>
          </w:tcPr>
          <w:p>
            <w:pPr>
              <w:widowControl/>
              <w:spacing w:before="124" w:beforeLines="40" w:after="124" w:afterLines="40" w:line="24" w:lineRule="atLeast"/>
              <w:jc w:val="left"/>
              <w:rPr>
                <w:rFonts w:ascii="Arial" w:hAnsi="Arial" w:eastAsia="Times New Roman" w:cs="Arial"/>
                <w:kern w:val="0"/>
                <w:sz w:val="18"/>
                <w:szCs w:val="18"/>
                <w:lang w:val="en-GB" w:eastAsia="en-GB"/>
                <w14:ligatures w14:val="none"/>
              </w:rPr>
            </w:pPr>
            <w:r>
              <w:rPr>
                <w:rFonts w:ascii="Arial" w:hAnsi="Arial" w:eastAsia="Times New Roman" w:cs="Arial"/>
                <w:kern w:val="0"/>
                <w:sz w:val="18"/>
                <w:szCs w:val="18"/>
                <w:lang w:val="en-GB" w:eastAsia="en-GB"/>
                <w14:ligatures w14:val="none"/>
              </w:rPr>
              <w:t>Consider additional plots to visualize results (e.g., leave-one-out analyses)</w:t>
            </w:r>
          </w:p>
        </w:tc>
        <w:tc>
          <w:tcPr>
            <w:tcW w:w="720" w:type="dxa"/>
            <w:tcBorders>
              <w:bottom w:val="single" w:color="7F7F7F" w:sz="6" w:space="0"/>
            </w:tcBorders>
            <w:shd w:val="clear" w:color="auto" w:fill="EEEEEE"/>
          </w:tcPr>
          <w:p>
            <w:pPr>
              <w:widowControl/>
              <w:spacing w:before="124" w:beforeLines="40" w:after="124" w:afterLines="40" w:line="24" w:lineRule="atLeast"/>
              <w:jc w:val="left"/>
              <w:rPr>
                <w:rFonts w:ascii="Arial" w:hAnsi="Arial" w:eastAsia="Times New Roman" w:cs="Arial"/>
                <w:kern w:val="0"/>
                <w:sz w:val="18"/>
                <w:szCs w:val="18"/>
                <w14:ligatures w14:val="none"/>
              </w:rPr>
            </w:pPr>
          </w:p>
        </w:tc>
        <w:tc>
          <w:tcPr>
            <w:tcW w:w="4320" w:type="dxa"/>
            <w:tcBorders>
              <w:bottom w:val="single" w:color="7F7F7F" w:sz="6" w:space="0"/>
            </w:tcBorders>
            <w:shd w:val="clear" w:color="auto" w:fill="EEEEEE"/>
          </w:tcPr>
          <w:p>
            <w:pPr>
              <w:widowControl/>
              <w:spacing w:before="124" w:beforeLines="40" w:after="124" w:afterLines="40" w:line="24" w:lineRule="atLeast"/>
              <w:jc w:val="left"/>
              <w:rPr>
                <w:rFonts w:ascii="Arial" w:hAnsi="Arial" w:eastAsia="Times New Roman" w:cs="Arial"/>
                <w:kern w:val="0"/>
                <w:sz w:val="18"/>
                <w:szCs w:val="18"/>
                <w:lang w:val="en-GB" w:eastAsia="en-GB"/>
                <w14:ligatures w14:val="none"/>
              </w:rPr>
            </w:pPr>
            <w:r>
              <w:rPr>
                <w:rFonts w:ascii="Arial" w:hAnsi="Arial" w:eastAsia="Times New Roman" w:cs="Arial"/>
                <w:kern w:val="0"/>
                <w:sz w:val="18"/>
                <w:szCs w:val="18"/>
                <w:lang w:val="en-GB" w:eastAsia="en-GB"/>
                <w14:ligatures w14:val="none"/>
              </w:rPr>
              <w:t>Figure 2 to Figure 6 are the visualization results (including scatter plot, funnel plot, forest plot, leave-one-out analys</w:t>
            </w:r>
            <w:r>
              <w:rPr>
                <w:rFonts w:ascii="Arial" w:hAnsi="Arial" w:eastAsia="Times New Roman" w:cs="Arial"/>
                <w:kern w:val="0"/>
                <w:sz w:val="18"/>
                <w:szCs w:val="18"/>
                <w14:ligatures w14:val="none"/>
              </w:rPr>
              <w:t>e</w:t>
            </w:r>
            <w:r>
              <w:rPr>
                <w:rFonts w:ascii="Arial" w:hAnsi="Arial" w:eastAsia="Times New Roman" w:cs="Arial"/>
                <w:kern w:val="0"/>
                <w:sz w:val="18"/>
                <w:szCs w:val="18"/>
                <w:lang w:val="en-GB" w:eastAsia="en-GB"/>
                <w14:ligatures w14:val="none"/>
              </w:rPr>
              <w:t>s).</w:t>
            </w:r>
          </w:p>
        </w:tc>
      </w:tr>
      <w:tr>
        <w:tblPrEx>
          <w:tblCellMar>
            <w:top w:w="0" w:type="dxa"/>
            <w:left w:w="108" w:type="dxa"/>
            <w:bottom w:w="0" w:type="dxa"/>
            <w:right w:w="108" w:type="dxa"/>
          </w:tblCellMar>
        </w:tblPrEx>
        <w:tc>
          <w:tcPr>
            <w:tcW w:w="587" w:type="dxa"/>
            <w:tcBorders>
              <w:top w:val="single" w:color="7F7F7F" w:sz="6" w:space="0"/>
            </w:tcBorders>
            <w:shd w:val="clear" w:color="auto" w:fill="auto"/>
          </w:tcPr>
          <w:p>
            <w:pPr>
              <w:spacing w:before="124" w:beforeLines="40" w:after="124" w:afterLines="40" w:line="24" w:lineRule="atLeast"/>
              <w:rPr>
                <w:rFonts w:ascii="Arial" w:hAnsi="Arial" w:eastAsia="Times New Roman" w:cs="Arial"/>
                <w:b/>
                <w:bCs/>
                <w:sz w:val="18"/>
                <w:szCs w:val="18"/>
                <w:lang w:val="en-GB" w:eastAsia="en-GB"/>
              </w:rPr>
            </w:pPr>
          </w:p>
        </w:tc>
        <w:tc>
          <w:tcPr>
            <w:tcW w:w="1822" w:type="dxa"/>
            <w:tcBorders>
              <w:top w:val="single" w:color="7F7F7F" w:sz="6" w:space="0"/>
            </w:tcBorders>
            <w:shd w:val="clear" w:color="auto" w:fill="auto"/>
          </w:tcPr>
          <w:p>
            <w:pPr>
              <w:spacing w:before="124" w:beforeLines="40" w:after="124" w:afterLines="40" w:line="24" w:lineRule="atLeast"/>
              <w:rPr>
                <w:rFonts w:ascii="Arial" w:hAnsi="Arial" w:eastAsia="Cambria" w:cs="Arial"/>
                <w:sz w:val="18"/>
                <w:szCs w:val="18"/>
                <w:lang w:val="en-GB" w:eastAsia="en-US"/>
              </w:rPr>
            </w:pPr>
            <w:r>
              <w:rPr>
                <w:rFonts w:ascii="Arial" w:hAnsi="Arial" w:eastAsia="Times New Roman" w:cs="Arial"/>
                <w:b/>
                <w:bCs/>
                <w:sz w:val="18"/>
                <w:szCs w:val="18"/>
                <w:lang w:val="en-GB" w:eastAsia="en-GB"/>
              </w:rPr>
              <w:t>DISCUSSION</w:t>
            </w:r>
          </w:p>
        </w:tc>
        <w:tc>
          <w:tcPr>
            <w:tcW w:w="7041" w:type="dxa"/>
            <w:tcBorders>
              <w:top w:val="single" w:color="7F7F7F" w:sz="6" w:space="0"/>
            </w:tcBorders>
            <w:shd w:val="clear" w:color="auto" w:fill="auto"/>
          </w:tcPr>
          <w:p>
            <w:pPr>
              <w:widowControl/>
              <w:spacing w:before="124" w:beforeLines="40" w:after="124" w:afterLines="40" w:line="24" w:lineRule="atLeast"/>
              <w:jc w:val="left"/>
              <w:rPr>
                <w:rFonts w:ascii="Arial" w:hAnsi="Arial" w:eastAsia="Times New Roman" w:cs="Arial"/>
                <w:kern w:val="0"/>
                <w:sz w:val="18"/>
                <w:szCs w:val="18"/>
                <w:lang w:val="en-GB" w:eastAsia="en-US"/>
                <w14:ligatures w14:val="none"/>
              </w:rPr>
            </w:pPr>
          </w:p>
        </w:tc>
        <w:tc>
          <w:tcPr>
            <w:tcW w:w="720" w:type="dxa"/>
            <w:tcBorders>
              <w:top w:val="single" w:color="7F7F7F" w:sz="6" w:space="0"/>
            </w:tcBorders>
          </w:tcPr>
          <w:p>
            <w:pPr>
              <w:widowControl/>
              <w:spacing w:before="124" w:beforeLines="40" w:after="124" w:afterLines="40" w:line="24" w:lineRule="atLeast"/>
              <w:jc w:val="left"/>
              <w:rPr>
                <w:rFonts w:ascii="Arial" w:hAnsi="Arial" w:eastAsia="Times New Roman" w:cs="Arial"/>
                <w:kern w:val="0"/>
                <w:sz w:val="18"/>
                <w:szCs w:val="18"/>
                <w:lang w:val="en-GB" w:eastAsia="en-US"/>
                <w14:ligatures w14:val="none"/>
              </w:rPr>
            </w:pPr>
          </w:p>
        </w:tc>
        <w:tc>
          <w:tcPr>
            <w:tcW w:w="4320" w:type="dxa"/>
            <w:tcBorders>
              <w:top w:val="single" w:color="7F7F7F" w:sz="6" w:space="0"/>
            </w:tcBorders>
          </w:tcPr>
          <w:p>
            <w:pPr>
              <w:widowControl/>
              <w:spacing w:before="124" w:beforeLines="40" w:after="124" w:afterLines="40" w:line="24" w:lineRule="atLeast"/>
              <w:jc w:val="left"/>
              <w:rPr>
                <w:rFonts w:ascii="Arial" w:hAnsi="Arial" w:eastAsia="Times New Roman" w:cs="Arial"/>
                <w:kern w:val="0"/>
                <w:sz w:val="18"/>
                <w:szCs w:val="18"/>
                <w:lang w:val="en-GB" w:eastAsia="en-US"/>
                <w14:ligatures w14:val="none"/>
              </w:rPr>
            </w:pPr>
          </w:p>
        </w:tc>
      </w:tr>
      <w:tr>
        <w:tblPrEx>
          <w:tblCellMar>
            <w:top w:w="0" w:type="dxa"/>
            <w:left w:w="108" w:type="dxa"/>
            <w:bottom w:w="0" w:type="dxa"/>
            <w:right w:w="108" w:type="dxa"/>
          </w:tblCellMar>
        </w:tblPrEx>
        <w:tc>
          <w:tcPr>
            <w:tcW w:w="587" w:type="dxa"/>
            <w:shd w:val="clear" w:color="auto" w:fill="EEEEEE"/>
          </w:tcPr>
          <w:p>
            <w:pPr>
              <w:spacing w:before="124" w:beforeLines="40" w:after="124" w:afterLines="40" w:line="24" w:lineRule="atLeast"/>
              <w:rPr>
                <w:rFonts w:ascii="Arial" w:hAnsi="Arial" w:eastAsia="Times New Roman" w:cs="Arial"/>
                <w:b/>
                <w:bCs/>
                <w:sz w:val="18"/>
                <w:szCs w:val="18"/>
                <w:lang w:val="en-GB" w:eastAsia="en-GB"/>
              </w:rPr>
            </w:pPr>
            <w:r>
              <w:rPr>
                <w:rFonts w:ascii="Arial" w:hAnsi="Arial" w:eastAsia="Times New Roman" w:cs="Arial"/>
                <w:sz w:val="18"/>
                <w:szCs w:val="18"/>
                <w:lang w:val="en-GB" w:eastAsia="en-GB"/>
              </w:rPr>
              <w:t>14</w:t>
            </w:r>
          </w:p>
        </w:tc>
        <w:tc>
          <w:tcPr>
            <w:tcW w:w="1822" w:type="dxa"/>
            <w:shd w:val="clear" w:color="auto" w:fill="EEEEEE"/>
          </w:tcPr>
          <w:p>
            <w:pPr>
              <w:spacing w:before="124" w:beforeLines="40" w:after="124" w:afterLines="40" w:line="24" w:lineRule="atLeast"/>
              <w:rPr>
                <w:rFonts w:ascii="Arial" w:hAnsi="Arial" w:eastAsia="Times New Roman" w:cs="Arial"/>
                <w:sz w:val="18"/>
                <w:szCs w:val="18"/>
                <w:lang w:val="en-GB" w:eastAsia="en-GB"/>
              </w:rPr>
            </w:pPr>
            <w:r>
              <w:rPr>
                <w:rFonts w:ascii="Arial" w:hAnsi="Arial" w:eastAsia="Times New Roman" w:cs="Arial"/>
                <w:b/>
                <w:bCs/>
                <w:sz w:val="18"/>
                <w:szCs w:val="18"/>
                <w:lang w:val="en-GB" w:eastAsia="en-GB"/>
              </w:rPr>
              <w:t>Key results </w:t>
            </w:r>
          </w:p>
        </w:tc>
        <w:tc>
          <w:tcPr>
            <w:tcW w:w="7041" w:type="dxa"/>
            <w:shd w:val="clear" w:color="auto" w:fill="EEEEEE"/>
          </w:tcPr>
          <w:p>
            <w:pPr>
              <w:widowControl/>
              <w:spacing w:before="124" w:beforeLines="40" w:after="124" w:afterLines="40" w:line="24" w:lineRule="atLeast"/>
              <w:jc w:val="left"/>
              <w:rPr>
                <w:rFonts w:ascii="Arial" w:hAnsi="Arial" w:eastAsia="Times New Roman" w:cs="Arial"/>
                <w:kern w:val="0"/>
                <w:sz w:val="18"/>
                <w:szCs w:val="18"/>
                <w:lang w:val="en-GB" w:eastAsia="en-GB"/>
                <w14:ligatures w14:val="none"/>
              </w:rPr>
            </w:pPr>
            <w:r>
              <w:rPr>
                <w:rFonts w:ascii="Arial" w:hAnsi="Arial" w:eastAsia="Times New Roman" w:cs="Arial"/>
                <w:kern w:val="0"/>
                <w:sz w:val="18"/>
                <w:szCs w:val="18"/>
                <w:lang w:val="en-GB" w:eastAsia="en-GB"/>
                <w14:ligatures w14:val="none"/>
              </w:rPr>
              <w:t>Summarize key results with reference to study objectives</w:t>
            </w:r>
          </w:p>
        </w:tc>
        <w:tc>
          <w:tcPr>
            <w:tcW w:w="720" w:type="dxa"/>
            <w:shd w:val="clear" w:color="auto" w:fill="EEEEEE"/>
          </w:tcPr>
          <w:p>
            <w:pPr>
              <w:widowControl/>
              <w:spacing w:before="124" w:beforeLines="40" w:after="124" w:afterLines="40" w:line="24" w:lineRule="atLeast"/>
              <w:jc w:val="left"/>
              <w:rPr>
                <w:rFonts w:ascii="Arial" w:hAnsi="Arial" w:eastAsia="Times New Roman" w:cs="Arial"/>
                <w:kern w:val="0"/>
                <w:sz w:val="18"/>
                <w:szCs w:val="18"/>
                <w14:ligatures w14:val="none"/>
              </w:rPr>
            </w:pPr>
            <w:r>
              <w:rPr>
                <w:rFonts w:ascii="Arial" w:hAnsi="Arial" w:eastAsia="Times New Roman" w:cs="Arial"/>
                <w:kern w:val="0"/>
                <w:sz w:val="18"/>
                <w:szCs w:val="18"/>
                <w14:ligatures w14:val="none"/>
              </w:rPr>
              <w:t>10</w:t>
            </w:r>
          </w:p>
        </w:tc>
        <w:tc>
          <w:tcPr>
            <w:tcW w:w="4320" w:type="dxa"/>
            <w:shd w:val="clear" w:color="auto" w:fill="EEEEEE"/>
          </w:tcPr>
          <w:p>
            <w:pPr>
              <w:widowControl/>
              <w:spacing w:before="124" w:beforeLines="40" w:after="124" w:afterLines="40" w:line="24" w:lineRule="atLeast"/>
              <w:jc w:val="left"/>
              <w:rPr>
                <w:rFonts w:ascii="Arial" w:hAnsi="Arial" w:eastAsia="Times New Roman" w:cs="Arial"/>
                <w:kern w:val="0"/>
                <w:sz w:val="18"/>
                <w:szCs w:val="18"/>
                <w:lang w:val="en-GB" w:eastAsia="en-GB"/>
                <w14:ligatures w14:val="none"/>
              </w:rPr>
            </w:pPr>
            <w:r>
              <w:rPr>
                <w:rFonts w:ascii="Arial" w:hAnsi="Arial" w:eastAsia="Times New Roman" w:cs="Arial"/>
                <w:kern w:val="0"/>
                <w:sz w:val="18"/>
                <w:szCs w:val="18"/>
                <w14:ligatures w14:val="none"/>
              </w:rPr>
              <w:t xml:space="preserve">In this study, we assessed the causal effects of T1D and T2D on IPF using a two-sample univariate MR approach. </w:t>
            </w:r>
            <w:bookmarkStart w:id="3" w:name="OLE_LINK38"/>
            <w:r>
              <w:rPr>
                <w:rFonts w:ascii="Arial" w:hAnsi="Arial" w:eastAsia="Times New Roman" w:cs="Arial"/>
                <w:kern w:val="0"/>
                <w:sz w:val="18"/>
                <w:szCs w:val="18"/>
                <w14:ligatures w14:val="none"/>
              </w:rPr>
              <w:t>We identified a causal relationship between T1D and IPF, but no such association was observed between T2D and IPF. Furthermore, the findings of the MVMR analysis were consistent with those of the univariate analysis: namely, that only T1D was associated with an increased risk of IPF.</w:t>
            </w:r>
            <w:bookmarkEnd w:id="3"/>
          </w:p>
        </w:tc>
      </w:tr>
      <w:tr>
        <w:tblPrEx>
          <w:tblCellMar>
            <w:top w:w="0" w:type="dxa"/>
            <w:left w:w="108" w:type="dxa"/>
            <w:bottom w:w="0" w:type="dxa"/>
            <w:right w:w="108" w:type="dxa"/>
          </w:tblCellMar>
        </w:tblPrEx>
        <w:tc>
          <w:tcPr>
            <w:tcW w:w="587" w:type="dxa"/>
            <w:shd w:val="clear" w:color="auto" w:fill="auto"/>
          </w:tcPr>
          <w:p>
            <w:pPr>
              <w:spacing w:before="124" w:beforeLines="40" w:after="124" w:afterLines="40" w:line="24" w:lineRule="atLeast"/>
              <w:rPr>
                <w:rFonts w:ascii="Arial" w:hAnsi="Arial" w:eastAsia="Times New Roman" w:cs="Arial"/>
                <w:b/>
                <w:bCs/>
                <w:sz w:val="18"/>
                <w:szCs w:val="18"/>
                <w:lang w:val="en-GB" w:eastAsia="en-GB"/>
              </w:rPr>
            </w:pPr>
            <w:r>
              <w:rPr>
                <w:rFonts w:ascii="Arial" w:hAnsi="Arial" w:eastAsia="Times New Roman" w:cs="Arial"/>
                <w:sz w:val="18"/>
                <w:szCs w:val="18"/>
                <w:lang w:val="en-GB" w:eastAsia="en-GB"/>
              </w:rPr>
              <w:t>15</w:t>
            </w:r>
          </w:p>
        </w:tc>
        <w:tc>
          <w:tcPr>
            <w:tcW w:w="1822" w:type="dxa"/>
            <w:shd w:val="clear" w:color="auto" w:fill="auto"/>
          </w:tcPr>
          <w:p>
            <w:pPr>
              <w:spacing w:before="124" w:beforeLines="40" w:after="124" w:afterLines="40" w:line="24" w:lineRule="atLeast"/>
              <w:rPr>
                <w:rFonts w:ascii="Arial" w:hAnsi="Arial" w:eastAsia="Times New Roman" w:cs="Arial"/>
                <w:sz w:val="18"/>
                <w:szCs w:val="18"/>
                <w:lang w:val="en-GB" w:eastAsia="en-GB"/>
              </w:rPr>
            </w:pPr>
            <w:r>
              <w:rPr>
                <w:rFonts w:ascii="Arial" w:hAnsi="Arial" w:eastAsia="Times New Roman" w:cs="Arial"/>
                <w:b/>
                <w:bCs/>
                <w:sz w:val="18"/>
                <w:szCs w:val="18"/>
                <w:lang w:val="en-GB" w:eastAsia="en-GB"/>
              </w:rPr>
              <w:t>Limitations</w:t>
            </w:r>
          </w:p>
        </w:tc>
        <w:tc>
          <w:tcPr>
            <w:tcW w:w="7041" w:type="dxa"/>
            <w:shd w:val="clear" w:color="auto" w:fill="auto"/>
          </w:tcPr>
          <w:p>
            <w:pPr>
              <w:widowControl/>
              <w:spacing w:before="124" w:beforeLines="40" w:after="124" w:afterLines="40" w:line="24" w:lineRule="atLeast"/>
              <w:jc w:val="left"/>
              <w:rPr>
                <w:rFonts w:ascii="Arial" w:hAnsi="Arial" w:eastAsia="Times New Roman" w:cs="Arial"/>
                <w:kern w:val="0"/>
                <w:sz w:val="18"/>
                <w:szCs w:val="18"/>
                <w:lang w:val="en-GB" w:eastAsia="en-GB"/>
                <w14:ligatures w14:val="none"/>
              </w:rPr>
            </w:pPr>
            <w:r>
              <w:rPr>
                <w:rFonts w:ascii="Arial" w:hAnsi="Arial" w:eastAsia="Times New Roman" w:cs="Arial"/>
                <w:kern w:val="0"/>
                <w:sz w:val="18"/>
                <w:szCs w:val="18"/>
                <w:lang w:val="en-GB" w:eastAsia="en-GB"/>
                <w14:ligatures w14:val="none"/>
              </w:rPr>
              <w:t>Discuss limitations of the study, taking into account the validity of the IV assumptions, other sources of potential bias, and imprecision. Discuss both direction and magnitude of any potential bias and any efforts to address them </w:t>
            </w:r>
          </w:p>
        </w:tc>
        <w:tc>
          <w:tcPr>
            <w:tcW w:w="720" w:type="dxa"/>
          </w:tcPr>
          <w:p>
            <w:pPr>
              <w:widowControl/>
              <w:spacing w:before="124" w:beforeLines="40" w:after="124" w:afterLines="40" w:line="24" w:lineRule="atLeast"/>
              <w:jc w:val="left"/>
              <w:rPr>
                <w:rFonts w:ascii="Arial" w:hAnsi="Arial" w:eastAsia="Times New Roman" w:cs="Arial"/>
                <w:kern w:val="0"/>
                <w:sz w:val="18"/>
                <w:szCs w:val="18"/>
                <w14:ligatures w14:val="none"/>
              </w:rPr>
            </w:pPr>
            <w:r>
              <w:rPr>
                <w:rFonts w:ascii="Arial" w:hAnsi="Arial" w:eastAsia="Times New Roman" w:cs="Arial"/>
                <w:kern w:val="0"/>
                <w:sz w:val="18"/>
                <w:szCs w:val="18"/>
                <w14:ligatures w14:val="none"/>
              </w:rPr>
              <w:t>17</w:t>
            </w:r>
            <w:r>
              <w:rPr>
                <w:rFonts w:hint="eastAsia" w:ascii="Arial" w:hAnsi="Arial" w:eastAsia="Times New Roman" w:cs="Arial"/>
                <w:kern w:val="0"/>
                <w:sz w:val="18"/>
                <w:szCs w:val="18"/>
                <w14:ligatures w14:val="none"/>
              </w:rPr>
              <w:t xml:space="preserve">, </w:t>
            </w:r>
            <w:r>
              <w:rPr>
                <w:rFonts w:ascii="Arial" w:hAnsi="Arial" w:eastAsia="Times New Roman" w:cs="Arial"/>
                <w:kern w:val="0"/>
                <w:sz w:val="18"/>
                <w:szCs w:val="18"/>
                <w14:ligatures w14:val="none"/>
              </w:rPr>
              <w:t>18</w:t>
            </w:r>
          </w:p>
        </w:tc>
        <w:tc>
          <w:tcPr>
            <w:tcW w:w="4320" w:type="dxa"/>
          </w:tcPr>
          <w:p>
            <w:pPr>
              <w:widowControl/>
              <w:spacing w:before="124" w:beforeLines="40" w:after="124" w:afterLines="40" w:line="24" w:lineRule="atLeast"/>
              <w:jc w:val="left"/>
              <w:rPr>
                <w:rFonts w:ascii="Arial" w:hAnsi="Arial" w:eastAsia="Times New Roman" w:cs="Arial"/>
                <w:kern w:val="0"/>
                <w:sz w:val="18"/>
                <w:szCs w:val="18"/>
                <w:lang w:val="en-GB" w:eastAsia="en-GB"/>
                <w14:ligatures w14:val="none"/>
              </w:rPr>
            </w:pPr>
            <w:r>
              <w:rPr>
                <w:rFonts w:ascii="Arial" w:hAnsi="Arial" w:eastAsia="Times New Roman" w:cs="Arial"/>
                <w:kern w:val="0"/>
                <w:sz w:val="18"/>
                <w:szCs w:val="18"/>
                <w14:ligatures w14:val="none"/>
              </w:rPr>
              <w:t>First, we examined the causal impact of both diabetes types on IPF without exploring the reverse causal effect. When we performed a reverse causality analysis, only six SNPs were screened from the IPF dataset, and these six SNPs did not correspond with the GWAS of T1D and T2D. However, our causal inferences about the two types of diabetes and IPF were reliable; the F-statistics of the IVs we selected were all greater than 10, and the sensitivity analysis did not suggest the existence of significant heterogeneity or pleiotropy.</w:t>
            </w:r>
          </w:p>
        </w:tc>
      </w:tr>
      <w:tr>
        <w:tblPrEx>
          <w:tblCellMar>
            <w:top w:w="0" w:type="dxa"/>
            <w:left w:w="108" w:type="dxa"/>
            <w:bottom w:w="0" w:type="dxa"/>
            <w:right w:w="108" w:type="dxa"/>
          </w:tblCellMar>
        </w:tblPrEx>
        <w:tc>
          <w:tcPr>
            <w:tcW w:w="587" w:type="dxa"/>
            <w:shd w:val="clear" w:color="auto" w:fill="EEEEEE"/>
          </w:tcPr>
          <w:p>
            <w:pPr>
              <w:spacing w:before="124" w:beforeLines="40" w:after="124" w:afterLines="40" w:line="24" w:lineRule="atLeast"/>
              <w:rPr>
                <w:rFonts w:ascii="Arial" w:hAnsi="Arial" w:eastAsia="Times New Roman" w:cs="Arial"/>
                <w:b/>
                <w:bCs/>
                <w:sz w:val="18"/>
                <w:szCs w:val="18"/>
                <w:lang w:val="en-GB" w:eastAsia="en-GB"/>
              </w:rPr>
            </w:pPr>
            <w:r>
              <w:rPr>
                <w:rFonts w:ascii="Arial" w:hAnsi="Arial" w:eastAsia="Times New Roman" w:cs="Arial"/>
                <w:sz w:val="18"/>
                <w:szCs w:val="18"/>
                <w:lang w:val="en-GB" w:eastAsia="en-GB"/>
              </w:rPr>
              <w:t>16</w:t>
            </w:r>
          </w:p>
        </w:tc>
        <w:tc>
          <w:tcPr>
            <w:tcW w:w="1822" w:type="dxa"/>
            <w:shd w:val="clear" w:color="auto" w:fill="EEEEEE"/>
          </w:tcPr>
          <w:p>
            <w:pPr>
              <w:spacing w:before="124" w:beforeLines="40" w:after="124" w:afterLines="40" w:line="24" w:lineRule="atLeast"/>
              <w:rPr>
                <w:rFonts w:ascii="Arial" w:hAnsi="Arial" w:eastAsia="Times New Roman" w:cs="Arial"/>
                <w:sz w:val="18"/>
                <w:szCs w:val="18"/>
                <w:lang w:val="en-GB" w:eastAsia="en-GB"/>
              </w:rPr>
            </w:pPr>
            <w:r>
              <w:rPr>
                <w:rFonts w:ascii="Arial" w:hAnsi="Arial" w:eastAsia="Times New Roman" w:cs="Arial"/>
                <w:b/>
                <w:bCs/>
                <w:sz w:val="18"/>
                <w:szCs w:val="18"/>
                <w:lang w:val="en-GB" w:eastAsia="en-GB"/>
              </w:rPr>
              <w:t>Interpretation</w:t>
            </w:r>
          </w:p>
        </w:tc>
        <w:tc>
          <w:tcPr>
            <w:tcW w:w="7041" w:type="dxa"/>
            <w:shd w:val="clear" w:color="auto" w:fill="EEEEEE"/>
          </w:tcPr>
          <w:p>
            <w:pPr>
              <w:widowControl/>
              <w:spacing w:before="124" w:beforeLines="40" w:after="124" w:afterLines="40" w:line="24" w:lineRule="atLeast"/>
              <w:jc w:val="left"/>
              <w:rPr>
                <w:rFonts w:ascii="Arial" w:hAnsi="Arial" w:eastAsia="Times New Roman" w:cs="Arial"/>
                <w:kern w:val="0"/>
                <w:sz w:val="18"/>
                <w:szCs w:val="18"/>
                <w:lang w:val="en-GB" w:eastAsia="en-US"/>
                <w14:ligatures w14:val="none"/>
              </w:rPr>
            </w:pPr>
          </w:p>
        </w:tc>
        <w:tc>
          <w:tcPr>
            <w:tcW w:w="720" w:type="dxa"/>
            <w:shd w:val="clear" w:color="auto" w:fill="EEEEEE"/>
          </w:tcPr>
          <w:p>
            <w:pPr>
              <w:widowControl/>
              <w:spacing w:before="124" w:beforeLines="40" w:after="124" w:afterLines="40" w:line="24" w:lineRule="atLeast"/>
              <w:jc w:val="left"/>
              <w:rPr>
                <w:rFonts w:ascii="Arial" w:hAnsi="Arial" w:eastAsia="Times New Roman" w:cs="Arial"/>
                <w:kern w:val="0"/>
                <w:sz w:val="18"/>
                <w:szCs w:val="18"/>
                <w:lang w:val="en-GB" w:eastAsia="en-US"/>
                <w14:ligatures w14:val="none"/>
              </w:rPr>
            </w:pPr>
          </w:p>
        </w:tc>
        <w:tc>
          <w:tcPr>
            <w:tcW w:w="4320" w:type="dxa"/>
            <w:shd w:val="clear" w:color="auto" w:fill="EEEEEE"/>
          </w:tcPr>
          <w:p>
            <w:pPr>
              <w:widowControl/>
              <w:spacing w:before="124" w:beforeLines="40" w:after="124" w:afterLines="40" w:line="24" w:lineRule="atLeast"/>
              <w:jc w:val="left"/>
              <w:rPr>
                <w:rFonts w:ascii="Arial" w:hAnsi="Arial" w:eastAsia="Times New Roman" w:cs="Arial"/>
                <w:kern w:val="0"/>
                <w:sz w:val="18"/>
                <w:szCs w:val="18"/>
                <w:lang w:val="en-GB" w:eastAsia="en-US"/>
                <w14:ligatures w14:val="none"/>
              </w:rPr>
            </w:pPr>
          </w:p>
        </w:tc>
      </w:tr>
      <w:tr>
        <w:tblPrEx>
          <w:tblCellMar>
            <w:top w:w="0" w:type="dxa"/>
            <w:left w:w="108" w:type="dxa"/>
            <w:bottom w:w="0" w:type="dxa"/>
            <w:right w:w="108" w:type="dxa"/>
          </w:tblCellMar>
        </w:tblPrEx>
        <w:tc>
          <w:tcPr>
            <w:tcW w:w="587" w:type="dxa"/>
            <w:shd w:val="clear" w:color="auto" w:fill="auto"/>
          </w:tcPr>
          <w:p>
            <w:pPr>
              <w:spacing w:before="124" w:beforeLines="40" w:after="124" w:afterLines="40" w:line="24" w:lineRule="atLeast"/>
              <w:jc w:val="right"/>
              <w:rPr>
                <w:rFonts w:ascii="Arial" w:hAnsi="Arial" w:eastAsia="Cambria" w:cs="Arial"/>
                <w:b/>
                <w:bCs/>
                <w:sz w:val="18"/>
                <w:szCs w:val="18"/>
                <w:lang w:val="en-GB" w:eastAsia="en-US"/>
              </w:rPr>
            </w:pPr>
          </w:p>
        </w:tc>
        <w:tc>
          <w:tcPr>
            <w:tcW w:w="1822" w:type="dxa"/>
            <w:shd w:val="clear" w:color="auto" w:fill="auto"/>
          </w:tcPr>
          <w:p>
            <w:pPr>
              <w:spacing w:before="124" w:beforeLines="40" w:after="124" w:afterLines="40" w:line="24" w:lineRule="atLeast"/>
              <w:jc w:val="right"/>
              <w:rPr>
                <w:rFonts w:ascii="Arial" w:hAnsi="Arial" w:eastAsia="Cambria" w:cs="Arial"/>
                <w:sz w:val="18"/>
                <w:szCs w:val="18"/>
                <w:lang w:val="en-GB" w:eastAsia="en-US"/>
              </w:rPr>
            </w:pPr>
            <w:r>
              <w:rPr>
                <w:rFonts w:ascii="Arial" w:hAnsi="Arial" w:eastAsia="Cambria" w:cs="Arial"/>
                <w:sz w:val="18"/>
                <w:szCs w:val="18"/>
                <w:lang w:val="en-GB" w:eastAsia="en-US"/>
              </w:rPr>
              <w:t>a)</w:t>
            </w:r>
          </w:p>
        </w:tc>
        <w:tc>
          <w:tcPr>
            <w:tcW w:w="7041" w:type="dxa"/>
            <w:shd w:val="clear" w:color="auto" w:fill="auto"/>
          </w:tcPr>
          <w:p>
            <w:pPr>
              <w:widowControl/>
              <w:spacing w:before="124" w:beforeLines="40" w:after="124" w:afterLines="40" w:line="24" w:lineRule="atLeast"/>
              <w:jc w:val="left"/>
              <w:rPr>
                <w:rFonts w:ascii="Arial" w:hAnsi="Arial" w:eastAsia="Times New Roman" w:cs="Arial"/>
                <w:kern w:val="0"/>
                <w:sz w:val="18"/>
                <w:szCs w:val="18"/>
                <w:lang w:val="en-GB" w:eastAsia="en-US"/>
                <w14:ligatures w14:val="none"/>
              </w:rPr>
            </w:pPr>
            <w:r>
              <w:rPr>
                <w:rFonts w:ascii="Arial" w:hAnsi="Arial" w:eastAsia="Times New Roman" w:cs="Arial"/>
                <w:kern w:val="0"/>
                <w:sz w:val="18"/>
                <w:szCs w:val="18"/>
                <w:lang w:val="en-GB" w:eastAsia="en-GB"/>
                <w14:ligatures w14:val="none"/>
              </w:rPr>
              <w:t>Meaning: Give a cautious overall interpretation of results in the context of their limitations and in comparison with other studies</w:t>
            </w:r>
          </w:p>
        </w:tc>
        <w:tc>
          <w:tcPr>
            <w:tcW w:w="720" w:type="dxa"/>
          </w:tcPr>
          <w:p>
            <w:pPr>
              <w:widowControl/>
              <w:spacing w:before="124" w:beforeLines="40" w:after="124" w:afterLines="40" w:line="24" w:lineRule="atLeast"/>
              <w:jc w:val="left"/>
              <w:rPr>
                <w:rFonts w:ascii="Arial" w:hAnsi="Arial" w:eastAsia="Times New Roman" w:cs="Arial"/>
                <w:kern w:val="0"/>
                <w:sz w:val="18"/>
                <w:szCs w:val="18"/>
                <w14:ligatures w14:val="none"/>
              </w:rPr>
            </w:pPr>
            <w:r>
              <w:rPr>
                <w:rFonts w:ascii="Arial" w:hAnsi="Arial" w:eastAsia="Times New Roman" w:cs="Arial"/>
                <w:kern w:val="0"/>
                <w:sz w:val="18"/>
                <w:szCs w:val="18"/>
                <w14:ligatures w14:val="none"/>
              </w:rPr>
              <w:t>10</w:t>
            </w:r>
          </w:p>
        </w:tc>
        <w:tc>
          <w:tcPr>
            <w:tcW w:w="4320" w:type="dxa"/>
          </w:tcPr>
          <w:p>
            <w:pPr>
              <w:widowControl/>
              <w:spacing w:before="124" w:beforeLines="40" w:after="124" w:afterLines="40" w:line="24" w:lineRule="atLeast"/>
              <w:jc w:val="left"/>
              <w:rPr>
                <w:rFonts w:ascii="Arial" w:hAnsi="Arial" w:eastAsia="Times New Roman" w:cs="Arial"/>
                <w:kern w:val="0"/>
                <w:sz w:val="18"/>
                <w:szCs w:val="18"/>
                <w:lang w:val="en-GB" w:eastAsia="en-GB"/>
                <w14:ligatures w14:val="none"/>
              </w:rPr>
            </w:pPr>
            <w:r>
              <w:rPr>
                <w:rFonts w:ascii="Arial" w:hAnsi="Arial" w:eastAsia="Times New Roman" w:cs="Arial"/>
                <w:kern w:val="0"/>
                <w:sz w:val="18"/>
                <w:szCs w:val="18"/>
                <w14:ligatures w14:val="none"/>
              </w:rPr>
              <w:t>We identified a causal relationship between T1D and IPF, but no such association was observed between T2D and IPF. Furthermore, the findings of the MVMR analysis were consistent with those of the univariate analysis: namely, that only T1D was associated with an increased risk of IPF.</w:t>
            </w:r>
          </w:p>
        </w:tc>
      </w:tr>
      <w:tr>
        <w:tblPrEx>
          <w:tblCellMar>
            <w:top w:w="0" w:type="dxa"/>
            <w:left w:w="108" w:type="dxa"/>
            <w:bottom w:w="0" w:type="dxa"/>
            <w:right w:w="108" w:type="dxa"/>
          </w:tblCellMar>
        </w:tblPrEx>
        <w:tc>
          <w:tcPr>
            <w:tcW w:w="587" w:type="dxa"/>
            <w:shd w:val="clear" w:color="auto" w:fill="EEEEEE"/>
          </w:tcPr>
          <w:p>
            <w:pPr>
              <w:spacing w:before="124" w:beforeLines="40" w:after="124" w:afterLines="40" w:line="24" w:lineRule="atLeast"/>
              <w:jc w:val="right"/>
              <w:rPr>
                <w:rFonts w:ascii="Arial" w:hAnsi="Arial" w:eastAsia="Cambria" w:cs="Arial"/>
                <w:b/>
                <w:bCs/>
                <w:sz w:val="18"/>
                <w:szCs w:val="18"/>
                <w:lang w:val="en-GB" w:eastAsia="en-US"/>
              </w:rPr>
            </w:pPr>
          </w:p>
        </w:tc>
        <w:tc>
          <w:tcPr>
            <w:tcW w:w="1822" w:type="dxa"/>
            <w:shd w:val="clear" w:color="auto" w:fill="EEEEEE"/>
          </w:tcPr>
          <w:p>
            <w:pPr>
              <w:spacing w:before="124" w:beforeLines="40" w:after="124" w:afterLines="40" w:line="24" w:lineRule="atLeast"/>
              <w:jc w:val="right"/>
              <w:rPr>
                <w:rFonts w:ascii="Arial" w:hAnsi="Arial" w:eastAsia="Cambria" w:cs="Arial"/>
                <w:sz w:val="18"/>
                <w:szCs w:val="18"/>
                <w:lang w:val="en-GB" w:eastAsia="en-US"/>
              </w:rPr>
            </w:pPr>
            <w:r>
              <w:rPr>
                <w:rFonts w:ascii="Arial" w:hAnsi="Arial" w:eastAsia="Cambria" w:cs="Arial"/>
                <w:sz w:val="18"/>
                <w:szCs w:val="18"/>
                <w:lang w:val="en-GB" w:eastAsia="en-US"/>
              </w:rPr>
              <w:t>b)</w:t>
            </w:r>
          </w:p>
        </w:tc>
        <w:tc>
          <w:tcPr>
            <w:tcW w:w="7041" w:type="dxa"/>
            <w:shd w:val="clear" w:color="auto" w:fill="EEEEEE"/>
          </w:tcPr>
          <w:p>
            <w:pPr>
              <w:widowControl/>
              <w:spacing w:before="124" w:beforeLines="40" w:after="124" w:afterLines="40" w:line="24" w:lineRule="atLeast"/>
              <w:jc w:val="left"/>
              <w:rPr>
                <w:rFonts w:ascii="Arial" w:hAnsi="Arial" w:eastAsia="Times New Roman" w:cs="Arial"/>
                <w:kern w:val="0"/>
                <w:sz w:val="18"/>
                <w:szCs w:val="18"/>
                <w:lang w:val="en-GB" w:eastAsia="en-GB"/>
                <w14:ligatures w14:val="none"/>
              </w:rPr>
            </w:pPr>
            <w:r>
              <w:rPr>
                <w:rFonts w:ascii="Arial" w:hAnsi="Arial" w:eastAsia="Times New Roman" w:cs="Arial"/>
                <w:kern w:val="0"/>
                <w:sz w:val="18"/>
                <w:szCs w:val="18"/>
                <w:lang w:val="en-GB" w:eastAsia="en-GB"/>
                <w14:ligatures w14:val="none"/>
              </w:rPr>
              <w:t xml:space="preserve">Mechanism: Discuss underlying biological mechanisms that could drive a potential causal relationship between the investigated exposure and the outcome, and whether the gene-environment equivalence assumption is reasonable. Use causal language carefully, clarifying that IV estimates may provide causal effects only under certain assumptions </w:t>
            </w:r>
          </w:p>
        </w:tc>
        <w:tc>
          <w:tcPr>
            <w:tcW w:w="720" w:type="dxa"/>
            <w:shd w:val="clear" w:color="auto" w:fill="EEEEEE"/>
          </w:tcPr>
          <w:p>
            <w:pPr>
              <w:widowControl/>
              <w:spacing w:before="124" w:beforeLines="40" w:after="124" w:afterLines="40" w:line="24" w:lineRule="atLeast"/>
              <w:jc w:val="left"/>
              <w:rPr>
                <w:rFonts w:ascii="Arial" w:hAnsi="Arial" w:eastAsia="Times New Roman" w:cs="Arial"/>
                <w:kern w:val="0"/>
                <w:sz w:val="18"/>
                <w:szCs w:val="18"/>
                <w14:ligatures w14:val="none"/>
              </w:rPr>
            </w:pPr>
            <w:r>
              <w:rPr>
                <w:rFonts w:ascii="Arial" w:hAnsi="Arial" w:eastAsia="Times New Roman" w:cs="Arial"/>
                <w:kern w:val="0"/>
                <w:sz w:val="18"/>
                <w:szCs w:val="18"/>
                <w14:ligatures w14:val="none"/>
              </w:rPr>
              <w:t>13</w:t>
            </w:r>
            <w:r>
              <w:rPr>
                <w:rFonts w:hint="eastAsia" w:ascii="Arial" w:hAnsi="Arial" w:eastAsia="Times New Roman" w:cs="Arial"/>
                <w:kern w:val="0"/>
                <w:sz w:val="18"/>
                <w:szCs w:val="18"/>
                <w14:ligatures w14:val="none"/>
              </w:rPr>
              <w:t xml:space="preserve">, </w:t>
            </w:r>
            <w:r>
              <w:rPr>
                <w:rFonts w:ascii="Arial" w:hAnsi="Arial" w:eastAsia="Times New Roman" w:cs="Arial"/>
                <w:kern w:val="0"/>
                <w:sz w:val="18"/>
                <w:szCs w:val="18"/>
                <w14:ligatures w14:val="none"/>
              </w:rPr>
              <w:t>15</w:t>
            </w:r>
          </w:p>
        </w:tc>
        <w:tc>
          <w:tcPr>
            <w:tcW w:w="4320" w:type="dxa"/>
            <w:shd w:val="clear" w:color="auto" w:fill="EEEEEE"/>
          </w:tcPr>
          <w:p>
            <w:pPr>
              <w:widowControl/>
              <w:spacing w:before="124" w:beforeLines="40" w:after="124" w:afterLines="40" w:line="24" w:lineRule="atLeast"/>
              <w:jc w:val="left"/>
              <w:rPr>
                <w:rFonts w:ascii="Arial" w:hAnsi="Arial" w:eastAsia="Times New Roman" w:cs="Arial"/>
                <w:kern w:val="0"/>
                <w:sz w:val="18"/>
                <w:szCs w:val="18"/>
                <w:lang w:val="en-GB" w:eastAsia="en-GB"/>
                <w14:ligatures w14:val="none"/>
              </w:rPr>
            </w:pPr>
            <w:r>
              <w:rPr>
                <w:rFonts w:ascii="Arial" w:hAnsi="Arial" w:eastAsia="Times New Roman" w:cs="Arial"/>
                <w:kern w:val="0"/>
                <w:sz w:val="18"/>
                <w:szCs w:val="18"/>
                <w:lang w:val="en-GB" w:eastAsia="en-GB"/>
                <w14:ligatures w14:val="none"/>
              </w:rPr>
              <w:t>The possible roles of KAT2B, citrullination, and hyperglycemia in the potential causal relationship between exposure and outcome are described.</w:t>
            </w:r>
          </w:p>
        </w:tc>
      </w:tr>
      <w:tr>
        <w:tblPrEx>
          <w:tblCellMar>
            <w:top w:w="0" w:type="dxa"/>
            <w:left w:w="108" w:type="dxa"/>
            <w:bottom w:w="0" w:type="dxa"/>
            <w:right w:w="108" w:type="dxa"/>
          </w:tblCellMar>
        </w:tblPrEx>
        <w:tc>
          <w:tcPr>
            <w:tcW w:w="587" w:type="dxa"/>
            <w:shd w:val="clear" w:color="auto" w:fill="auto"/>
          </w:tcPr>
          <w:p>
            <w:pPr>
              <w:spacing w:before="124" w:beforeLines="40" w:after="124" w:afterLines="40" w:line="24" w:lineRule="atLeast"/>
              <w:jc w:val="right"/>
              <w:rPr>
                <w:rFonts w:ascii="Arial" w:hAnsi="Arial" w:eastAsia="Cambria" w:cs="Arial"/>
                <w:b/>
                <w:bCs/>
                <w:sz w:val="18"/>
                <w:szCs w:val="18"/>
                <w:lang w:val="en-GB" w:eastAsia="en-US"/>
              </w:rPr>
            </w:pPr>
          </w:p>
        </w:tc>
        <w:tc>
          <w:tcPr>
            <w:tcW w:w="1822" w:type="dxa"/>
            <w:shd w:val="clear" w:color="auto" w:fill="auto"/>
          </w:tcPr>
          <w:p>
            <w:pPr>
              <w:spacing w:before="124" w:beforeLines="40" w:after="124" w:afterLines="40" w:line="24" w:lineRule="atLeast"/>
              <w:jc w:val="right"/>
              <w:rPr>
                <w:rFonts w:ascii="Arial" w:hAnsi="Arial" w:eastAsia="Cambria" w:cs="Arial"/>
                <w:sz w:val="18"/>
                <w:szCs w:val="18"/>
                <w:lang w:val="en-GB" w:eastAsia="en-US"/>
              </w:rPr>
            </w:pPr>
            <w:r>
              <w:rPr>
                <w:rFonts w:ascii="Arial" w:hAnsi="Arial" w:eastAsia="Cambria" w:cs="Arial"/>
                <w:sz w:val="18"/>
                <w:szCs w:val="18"/>
                <w:lang w:val="en-GB" w:eastAsia="en-US"/>
              </w:rPr>
              <w:t>c)</w:t>
            </w:r>
          </w:p>
        </w:tc>
        <w:tc>
          <w:tcPr>
            <w:tcW w:w="7041" w:type="dxa"/>
            <w:shd w:val="clear" w:color="auto" w:fill="auto"/>
          </w:tcPr>
          <w:p>
            <w:pPr>
              <w:widowControl/>
              <w:spacing w:before="124" w:beforeLines="40" w:after="124" w:afterLines="40" w:line="24" w:lineRule="atLeast"/>
              <w:jc w:val="left"/>
              <w:rPr>
                <w:rFonts w:ascii="Arial" w:hAnsi="Arial" w:eastAsia="Times New Roman" w:cs="Arial"/>
                <w:kern w:val="0"/>
                <w:sz w:val="18"/>
                <w:szCs w:val="18"/>
                <w:lang w:val="en-GB" w:eastAsia="en-US"/>
                <w14:ligatures w14:val="none"/>
              </w:rPr>
            </w:pPr>
            <w:r>
              <w:rPr>
                <w:rFonts w:ascii="Arial" w:hAnsi="Arial" w:eastAsia="Times New Roman" w:cs="Arial"/>
                <w:kern w:val="0"/>
                <w:sz w:val="18"/>
                <w:szCs w:val="18"/>
                <w:lang w:val="en-GB" w:eastAsia="en-GB"/>
                <w14:ligatures w14:val="none"/>
              </w:rPr>
              <w:t>Clinical relevance: Discuss whether the results have clinical or public policy relevance, and to what extent they inform effect sizes of possible interventions</w:t>
            </w:r>
          </w:p>
        </w:tc>
        <w:tc>
          <w:tcPr>
            <w:tcW w:w="720" w:type="dxa"/>
          </w:tcPr>
          <w:p>
            <w:pPr>
              <w:widowControl/>
              <w:spacing w:before="124" w:beforeLines="40" w:after="124" w:afterLines="40" w:line="24" w:lineRule="atLeast"/>
              <w:jc w:val="left"/>
              <w:rPr>
                <w:rFonts w:ascii="Arial" w:hAnsi="Arial" w:eastAsia="Times New Roman" w:cs="Arial"/>
                <w:kern w:val="0"/>
                <w:sz w:val="18"/>
                <w:szCs w:val="18"/>
                <w14:ligatures w14:val="none"/>
              </w:rPr>
            </w:pPr>
            <w:r>
              <w:rPr>
                <w:rFonts w:ascii="Arial" w:hAnsi="Arial" w:eastAsia="Times New Roman" w:cs="Arial"/>
                <w:kern w:val="0"/>
                <w:sz w:val="18"/>
                <w:szCs w:val="18"/>
                <w14:ligatures w14:val="none"/>
              </w:rPr>
              <w:t>11</w:t>
            </w:r>
            <w:r>
              <w:rPr>
                <w:rFonts w:hint="eastAsia" w:ascii="Arial" w:hAnsi="Arial" w:eastAsia="Times New Roman" w:cs="Arial"/>
                <w:kern w:val="0"/>
                <w:sz w:val="18"/>
                <w:szCs w:val="18"/>
                <w14:ligatures w14:val="none"/>
              </w:rPr>
              <w:t xml:space="preserve">, </w:t>
            </w:r>
            <w:r>
              <w:rPr>
                <w:rFonts w:ascii="Arial" w:hAnsi="Arial" w:eastAsia="Times New Roman" w:cs="Arial"/>
                <w:kern w:val="0"/>
                <w:sz w:val="18"/>
                <w:szCs w:val="18"/>
                <w14:ligatures w14:val="none"/>
              </w:rPr>
              <w:t>12</w:t>
            </w:r>
          </w:p>
        </w:tc>
        <w:tc>
          <w:tcPr>
            <w:tcW w:w="4320" w:type="dxa"/>
          </w:tcPr>
          <w:p>
            <w:pPr>
              <w:widowControl/>
              <w:spacing w:before="124" w:beforeLines="40" w:after="124" w:afterLines="40" w:line="24" w:lineRule="atLeast"/>
              <w:jc w:val="left"/>
              <w:rPr>
                <w:rFonts w:ascii="Arial" w:hAnsi="Arial" w:eastAsia="Times New Roman" w:cs="Arial"/>
                <w:kern w:val="0"/>
                <w:sz w:val="18"/>
                <w:szCs w:val="18"/>
                <w:lang w:eastAsia="en-GB"/>
                <w14:ligatures w14:val="none"/>
              </w:rPr>
            </w:pPr>
            <w:r>
              <w:rPr>
                <w:rFonts w:ascii="Arial" w:hAnsi="Arial" w:eastAsia="Times New Roman" w:cs="Arial"/>
                <w:kern w:val="0"/>
                <w:sz w:val="18"/>
                <w:szCs w:val="18"/>
                <w14:ligatures w14:val="none"/>
              </w:rPr>
              <w:t>Our univariate and multivariate MR analyses indicated that T1D is associated with an average increase in IPF risk of 11.8% and 13.3%, respectively, and genetically-predicted T1D increases the risk of developing IPF. And our study revealed no causal relationship between T2D and IPF; however, the results of previous observational studies on the association between these two conditions have been controversial. We also discuss the association between diabetes and IPF in clinical studies.</w:t>
            </w:r>
          </w:p>
        </w:tc>
      </w:tr>
      <w:tr>
        <w:tblPrEx>
          <w:tblCellMar>
            <w:top w:w="0" w:type="dxa"/>
            <w:left w:w="108" w:type="dxa"/>
            <w:bottom w:w="0" w:type="dxa"/>
            <w:right w:w="108" w:type="dxa"/>
          </w:tblCellMar>
        </w:tblPrEx>
        <w:tc>
          <w:tcPr>
            <w:tcW w:w="587" w:type="dxa"/>
            <w:tcBorders>
              <w:bottom w:val="single" w:color="7F7F7F" w:sz="6" w:space="0"/>
            </w:tcBorders>
            <w:shd w:val="clear" w:color="auto" w:fill="EEEEEE"/>
          </w:tcPr>
          <w:p>
            <w:pPr>
              <w:spacing w:before="124" w:beforeLines="40" w:after="124" w:afterLines="40" w:line="24" w:lineRule="atLeast"/>
              <w:rPr>
                <w:rFonts w:ascii="Arial" w:hAnsi="Arial" w:eastAsia="Times New Roman" w:cs="Arial"/>
                <w:b/>
                <w:bCs/>
                <w:sz w:val="18"/>
                <w:szCs w:val="18"/>
                <w:lang w:val="en-GB" w:eastAsia="en-GB"/>
              </w:rPr>
            </w:pPr>
            <w:r>
              <w:rPr>
                <w:rFonts w:ascii="Arial" w:hAnsi="Arial" w:eastAsia="Times New Roman" w:cs="Arial"/>
                <w:sz w:val="18"/>
                <w:szCs w:val="18"/>
                <w:lang w:val="en-GB" w:eastAsia="en-GB"/>
              </w:rPr>
              <w:t>17</w:t>
            </w:r>
          </w:p>
        </w:tc>
        <w:tc>
          <w:tcPr>
            <w:tcW w:w="1822" w:type="dxa"/>
            <w:tcBorders>
              <w:bottom w:val="single" w:color="7F7F7F" w:sz="6" w:space="0"/>
            </w:tcBorders>
            <w:shd w:val="clear" w:color="auto" w:fill="EEEEEE"/>
          </w:tcPr>
          <w:p>
            <w:pPr>
              <w:spacing w:before="124" w:beforeLines="40" w:after="124" w:afterLines="40" w:line="24" w:lineRule="atLeast"/>
              <w:rPr>
                <w:rFonts w:ascii="Arial" w:hAnsi="Arial" w:eastAsia="Times New Roman" w:cs="Arial"/>
                <w:sz w:val="18"/>
                <w:szCs w:val="18"/>
                <w:lang w:val="en-GB" w:eastAsia="en-GB"/>
              </w:rPr>
            </w:pPr>
            <w:r>
              <w:rPr>
                <w:rFonts w:ascii="Arial" w:hAnsi="Arial" w:eastAsia="Times New Roman" w:cs="Arial"/>
                <w:b/>
                <w:bCs/>
                <w:sz w:val="18"/>
                <w:szCs w:val="18"/>
                <w:lang w:val="en-GB" w:eastAsia="en-GB"/>
              </w:rPr>
              <w:t xml:space="preserve">Generalizability  </w:t>
            </w:r>
            <w:r>
              <w:rPr>
                <w:rFonts w:ascii="Arial" w:hAnsi="Arial" w:eastAsia="Times New Roman" w:cs="Arial"/>
                <w:sz w:val="18"/>
                <w:szCs w:val="18"/>
                <w:lang w:val="en-GB" w:eastAsia="en-GB"/>
              </w:rPr>
              <w:t> </w:t>
            </w:r>
          </w:p>
        </w:tc>
        <w:tc>
          <w:tcPr>
            <w:tcW w:w="7041" w:type="dxa"/>
            <w:tcBorders>
              <w:bottom w:val="single" w:color="7F7F7F" w:sz="6" w:space="0"/>
            </w:tcBorders>
            <w:shd w:val="clear" w:color="auto" w:fill="EEEEEE"/>
          </w:tcPr>
          <w:p>
            <w:pPr>
              <w:widowControl/>
              <w:spacing w:before="124" w:beforeLines="40" w:after="124" w:afterLines="40" w:line="24" w:lineRule="atLeast"/>
              <w:jc w:val="left"/>
              <w:rPr>
                <w:rFonts w:ascii="Arial" w:hAnsi="Arial" w:eastAsia="Times New Roman" w:cs="Arial"/>
                <w:kern w:val="0"/>
                <w:sz w:val="18"/>
                <w:szCs w:val="18"/>
                <w:lang w:val="en-GB" w:eastAsia="en-US"/>
                <w14:ligatures w14:val="none"/>
              </w:rPr>
            </w:pPr>
            <w:r>
              <w:rPr>
                <w:rFonts w:ascii="Arial" w:hAnsi="Arial" w:eastAsia="Times New Roman" w:cs="Arial"/>
                <w:kern w:val="0"/>
                <w:sz w:val="18"/>
                <w:szCs w:val="18"/>
                <w:lang w:val="en-GB" w:eastAsia="en-GB"/>
                <w14:ligatures w14:val="none"/>
              </w:rPr>
              <w:t>Discuss the generalizability of the study results (a) to other populations, (b) across other exposure periods/timings, and (c) across other levels of exposure</w:t>
            </w:r>
          </w:p>
        </w:tc>
        <w:tc>
          <w:tcPr>
            <w:tcW w:w="720" w:type="dxa"/>
            <w:tcBorders>
              <w:bottom w:val="single" w:color="7F7F7F" w:sz="6" w:space="0"/>
            </w:tcBorders>
            <w:shd w:val="clear" w:color="auto" w:fill="EEEEEE"/>
          </w:tcPr>
          <w:p>
            <w:pPr>
              <w:widowControl/>
              <w:spacing w:before="124" w:beforeLines="40" w:after="124" w:afterLines="40" w:line="24" w:lineRule="atLeast"/>
              <w:jc w:val="left"/>
              <w:rPr>
                <w:rFonts w:ascii="Arial" w:hAnsi="Arial" w:eastAsia="Times New Roman" w:cs="Arial"/>
                <w:kern w:val="0"/>
                <w:sz w:val="18"/>
                <w:szCs w:val="18"/>
                <w14:ligatures w14:val="none"/>
              </w:rPr>
            </w:pPr>
            <w:r>
              <w:rPr>
                <w:rFonts w:ascii="Arial" w:hAnsi="Arial" w:eastAsia="Times New Roman" w:cs="Arial"/>
                <w:kern w:val="0"/>
                <w:sz w:val="18"/>
                <w:szCs w:val="18"/>
                <w14:ligatures w14:val="none"/>
              </w:rPr>
              <w:t>18</w:t>
            </w:r>
          </w:p>
        </w:tc>
        <w:tc>
          <w:tcPr>
            <w:tcW w:w="4320" w:type="dxa"/>
            <w:tcBorders>
              <w:bottom w:val="single" w:color="7F7F7F" w:sz="6" w:space="0"/>
            </w:tcBorders>
            <w:shd w:val="clear" w:color="auto" w:fill="EEEEEE"/>
          </w:tcPr>
          <w:p>
            <w:pPr>
              <w:widowControl/>
              <w:spacing w:before="124" w:beforeLines="40" w:after="124" w:afterLines="40" w:line="24" w:lineRule="atLeast"/>
              <w:jc w:val="left"/>
              <w:rPr>
                <w:rFonts w:ascii="Arial" w:hAnsi="Arial" w:eastAsia="Times New Roman" w:cs="Arial"/>
                <w:kern w:val="0"/>
                <w:sz w:val="18"/>
                <w:szCs w:val="18"/>
                <w:lang w:eastAsia="en-GB"/>
                <w14:ligatures w14:val="none"/>
              </w:rPr>
            </w:pPr>
            <w:r>
              <w:rPr>
                <w:rFonts w:ascii="Arial" w:hAnsi="Arial" w:eastAsia="Times New Roman" w:cs="Arial"/>
                <w:kern w:val="0"/>
                <w:sz w:val="18"/>
                <w:szCs w:val="18"/>
                <w14:ligatures w14:val="none"/>
              </w:rPr>
              <w:t>Furthermore, owing to the utilization of GWAS summary-level data instead of individual-level data, we were unable to investigate the impact of variables such as sex, age, and specific types of exposure on outcome or stratify the impact of different glycemic control conditions on IPF. The outcome population in our study consisted of the FinnGen population, although of European origin, represents a distinct and extant group, which may limit the generalization of our conclusions.</w:t>
            </w:r>
          </w:p>
        </w:tc>
      </w:tr>
      <w:tr>
        <w:tblPrEx>
          <w:tblCellMar>
            <w:top w:w="0" w:type="dxa"/>
            <w:left w:w="108" w:type="dxa"/>
            <w:bottom w:w="0" w:type="dxa"/>
            <w:right w:w="108" w:type="dxa"/>
          </w:tblCellMar>
        </w:tblPrEx>
        <w:tc>
          <w:tcPr>
            <w:tcW w:w="587" w:type="dxa"/>
            <w:tcBorders>
              <w:top w:val="single" w:color="7F7F7F" w:sz="6" w:space="0"/>
            </w:tcBorders>
            <w:shd w:val="clear" w:color="auto" w:fill="auto"/>
          </w:tcPr>
          <w:p>
            <w:pPr>
              <w:spacing w:before="124" w:beforeLines="40" w:after="124" w:afterLines="40" w:line="24" w:lineRule="atLeast"/>
              <w:rPr>
                <w:rFonts w:ascii="Arial" w:hAnsi="Arial" w:eastAsia="Times New Roman" w:cs="Arial"/>
                <w:b/>
                <w:bCs/>
                <w:sz w:val="18"/>
                <w:szCs w:val="18"/>
                <w:lang w:val="en-GB" w:eastAsia="en-GB"/>
              </w:rPr>
            </w:pPr>
          </w:p>
        </w:tc>
        <w:tc>
          <w:tcPr>
            <w:tcW w:w="1822" w:type="dxa"/>
            <w:tcBorders>
              <w:top w:val="single" w:color="7F7F7F" w:sz="6" w:space="0"/>
            </w:tcBorders>
            <w:shd w:val="clear" w:color="auto" w:fill="auto"/>
          </w:tcPr>
          <w:p>
            <w:pPr>
              <w:spacing w:before="124" w:beforeLines="40" w:after="124" w:afterLines="40" w:line="24" w:lineRule="atLeast"/>
              <w:rPr>
                <w:rFonts w:ascii="Arial" w:hAnsi="Arial" w:eastAsia="Times New Roman" w:cs="Arial"/>
                <w:sz w:val="18"/>
                <w:szCs w:val="18"/>
                <w:lang w:val="en-GB" w:eastAsia="en-GB"/>
              </w:rPr>
            </w:pPr>
            <w:r>
              <w:rPr>
                <w:rFonts w:ascii="Arial" w:hAnsi="Arial" w:eastAsia="Times New Roman" w:cs="Arial"/>
                <w:b/>
                <w:bCs/>
                <w:sz w:val="18"/>
                <w:szCs w:val="18"/>
                <w:lang w:val="en-GB" w:eastAsia="en-GB"/>
              </w:rPr>
              <w:t>OTHER INFORMATION</w:t>
            </w:r>
          </w:p>
        </w:tc>
        <w:tc>
          <w:tcPr>
            <w:tcW w:w="7041" w:type="dxa"/>
            <w:tcBorders>
              <w:top w:val="single" w:color="7F7F7F" w:sz="6" w:space="0"/>
            </w:tcBorders>
            <w:shd w:val="clear" w:color="auto" w:fill="auto"/>
          </w:tcPr>
          <w:p>
            <w:pPr>
              <w:widowControl/>
              <w:spacing w:before="124" w:beforeLines="40" w:after="124" w:afterLines="40" w:line="24" w:lineRule="atLeast"/>
              <w:jc w:val="left"/>
              <w:rPr>
                <w:rFonts w:ascii="Arial" w:hAnsi="Arial" w:eastAsia="Times New Roman" w:cs="Arial"/>
                <w:kern w:val="0"/>
                <w:sz w:val="18"/>
                <w:szCs w:val="18"/>
                <w:lang w:val="en-GB" w:eastAsia="en-US"/>
                <w14:ligatures w14:val="none"/>
              </w:rPr>
            </w:pPr>
          </w:p>
        </w:tc>
        <w:tc>
          <w:tcPr>
            <w:tcW w:w="720" w:type="dxa"/>
            <w:tcBorders>
              <w:top w:val="single" w:color="7F7F7F" w:sz="6" w:space="0"/>
            </w:tcBorders>
          </w:tcPr>
          <w:p>
            <w:pPr>
              <w:widowControl/>
              <w:spacing w:before="124" w:beforeLines="40" w:after="124" w:afterLines="40" w:line="24" w:lineRule="atLeast"/>
              <w:jc w:val="left"/>
              <w:rPr>
                <w:rFonts w:ascii="Arial" w:hAnsi="Arial" w:eastAsia="Times New Roman" w:cs="Arial"/>
                <w:kern w:val="0"/>
                <w:sz w:val="18"/>
                <w:szCs w:val="18"/>
                <w:lang w:val="en-GB" w:eastAsia="en-US"/>
                <w14:ligatures w14:val="none"/>
              </w:rPr>
            </w:pPr>
          </w:p>
        </w:tc>
        <w:tc>
          <w:tcPr>
            <w:tcW w:w="4320" w:type="dxa"/>
            <w:tcBorders>
              <w:top w:val="single" w:color="7F7F7F" w:sz="6" w:space="0"/>
            </w:tcBorders>
          </w:tcPr>
          <w:p>
            <w:pPr>
              <w:widowControl/>
              <w:spacing w:before="124" w:beforeLines="40" w:after="124" w:afterLines="40" w:line="24" w:lineRule="atLeast"/>
              <w:jc w:val="left"/>
              <w:rPr>
                <w:rFonts w:ascii="Arial" w:hAnsi="Arial" w:eastAsia="Times New Roman" w:cs="Arial"/>
                <w:kern w:val="0"/>
                <w:sz w:val="18"/>
                <w:szCs w:val="18"/>
                <w:lang w:val="en-GB" w:eastAsia="en-US"/>
                <w14:ligatures w14:val="none"/>
              </w:rPr>
            </w:pPr>
          </w:p>
        </w:tc>
      </w:tr>
      <w:tr>
        <w:tblPrEx>
          <w:tblCellMar>
            <w:top w:w="0" w:type="dxa"/>
            <w:left w:w="108" w:type="dxa"/>
            <w:bottom w:w="0" w:type="dxa"/>
            <w:right w:w="108" w:type="dxa"/>
          </w:tblCellMar>
        </w:tblPrEx>
        <w:tc>
          <w:tcPr>
            <w:tcW w:w="587" w:type="dxa"/>
            <w:shd w:val="clear" w:color="auto" w:fill="EEEEEE"/>
          </w:tcPr>
          <w:p>
            <w:pPr>
              <w:spacing w:before="124" w:beforeLines="40" w:after="124" w:afterLines="40" w:line="24" w:lineRule="atLeast"/>
              <w:rPr>
                <w:rFonts w:ascii="Arial" w:hAnsi="Arial" w:eastAsia="Times New Roman" w:cs="Arial"/>
                <w:b/>
                <w:bCs/>
                <w:sz w:val="18"/>
                <w:szCs w:val="18"/>
                <w:lang w:val="en-GB" w:eastAsia="en-GB"/>
              </w:rPr>
            </w:pPr>
            <w:r>
              <w:rPr>
                <w:rFonts w:ascii="Arial" w:hAnsi="Arial" w:eastAsia="Times New Roman" w:cs="Arial"/>
                <w:sz w:val="18"/>
                <w:szCs w:val="18"/>
                <w:lang w:val="en-GB" w:eastAsia="en-GB"/>
              </w:rPr>
              <w:t>18</w:t>
            </w:r>
          </w:p>
        </w:tc>
        <w:tc>
          <w:tcPr>
            <w:tcW w:w="1822" w:type="dxa"/>
            <w:shd w:val="clear" w:color="auto" w:fill="EEEEEE"/>
          </w:tcPr>
          <w:p>
            <w:pPr>
              <w:spacing w:before="124" w:beforeLines="40" w:after="124" w:afterLines="40" w:line="24" w:lineRule="atLeast"/>
              <w:rPr>
                <w:rFonts w:ascii="Arial" w:hAnsi="Arial" w:eastAsia="Cambria" w:cs="Arial"/>
                <w:sz w:val="18"/>
                <w:szCs w:val="18"/>
                <w:lang w:val="en-GB" w:eastAsia="en-US"/>
              </w:rPr>
            </w:pPr>
            <w:r>
              <w:rPr>
                <w:rFonts w:ascii="Arial" w:hAnsi="Arial" w:eastAsia="Times New Roman" w:cs="Arial"/>
                <w:b/>
                <w:bCs/>
                <w:sz w:val="18"/>
                <w:szCs w:val="18"/>
                <w:lang w:val="en-GB" w:eastAsia="en-GB"/>
              </w:rPr>
              <w:t>Funding</w:t>
            </w:r>
          </w:p>
        </w:tc>
        <w:tc>
          <w:tcPr>
            <w:tcW w:w="7041" w:type="dxa"/>
            <w:shd w:val="clear" w:color="auto" w:fill="EEEEEE"/>
          </w:tcPr>
          <w:p>
            <w:pPr>
              <w:widowControl/>
              <w:spacing w:before="124" w:beforeLines="40" w:after="124" w:afterLines="40" w:line="24" w:lineRule="atLeast"/>
              <w:jc w:val="left"/>
              <w:rPr>
                <w:rFonts w:ascii="Arial" w:hAnsi="Arial" w:eastAsia="Times New Roman" w:cs="Arial"/>
                <w:kern w:val="0"/>
                <w:sz w:val="18"/>
                <w:szCs w:val="18"/>
                <w:lang w:val="en-GB" w:eastAsia="en-GB"/>
                <w14:ligatures w14:val="none"/>
              </w:rPr>
            </w:pPr>
            <w:r>
              <w:rPr>
                <w:rFonts w:ascii="Arial" w:hAnsi="Arial" w:eastAsia="Times New Roman" w:cs="Arial"/>
                <w:kern w:val="0"/>
                <w:sz w:val="18"/>
                <w:szCs w:val="18"/>
                <w:lang w:val="en-GB" w:eastAsia="en-GB"/>
                <w14:ligatures w14:val="none"/>
              </w:rPr>
              <w:t>Describe sources of funding and the role of funders in the present study and, if applicable, sources of funding for the databases and original study or studies on which the present study is based</w:t>
            </w:r>
          </w:p>
        </w:tc>
        <w:tc>
          <w:tcPr>
            <w:tcW w:w="720" w:type="dxa"/>
            <w:shd w:val="clear" w:color="auto" w:fill="EEEEEE"/>
          </w:tcPr>
          <w:p>
            <w:pPr>
              <w:widowControl/>
              <w:spacing w:before="124" w:beforeLines="40" w:after="124" w:afterLines="40" w:line="24" w:lineRule="atLeast"/>
              <w:jc w:val="left"/>
              <w:rPr>
                <w:rFonts w:ascii="Arial" w:hAnsi="Arial" w:eastAsia="Times New Roman" w:cs="Arial"/>
                <w:kern w:val="0"/>
                <w:sz w:val="18"/>
                <w:szCs w:val="18"/>
                <w14:ligatures w14:val="none"/>
              </w:rPr>
            </w:pPr>
            <w:r>
              <w:rPr>
                <w:rFonts w:ascii="Arial" w:hAnsi="Arial" w:eastAsia="Times New Roman" w:cs="Arial"/>
                <w:kern w:val="0"/>
                <w:sz w:val="18"/>
                <w:szCs w:val="18"/>
                <w14:ligatures w14:val="none"/>
              </w:rPr>
              <w:t>20</w:t>
            </w:r>
          </w:p>
        </w:tc>
        <w:tc>
          <w:tcPr>
            <w:tcW w:w="4320" w:type="dxa"/>
            <w:shd w:val="clear" w:color="auto" w:fill="EEEEEE"/>
          </w:tcPr>
          <w:p>
            <w:pPr>
              <w:widowControl/>
              <w:spacing w:before="124" w:beforeLines="40" w:after="124" w:afterLines="40" w:line="24" w:lineRule="atLeast"/>
              <w:jc w:val="left"/>
              <w:rPr>
                <w:rFonts w:ascii="Arial" w:hAnsi="Arial" w:eastAsia="Times New Roman" w:cs="Arial"/>
                <w:kern w:val="0"/>
                <w:sz w:val="18"/>
                <w:szCs w:val="18"/>
                <w:lang w:val="en-GB" w:eastAsia="en-GB"/>
                <w14:ligatures w14:val="none"/>
              </w:rPr>
            </w:pPr>
            <w:r>
              <w:rPr>
                <w:rFonts w:ascii="Arial" w:hAnsi="Arial" w:eastAsia="Times New Roman" w:cs="Arial"/>
                <w:kern w:val="0"/>
                <w:sz w:val="18"/>
                <w:szCs w:val="18"/>
                <w:lang w:val="en-GB" w:eastAsia="en-GB"/>
                <w14:ligatures w14:val="none"/>
              </w:rPr>
              <w:t>We did not receive any funding for this study.</w:t>
            </w:r>
          </w:p>
        </w:tc>
      </w:tr>
      <w:tr>
        <w:tblPrEx>
          <w:tblCellMar>
            <w:top w:w="0" w:type="dxa"/>
            <w:left w:w="108" w:type="dxa"/>
            <w:bottom w:w="0" w:type="dxa"/>
            <w:right w:w="108" w:type="dxa"/>
          </w:tblCellMar>
        </w:tblPrEx>
        <w:tc>
          <w:tcPr>
            <w:tcW w:w="587" w:type="dxa"/>
            <w:shd w:val="clear" w:color="auto" w:fill="auto"/>
          </w:tcPr>
          <w:p>
            <w:pPr>
              <w:spacing w:before="124" w:beforeLines="40" w:after="124" w:afterLines="40" w:line="24" w:lineRule="atLeast"/>
              <w:rPr>
                <w:rFonts w:ascii="Arial" w:hAnsi="Arial" w:eastAsia="Times New Roman" w:cs="Arial"/>
                <w:b/>
                <w:bCs/>
                <w:sz w:val="18"/>
                <w:szCs w:val="18"/>
                <w:lang w:val="en-GB" w:eastAsia="en-GB"/>
              </w:rPr>
            </w:pPr>
            <w:r>
              <w:rPr>
                <w:rFonts w:ascii="Arial" w:hAnsi="Arial" w:eastAsia="Times New Roman" w:cs="Arial"/>
                <w:sz w:val="18"/>
                <w:szCs w:val="18"/>
                <w:lang w:val="en-GB" w:eastAsia="en-GB"/>
              </w:rPr>
              <w:t>19</w:t>
            </w:r>
          </w:p>
        </w:tc>
        <w:tc>
          <w:tcPr>
            <w:tcW w:w="1822" w:type="dxa"/>
            <w:shd w:val="clear" w:color="auto" w:fill="auto"/>
          </w:tcPr>
          <w:p>
            <w:pPr>
              <w:spacing w:before="124" w:beforeLines="40" w:after="124" w:afterLines="40" w:line="24" w:lineRule="atLeast"/>
              <w:rPr>
                <w:rFonts w:ascii="Arial" w:hAnsi="Arial" w:eastAsia="Times New Roman" w:cs="Arial"/>
                <w:sz w:val="18"/>
                <w:szCs w:val="18"/>
                <w:lang w:val="en-GB" w:eastAsia="en-GB"/>
              </w:rPr>
            </w:pPr>
            <w:r>
              <w:rPr>
                <w:rFonts w:ascii="Arial" w:hAnsi="Arial" w:eastAsia="Times New Roman" w:cs="Arial"/>
                <w:b/>
                <w:bCs/>
                <w:sz w:val="18"/>
                <w:szCs w:val="18"/>
                <w:lang w:val="en-GB" w:eastAsia="en-GB"/>
              </w:rPr>
              <w:t>Data and data sharing </w:t>
            </w:r>
          </w:p>
        </w:tc>
        <w:tc>
          <w:tcPr>
            <w:tcW w:w="7041" w:type="dxa"/>
            <w:shd w:val="clear" w:color="auto" w:fill="auto"/>
          </w:tcPr>
          <w:p>
            <w:pPr>
              <w:widowControl/>
              <w:spacing w:before="124" w:beforeLines="40" w:after="124" w:afterLines="40" w:line="24" w:lineRule="atLeast"/>
              <w:jc w:val="left"/>
              <w:rPr>
                <w:rFonts w:ascii="Arial" w:hAnsi="Arial" w:eastAsia="Times New Roman" w:cs="Arial"/>
                <w:kern w:val="0"/>
                <w:sz w:val="18"/>
                <w:szCs w:val="18"/>
                <w:lang w:val="en-GB" w:eastAsia="en-GB"/>
                <w14:ligatures w14:val="none"/>
              </w:rPr>
            </w:pPr>
            <w:r>
              <w:rPr>
                <w:rFonts w:ascii="Arial" w:hAnsi="Arial" w:eastAsia="Times New Roman" w:cs="Arial"/>
                <w:kern w:val="0"/>
                <w:sz w:val="18"/>
                <w:szCs w:val="18"/>
                <w:lang w:val="en-GB" w:eastAsia="en-GB"/>
                <w14:ligatures w14:val="none"/>
              </w:rPr>
              <w:t>Provide the data used to perform all analyses or report where and how the data can be accessed, and reference these sources in the article. Provide the statistical code needed to reproduce the results in the article, or report whether the code is publicly accessible and if so, where</w:t>
            </w:r>
          </w:p>
        </w:tc>
        <w:tc>
          <w:tcPr>
            <w:tcW w:w="720" w:type="dxa"/>
          </w:tcPr>
          <w:p>
            <w:pPr>
              <w:widowControl/>
              <w:spacing w:before="124" w:beforeLines="40" w:after="124" w:afterLines="40" w:line="24" w:lineRule="atLeast"/>
              <w:jc w:val="left"/>
              <w:rPr>
                <w:rFonts w:ascii="Arial" w:hAnsi="Arial" w:eastAsia="Times New Roman" w:cs="Arial"/>
                <w:kern w:val="0"/>
                <w:sz w:val="18"/>
                <w:szCs w:val="18"/>
                <w14:ligatures w14:val="none"/>
              </w:rPr>
            </w:pPr>
            <w:r>
              <w:rPr>
                <w:rFonts w:ascii="Arial" w:hAnsi="Arial" w:eastAsia="Times New Roman" w:cs="Arial"/>
                <w:kern w:val="0"/>
                <w:sz w:val="18"/>
                <w:szCs w:val="18"/>
                <w14:ligatures w14:val="none"/>
              </w:rPr>
              <w:t>20</w:t>
            </w:r>
          </w:p>
        </w:tc>
        <w:tc>
          <w:tcPr>
            <w:tcW w:w="4320" w:type="dxa"/>
          </w:tcPr>
          <w:p>
            <w:pPr>
              <w:widowControl/>
              <w:spacing w:before="124" w:beforeLines="40" w:after="124" w:afterLines="40" w:line="24" w:lineRule="atLeast"/>
              <w:jc w:val="left"/>
              <w:rPr>
                <w:rFonts w:ascii="Arial" w:hAnsi="Arial" w:eastAsia="Times New Roman" w:cs="Arial"/>
                <w:kern w:val="0"/>
                <w:sz w:val="18"/>
                <w:szCs w:val="18"/>
                <w:lang w:val="en-GB" w:eastAsia="en-GB"/>
                <w14:ligatures w14:val="none"/>
              </w:rPr>
            </w:pPr>
            <w:r>
              <w:rPr>
                <w:rFonts w:ascii="Arial" w:hAnsi="Arial" w:eastAsia="Times New Roman" w:cs="Arial"/>
                <w:kern w:val="0"/>
                <w:sz w:val="18"/>
                <w:szCs w:val="18"/>
                <w:lang w:val="en-GB" w:eastAsia="en-GB"/>
                <w14:ligatures w14:val="none"/>
              </w:rPr>
              <w:t>The GWAS summary datasets for T1D (GWAS ID: ebi-a-GCST005536), T2D (GWAS ID: ebi-a-GCST006867), and IPF (GWAS ID: finn-b-IPF) are available through the ieu open gwas project (https://gwas.mrcieu.ac.uk/datasets).</w:t>
            </w:r>
          </w:p>
        </w:tc>
      </w:tr>
      <w:tr>
        <w:tblPrEx>
          <w:tblCellMar>
            <w:top w:w="0" w:type="dxa"/>
            <w:left w:w="108" w:type="dxa"/>
            <w:bottom w:w="0" w:type="dxa"/>
            <w:right w:w="108" w:type="dxa"/>
          </w:tblCellMar>
        </w:tblPrEx>
        <w:tc>
          <w:tcPr>
            <w:tcW w:w="587" w:type="dxa"/>
            <w:tcBorders>
              <w:bottom w:val="single" w:color="7F7F7F" w:sz="6" w:space="0"/>
            </w:tcBorders>
            <w:shd w:val="clear" w:color="auto" w:fill="EEEEEE"/>
          </w:tcPr>
          <w:p>
            <w:pPr>
              <w:spacing w:before="124" w:beforeLines="40" w:after="124" w:afterLines="40" w:line="24" w:lineRule="atLeast"/>
              <w:rPr>
                <w:rFonts w:ascii="Arial" w:hAnsi="Arial" w:eastAsia="Times New Roman" w:cs="Arial"/>
                <w:b/>
                <w:bCs/>
                <w:sz w:val="18"/>
                <w:szCs w:val="18"/>
                <w:lang w:val="en-GB" w:eastAsia="en-GB"/>
              </w:rPr>
            </w:pPr>
            <w:r>
              <w:rPr>
                <w:rFonts w:ascii="Arial" w:hAnsi="Arial" w:eastAsia="Times New Roman" w:cs="Arial"/>
                <w:sz w:val="18"/>
                <w:szCs w:val="18"/>
                <w:lang w:val="en-GB" w:eastAsia="en-GB"/>
              </w:rPr>
              <w:t>20</w:t>
            </w:r>
          </w:p>
        </w:tc>
        <w:tc>
          <w:tcPr>
            <w:tcW w:w="1822" w:type="dxa"/>
            <w:tcBorders>
              <w:bottom w:val="single" w:color="7F7F7F" w:sz="6" w:space="0"/>
            </w:tcBorders>
            <w:shd w:val="clear" w:color="auto" w:fill="EEEEEE"/>
          </w:tcPr>
          <w:p>
            <w:pPr>
              <w:spacing w:before="124" w:beforeLines="40" w:after="124" w:afterLines="40" w:line="24" w:lineRule="atLeast"/>
              <w:rPr>
                <w:rFonts w:ascii="Arial" w:hAnsi="Arial" w:eastAsia="Times New Roman" w:cs="Arial"/>
                <w:sz w:val="18"/>
                <w:szCs w:val="18"/>
                <w:lang w:val="en-GB" w:eastAsia="en-GB"/>
              </w:rPr>
            </w:pPr>
            <w:r>
              <w:rPr>
                <w:rFonts w:ascii="Arial" w:hAnsi="Arial" w:eastAsia="Times New Roman" w:cs="Arial"/>
                <w:b/>
                <w:bCs/>
                <w:sz w:val="18"/>
                <w:szCs w:val="18"/>
                <w:lang w:val="en-GB" w:eastAsia="en-GB"/>
              </w:rPr>
              <w:t>Conflicts of Interest  </w:t>
            </w:r>
          </w:p>
        </w:tc>
        <w:tc>
          <w:tcPr>
            <w:tcW w:w="7041" w:type="dxa"/>
            <w:tcBorders>
              <w:bottom w:val="single" w:color="7F7F7F" w:sz="6" w:space="0"/>
            </w:tcBorders>
            <w:shd w:val="clear" w:color="auto" w:fill="EEEEEE"/>
          </w:tcPr>
          <w:p>
            <w:pPr>
              <w:widowControl/>
              <w:spacing w:before="124" w:beforeLines="40" w:after="124" w:afterLines="40" w:line="24" w:lineRule="atLeast"/>
              <w:jc w:val="left"/>
              <w:rPr>
                <w:rFonts w:ascii="Arial" w:hAnsi="Arial" w:eastAsia="Times New Roman" w:cs="Arial"/>
                <w:kern w:val="0"/>
                <w:sz w:val="18"/>
                <w:szCs w:val="18"/>
                <w:lang w:val="en-GB" w:eastAsia="en-GB"/>
                <w14:ligatures w14:val="none"/>
              </w:rPr>
            </w:pPr>
            <w:r>
              <w:rPr>
                <w:rFonts w:ascii="Arial" w:hAnsi="Arial" w:eastAsia="Times New Roman" w:cs="Arial"/>
                <w:kern w:val="0"/>
                <w:sz w:val="18"/>
                <w:szCs w:val="18"/>
                <w:lang w:val="en-GB" w:eastAsia="en-GB"/>
                <w14:ligatures w14:val="none"/>
              </w:rPr>
              <w:t>All authors should declare all potential conflicts of interest</w:t>
            </w:r>
          </w:p>
        </w:tc>
        <w:tc>
          <w:tcPr>
            <w:tcW w:w="720" w:type="dxa"/>
            <w:tcBorders>
              <w:bottom w:val="single" w:color="7F7F7F" w:sz="6" w:space="0"/>
            </w:tcBorders>
            <w:shd w:val="clear" w:color="auto" w:fill="EEEEEE"/>
          </w:tcPr>
          <w:p>
            <w:pPr>
              <w:widowControl/>
              <w:spacing w:before="124" w:beforeLines="40" w:after="124" w:afterLines="40" w:line="24" w:lineRule="atLeast"/>
              <w:jc w:val="left"/>
              <w:rPr>
                <w:rFonts w:ascii="Arial" w:hAnsi="Arial" w:eastAsia="Times New Roman" w:cs="Arial"/>
                <w:kern w:val="0"/>
                <w:sz w:val="18"/>
                <w:szCs w:val="18"/>
                <w14:ligatures w14:val="none"/>
              </w:rPr>
            </w:pPr>
            <w:r>
              <w:rPr>
                <w:rFonts w:ascii="Arial" w:hAnsi="Arial" w:eastAsia="Times New Roman" w:cs="Arial"/>
                <w:kern w:val="0"/>
                <w:sz w:val="18"/>
                <w:szCs w:val="18"/>
                <w14:ligatures w14:val="none"/>
              </w:rPr>
              <w:t>20</w:t>
            </w:r>
          </w:p>
        </w:tc>
        <w:tc>
          <w:tcPr>
            <w:tcW w:w="4320" w:type="dxa"/>
            <w:tcBorders>
              <w:bottom w:val="single" w:color="7F7F7F" w:sz="6" w:space="0"/>
            </w:tcBorders>
            <w:shd w:val="clear" w:color="auto" w:fill="EEEEEE"/>
          </w:tcPr>
          <w:p>
            <w:pPr>
              <w:widowControl/>
              <w:spacing w:before="124" w:beforeLines="40" w:after="124" w:afterLines="40" w:line="24" w:lineRule="atLeast"/>
              <w:jc w:val="left"/>
              <w:rPr>
                <w:rFonts w:ascii="Arial" w:hAnsi="Arial" w:eastAsia="Times New Roman" w:cs="Arial"/>
                <w:kern w:val="0"/>
                <w:sz w:val="18"/>
                <w:szCs w:val="18"/>
                <w:lang w:val="en-GB" w:eastAsia="en-GB"/>
                <w14:ligatures w14:val="none"/>
              </w:rPr>
            </w:pPr>
            <w:r>
              <w:rPr>
                <w:rFonts w:ascii="Arial" w:hAnsi="Arial" w:eastAsia="Times New Roman" w:cs="Arial"/>
                <w:kern w:val="0"/>
                <w:sz w:val="18"/>
                <w:szCs w:val="18"/>
                <w:lang w:val="en-GB" w:eastAsia="en-GB"/>
                <w14:ligatures w14:val="none"/>
              </w:rPr>
              <w:t>The authors declare that they have no competing interests</w:t>
            </w:r>
          </w:p>
        </w:tc>
      </w:tr>
    </w:tbl>
    <w:p>
      <w:pPr>
        <w:spacing w:before="240" w:after="240"/>
        <w:rPr>
          <w:sz w:val="19"/>
          <w:szCs w:val="19"/>
        </w:rPr>
      </w:pPr>
      <w:r>
        <w:rPr>
          <w:sz w:val="19"/>
          <w:szCs w:val="19"/>
        </w:rPr>
        <w:t>This checklist is copyrighted by the Equator Network under the Creative Commons Attribution 3.0 Unported (CC BY 3.0) license.</w:t>
      </w:r>
    </w:p>
    <w:p>
      <w:pPr>
        <w:autoSpaceDE w:val="0"/>
        <w:autoSpaceDN w:val="0"/>
        <w:adjustRightInd w:val="0"/>
        <w:spacing w:before="240" w:after="240"/>
        <w:ind w:left="640" w:hanging="640"/>
        <w:rPr>
          <w:sz w:val="19"/>
          <w:szCs w:val="19"/>
        </w:rPr>
      </w:pPr>
      <w:r>
        <w:rPr>
          <w:sz w:val="19"/>
          <w:szCs w:val="19"/>
        </w:rPr>
        <w:fldChar w:fldCharType="begin" w:fldLock="1"/>
      </w:r>
      <w:r>
        <w:rPr>
          <w:sz w:val="19"/>
          <w:szCs w:val="19"/>
        </w:rPr>
        <w:instrText xml:space="preserve">ADDIN Mendeley Bibliography CSL_BIBLIOGRAPHY </w:instrText>
      </w:r>
      <w:r>
        <w:rPr>
          <w:sz w:val="19"/>
          <w:szCs w:val="19"/>
        </w:rPr>
        <w:fldChar w:fldCharType="separate"/>
      </w:r>
      <w:r>
        <w:rPr>
          <w:sz w:val="19"/>
          <w:szCs w:val="19"/>
        </w:rPr>
        <w:t xml:space="preserve">1. </w:t>
      </w:r>
      <w:r>
        <w:rPr>
          <w:sz w:val="19"/>
          <w:szCs w:val="19"/>
        </w:rPr>
        <w:tab/>
      </w:r>
      <w:r>
        <w:rPr>
          <w:sz w:val="19"/>
          <w:szCs w:val="19"/>
        </w:rPr>
        <w:t xml:space="preserve">Skrivankova VW, Richmond RC, Woolf BAR, Yarmolinsky J, Davies NM, Swanson SA, et al. Strengthening the Reporting of Observational Studies in Epidemiology using Mendelian Randomization (STROBE-MR) Statement. JAMA. 2021;under review. </w:t>
      </w:r>
    </w:p>
    <w:p>
      <w:pPr>
        <w:autoSpaceDE w:val="0"/>
        <w:autoSpaceDN w:val="0"/>
        <w:adjustRightInd w:val="0"/>
        <w:spacing w:before="240" w:after="240"/>
        <w:ind w:left="640" w:hanging="640"/>
        <w:rPr>
          <w:sz w:val="19"/>
          <w:szCs w:val="19"/>
        </w:rPr>
      </w:pPr>
      <w:r>
        <w:rPr>
          <w:sz w:val="19"/>
          <w:szCs w:val="19"/>
        </w:rPr>
        <w:t xml:space="preserve">2. </w:t>
      </w:r>
      <w:r>
        <w:rPr>
          <w:sz w:val="19"/>
          <w:szCs w:val="19"/>
        </w:rPr>
        <w:tab/>
      </w:r>
      <w:r>
        <w:rPr>
          <w:sz w:val="19"/>
          <w:szCs w:val="19"/>
        </w:rPr>
        <w:t xml:space="preserve">Skrivankova VW, Richmond RC, Woolf BAR, Davies NM, Swanson SA, VanderWeele TJ, et al. Strengthening the Reporting of Observational Studies in Epidemiology using Mendelian Randomisation (STROBE-MR): Explanation and Elaboration. BMJ. 2021;375:n2233. </w:t>
      </w:r>
    </w:p>
    <w:p>
      <w:pPr>
        <w:rPr>
          <w:sz w:val="19"/>
          <w:szCs w:val="19"/>
        </w:rPr>
        <w:sectPr>
          <w:pgSz w:w="16838" w:h="11906" w:orient="landscape"/>
          <w:pgMar w:top="1800" w:right="1440" w:bottom="1800" w:left="1440" w:header="851" w:footer="992" w:gutter="0"/>
          <w:cols w:space="425" w:num="1"/>
          <w:docGrid w:type="lines" w:linePitch="312" w:charSpace="0"/>
        </w:sectPr>
      </w:pPr>
      <w:r>
        <w:rPr>
          <w:sz w:val="19"/>
          <w:szCs w:val="19"/>
        </w:rPr>
        <w:fldChar w:fldCharType="end"/>
      </w:r>
    </w:p>
    <w:p>
      <w:pPr>
        <w:rPr>
          <w:rFonts w:ascii="Times New Roman" w:hAnsi="Times New Roman"/>
          <w:b/>
          <w:bCs/>
          <w:color w:val="000000"/>
          <w:sz w:val="20"/>
          <w:szCs w:val="20"/>
        </w:rPr>
      </w:pPr>
      <w:r>
        <w:rPr>
          <w:rFonts w:ascii="Times New Roman" w:hAnsi="Times New Roman"/>
          <w:b/>
          <w:bCs/>
          <w:sz w:val="20"/>
          <w:szCs w:val="20"/>
        </w:rPr>
        <w:t>Supplementary</w:t>
      </w:r>
      <w:r>
        <w:rPr>
          <w:rFonts w:ascii="Times New Roman" w:hAnsi="Times New Roman"/>
          <w:b/>
          <w:bCs/>
          <w:color w:val="000000"/>
          <w:sz w:val="20"/>
          <w:szCs w:val="20"/>
        </w:rPr>
        <w:t xml:space="preserve"> </w:t>
      </w:r>
      <w:r>
        <w:rPr>
          <w:rFonts w:hint="eastAsia" w:ascii="Times New Roman" w:hAnsi="Times New Roman"/>
          <w:b/>
          <w:bCs/>
          <w:color w:val="000000"/>
          <w:sz w:val="20"/>
          <w:szCs w:val="20"/>
        </w:rPr>
        <w:t xml:space="preserve">File. </w:t>
      </w:r>
      <w:r>
        <w:rPr>
          <w:rFonts w:hint="default" w:ascii="Times New Roman" w:hAnsi="Times New Roman" w:cs="Times New Roman"/>
          <w:sz w:val="20"/>
          <w:szCs w:val="20"/>
        </w:rPr>
        <w:t>The main</w:t>
      </w:r>
      <w:r>
        <w:rPr>
          <w:rFonts w:hint="default" w:ascii="Times New Roman" w:hAnsi="Times New Roman" w:cs="Times New Roman"/>
          <w:b/>
          <w:bCs/>
          <w:sz w:val="20"/>
          <w:szCs w:val="20"/>
        </w:rPr>
        <w:t xml:space="preserve"> </w:t>
      </w:r>
      <w:r>
        <w:rPr>
          <w:rFonts w:hint="default" w:ascii="Times New Roman" w:hAnsi="Times New Roman" w:cs="Times New Roman"/>
          <w:sz w:val="20"/>
          <w:szCs w:val="20"/>
        </w:rPr>
        <w:t>code used in the MR analyses.</w:t>
      </w:r>
    </w:p>
    <w:p>
      <w:pPr>
        <w:spacing w:line="240" w:lineRule="exact"/>
        <w:rPr>
          <w:rFonts w:ascii="Arial" w:hAnsi="Arial" w:eastAsia="等线" w:cs="Arial"/>
          <w:sz w:val="18"/>
          <w:szCs w:val="18"/>
        </w:rPr>
      </w:pPr>
      <w:r>
        <w:rPr>
          <w:rFonts w:ascii="Arial" w:hAnsi="Arial" w:eastAsia="等线" w:cs="Arial"/>
          <w:sz w:val="18"/>
          <w:szCs w:val="18"/>
        </w:rPr>
        <w:t>library("devtools")</w:t>
      </w:r>
      <w:bookmarkStart w:id="5" w:name="_GoBack"/>
      <w:bookmarkEnd w:id="5"/>
    </w:p>
    <w:p>
      <w:pPr>
        <w:spacing w:line="240" w:lineRule="exact"/>
        <w:rPr>
          <w:rFonts w:ascii="Arial" w:hAnsi="Arial" w:eastAsia="等线" w:cs="Arial"/>
          <w:sz w:val="18"/>
          <w:szCs w:val="18"/>
        </w:rPr>
      </w:pPr>
      <w:r>
        <w:rPr>
          <w:rFonts w:ascii="Arial" w:hAnsi="Arial" w:eastAsia="等线" w:cs="Arial"/>
          <w:sz w:val="18"/>
          <w:szCs w:val="18"/>
        </w:rPr>
        <w:t>library(TwoSampleMR)</w:t>
      </w:r>
    </w:p>
    <w:p>
      <w:pPr>
        <w:spacing w:line="240" w:lineRule="exact"/>
        <w:rPr>
          <w:rFonts w:ascii="Arial" w:hAnsi="Arial" w:eastAsia="等线" w:cs="Arial"/>
          <w:sz w:val="18"/>
          <w:szCs w:val="18"/>
        </w:rPr>
      </w:pPr>
      <w:r>
        <w:rPr>
          <w:rFonts w:ascii="Arial" w:hAnsi="Arial" w:eastAsia="等线" w:cs="Arial"/>
          <w:sz w:val="18"/>
          <w:szCs w:val="18"/>
        </w:rPr>
        <w:t>t1d_exp_dat &lt;- extract_instruments(outcomes='ebi-a-GCST005536')</w:t>
      </w:r>
    </w:p>
    <w:p>
      <w:pPr>
        <w:spacing w:line="240" w:lineRule="exact"/>
        <w:rPr>
          <w:rFonts w:ascii="Arial" w:hAnsi="Arial" w:eastAsia="等线" w:cs="Arial"/>
          <w:sz w:val="18"/>
          <w:szCs w:val="18"/>
        </w:rPr>
      </w:pPr>
      <w:r>
        <w:rPr>
          <w:rFonts w:ascii="Arial" w:hAnsi="Arial" w:eastAsia="等线" w:cs="Arial"/>
          <w:sz w:val="18"/>
          <w:szCs w:val="18"/>
        </w:rPr>
        <w:t>t1d_exp_dat&lt;-extract_instruments(outcomes='ebi-a-GCST005536',</w:t>
      </w:r>
    </w:p>
    <w:p>
      <w:pPr>
        <w:spacing w:line="240" w:lineRule="exact"/>
        <w:rPr>
          <w:rFonts w:ascii="Arial" w:hAnsi="Arial" w:eastAsia="等线" w:cs="Arial"/>
          <w:sz w:val="18"/>
          <w:szCs w:val="18"/>
        </w:rPr>
      </w:pPr>
      <w:r>
        <w:rPr>
          <w:rFonts w:ascii="Arial" w:hAnsi="Arial" w:eastAsia="等线" w:cs="Arial"/>
          <w:sz w:val="18"/>
          <w:szCs w:val="18"/>
        </w:rPr>
        <w:t xml:space="preserve">                            clump=TRUE, r2=0.001,</w:t>
      </w:r>
    </w:p>
    <w:p>
      <w:pPr>
        <w:spacing w:line="240" w:lineRule="exact"/>
        <w:rPr>
          <w:rFonts w:ascii="Arial" w:hAnsi="Arial" w:eastAsia="等线" w:cs="Arial"/>
          <w:sz w:val="18"/>
          <w:szCs w:val="18"/>
        </w:rPr>
      </w:pPr>
      <w:r>
        <w:rPr>
          <w:rFonts w:ascii="Arial" w:hAnsi="Arial" w:eastAsia="等线" w:cs="Arial"/>
          <w:sz w:val="18"/>
          <w:szCs w:val="18"/>
        </w:rPr>
        <w:t xml:space="preserve">                           kb=10000,access_token = NULL, p1=5e-8)</w:t>
      </w:r>
    </w:p>
    <w:p>
      <w:pPr>
        <w:spacing w:line="240" w:lineRule="exact"/>
        <w:rPr>
          <w:rFonts w:ascii="Arial" w:hAnsi="Arial" w:eastAsia="等线" w:cs="Arial"/>
          <w:sz w:val="18"/>
          <w:szCs w:val="18"/>
        </w:rPr>
      </w:pPr>
      <w:r>
        <w:rPr>
          <w:rFonts w:ascii="Arial" w:hAnsi="Arial" w:eastAsia="等线" w:cs="Arial"/>
          <w:sz w:val="18"/>
          <w:szCs w:val="18"/>
        </w:rPr>
        <w:t>ipf_out_dat &lt;- extract_outcome_data(snps = t1d_exp_dat$SNP, outcomes = 'finn-b-IPF')</w:t>
      </w:r>
    </w:p>
    <w:p>
      <w:pPr>
        <w:spacing w:line="240" w:lineRule="exact"/>
        <w:rPr>
          <w:rFonts w:ascii="Arial" w:hAnsi="Arial" w:eastAsia="等线" w:cs="Arial"/>
          <w:sz w:val="18"/>
          <w:szCs w:val="18"/>
        </w:rPr>
      </w:pPr>
      <w:r>
        <w:rPr>
          <w:rFonts w:ascii="Arial" w:hAnsi="Arial" w:eastAsia="等线" w:cs="Arial"/>
          <w:sz w:val="18"/>
          <w:szCs w:val="18"/>
        </w:rPr>
        <w:t>dat &lt;- harmonise_data(t1d_exp_dat, ipf_out_dat)</w:t>
      </w:r>
    </w:p>
    <w:p>
      <w:pPr>
        <w:spacing w:line="240" w:lineRule="exact"/>
        <w:rPr>
          <w:rFonts w:ascii="Arial" w:hAnsi="Arial" w:eastAsia="等线" w:cs="Arial"/>
          <w:sz w:val="18"/>
          <w:szCs w:val="18"/>
        </w:rPr>
      </w:pPr>
      <w:r>
        <w:rPr>
          <w:rFonts w:ascii="Arial" w:hAnsi="Arial" w:eastAsia="等线" w:cs="Arial"/>
          <w:sz w:val="18"/>
          <w:szCs w:val="18"/>
        </w:rPr>
        <w:t>dat$se.outcome=sqrt(((dat$beta.outcome)^2)/qchisq(dat$pval.outcome,1,lower.tail=F))</w:t>
      </w:r>
    </w:p>
    <w:p>
      <w:pPr>
        <w:spacing w:line="240" w:lineRule="exact"/>
        <w:rPr>
          <w:rFonts w:ascii="Arial" w:hAnsi="Arial" w:eastAsia="等线" w:cs="Arial"/>
          <w:sz w:val="18"/>
          <w:szCs w:val="18"/>
        </w:rPr>
      </w:pPr>
      <w:r>
        <w:rPr>
          <w:rFonts w:ascii="Arial" w:hAnsi="Arial" w:eastAsia="等线" w:cs="Arial"/>
          <w:sz w:val="18"/>
          <w:szCs w:val="18"/>
        </w:rPr>
        <w:t>mr(dat)</w:t>
      </w:r>
    </w:p>
    <w:p>
      <w:pPr>
        <w:spacing w:line="240" w:lineRule="exact"/>
        <w:rPr>
          <w:rFonts w:ascii="Arial" w:hAnsi="Arial" w:eastAsia="等线" w:cs="Arial"/>
          <w:sz w:val="18"/>
          <w:szCs w:val="18"/>
        </w:rPr>
      </w:pPr>
      <w:r>
        <w:rPr>
          <w:rFonts w:ascii="Arial" w:hAnsi="Arial" w:eastAsia="等线" w:cs="Arial"/>
          <w:sz w:val="18"/>
          <w:szCs w:val="18"/>
        </w:rPr>
        <w:t>res &lt;- mr(dat)</w:t>
      </w:r>
    </w:p>
    <w:p>
      <w:pPr>
        <w:spacing w:line="240" w:lineRule="exact"/>
        <w:rPr>
          <w:rFonts w:ascii="Arial" w:hAnsi="Arial" w:eastAsia="等线" w:cs="Arial"/>
          <w:sz w:val="18"/>
          <w:szCs w:val="18"/>
        </w:rPr>
      </w:pPr>
      <w:r>
        <w:rPr>
          <w:rFonts w:ascii="Arial" w:hAnsi="Arial" w:eastAsia="等线" w:cs="Arial"/>
          <w:sz w:val="18"/>
          <w:szCs w:val="18"/>
        </w:rPr>
        <w:t>generate_odds_ratios(res)</w:t>
      </w:r>
    </w:p>
    <w:p>
      <w:pPr>
        <w:spacing w:line="240" w:lineRule="exact"/>
        <w:rPr>
          <w:rFonts w:ascii="Arial" w:hAnsi="Arial" w:eastAsia="等线" w:cs="Arial"/>
          <w:sz w:val="18"/>
          <w:szCs w:val="18"/>
        </w:rPr>
      </w:pPr>
      <w:r>
        <w:rPr>
          <w:rFonts w:ascii="Arial" w:hAnsi="Arial" w:eastAsia="等线" w:cs="Arial"/>
          <w:sz w:val="18"/>
          <w:szCs w:val="18"/>
        </w:rPr>
        <w:t>mr_heterogeneity(dat)</w:t>
      </w:r>
    </w:p>
    <w:p>
      <w:pPr>
        <w:spacing w:line="240" w:lineRule="exact"/>
        <w:rPr>
          <w:rFonts w:ascii="Arial" w:hAnsi="Arial" w:eastAsia="等线" w:cs="Arial"/>
          <w:sz w:val="18"/>
          <w:szCs w:val="18"/>
        </w:rPr>
      </w:pPr>
      <w:r>
        <w:rPr>
          <w:rFonts w:ascii="Arial" w:hAnsi="Arial" w:eastAsia="等线" w:cs="Arial"/>
          <w:sz w:val="18"/>
          <w:szCs w:val="18"/>
        </w:rPr>
        <w:t>mr_heterogeneity(dat, method_list=c("mr_egger_regression", "mr_ivw"))</w:t>
      </w:r>
    </w:p>
    <w:p>
      <w:pPr>
        <w:spacing w:line="240" w:lineRule="exact"/>
        <w:rPr>
          <w:rFonts w:ascii="Arial" w:hAnsi="Arial" w:eastAsia="等线" w:cs="Arial"/>
          <w:sz w:val="18"/>
          <w:szCs w:val="18"/>
        </w:rPr>
      </w:pPr>
      <w:r>
        <w:rPr>
          <w:rFonts w:ascii="Arial" w:hAnsi="Arial" w:eastAsia="等线" w:cs="Arial"/>
          <w:sz w:val="18"/>
          <w:szCs w:val="18"/>
        </w:rPr>
        <w:t>pleio&lt;-mr_pleiotropy_test(dat)</w:t>
      </w:r>
    </w:p>
    <w:p>
      <w:pPr>
        <w:spacing w:line="240" w:lineRule="exact"/>
        <w:rPr>
          <w:rFonts w:ascii="Arial" w:hAnsi="Arial" w:eastAsia="等线" w:cs="Arial"/>
          <w:sz w:val="18"/>
          <w:szCs w:val="18"/>
        </w:rPr>
      </w:pPr>
      <w:r>
        <w:rPr>
          <w:rFonts w:ascii="Arial" w:hAnsi="Arial" w:eastAsia="等线" w:cs="Arial"/>
          <w:sz w:val="18"/>
          <w:szCs w:val="18"/>
        </w:rPr>
        <w:t>res_single &lt;- mr_singlesnp(dat)</w:t>
      </w:r>
    </w:p>
    <w:p>
      <w:pPr>
        <w:spacing w:line="240" w:lineRule="exact"/>
        <w:rPr>
          <w:rFonts w:ascii="Arial" w:hAnsi="Arial" w:eastAsia="等线" w:cs="Arial"/>
          <w:sz w:val="18"/>
          <w:szCs w:val="18"/>
        </w:rPr>
      </w:pPr>
      <w:r>
        <w:rPr>
          <w:rFonts w:ascii="Arial" w:hAnsi="Arial" w:eastAsia="等线" w:cs="Arial"/>
          <w:sz w:val="18"/>
          <w:szCs w:val="18"/>
        </w:rPr>
        <w:t>res_loo &lt;- mr_leaveoneout(dat)</w:t>
      </w:r>
    </w:p>
    <w:p>
      <w:pPr>
        <w:spacing w:line="240" w:lineRule="exact"/>
        <w:rPr>
          <w:rFonts w:ascii="Arial" w:hAnsi="Arial" w:eastAsia="等线" w:cs="Arial"/>
          <w:sz w:val="18"/>
          <w:szCs w:val="18"/>
        </w:rPr>
      </w:pPr>
      <w:r>
        <w:rPr>
          <w:rFonts w:ascii="Arial" w:hAnsi="Arial" w:eastAsia="等线" w:cs="Arial"/>
          <w:sz w:val="18"/>
          <w:szCs w:val="18"/>
        </w:rPr>
        <w:t>head(res)</w:t>
      </w:r>
    </w:p>
    <w:p>
      <w:pPr>
        <w:spacing w:line="240" w:lineRule="exact"/>
        <w:rPr>
          <w:rFonts w:ascii="Arial" w:hAnsi="Arial" w:eastAsia="等线" w:cs="Arial"/>
          <w:sz w:val="18"/>
          <w:szCs w:val="18"/>
        </w:rPr>
      </w:pPr>
      <w:r>
        <w:rPr>
          <w:rFonts w:ascii="Arial" w:hAnsi="Arial" w:eastAsia="等线" w:cs="Arial"/>
          <w:sz w:val="18"/>
          <w:szCs w:val="18"/>
        </w:rPr>
        <w:t>generate_odds_ratios(res)</w:t>
      </w:r>
    </w:p>
    <w:p>
      <w:pPr>
        <w:spacing w:line="240" w:lineRule="exact"/>
        <w:rPr>
          <w:rFonts w:ascii="Arial" w:hAnsi="Arial" w:eastAsia="等线" w:cs="Arial"/>
          <w:sz w:val="18"/>
          <w:szCs w:val="18"/>
        </w:rPr>
      </w:pPr>
      <w:r>
        <w:rPr>
          <w:rFonts w:ascii="Arial" w:hAnsi="Arial" w:eastAsia="等线" w:cs="Arial"/>
          <w:sz w:val="18"/>
          <w:szCs w:val="18"/>
        </w:rPr>
        <w:t>res&lt;-mr(dat)</w:t>
      </w:r>
    </w:p>
    <w:p>
      <w:pPr>
        <w:spacing w:line="240" w:lineRule="exact"/>
        <w:rPr>
          <w:rFonts w:ascii="Arial" w:hAnsi="Arial" w:eastAsia="等线" w:cs="Arial"/>
          <w:sz w:val="18"/>
          <w:szCs w:val="18"/>
        </w:rPr>
      </w:pPr>
      <w:r>
        <w:rPr>
          <w:rFonts w:ascii="Arial" w:hAnsi="Arial" w:eastAsia="等线" w:cs="Arial"/>
          <w:sz w:val="18"/>
          <w:szCs w:val="18"/>
        </w:rPr>
        <w:t>write.csv(dat,"t1ddata.csv")</w:t>
      </w:r>
    </w:p>
    <w:p>
      <w:pPr>
        <w:spacing w:line="240" w:lineRule="exact"/>
        <w:rPr>
          <w:rFonts w:ascii="Arial" w:hAnsi="Arial" w:eastAsia="等线" w:cs="Arial"/>
          <w:sz w:val="18"/>
          <w:szCs w:val="18"/>
        </w:rPr>
      </w:pPr>
      <w:r>
        <w:rPr>
          <w:rFonts w:ascii="Arial" w:hAnsi="Arial" w:eastAsia="等线" w:cs="Arial"/>
          <w:sz w:val="18"/>
          <w:szCs w:val="18"/>
        </w:rPr>
        <w:t>write.csv(res,"t1dresult.csv")</w:t>
      </w:r>
    </w:p>
    <w:p>
      <w:pPr>
        <w:spacing w:line="240" w:lineRule="exact"/>
        <w:rPr>
          <w:rFonts w:ascii="Arial" w:hAnsi="Arial" w:eastAsia="等线" w:cs="Arial"/>
          <w:sz w:val="18"/>
          <w:szCs w:val="18"/>
        </w:rPr>
      </w:pPr>
      <w:r>
        <w:rPr>
          <w:rFonts w:ascii="Arial" w:hAnsi="Arial" w:eastAsia="等线" w:cs="Arial"/>
          <w:sz w:val="18"/>
          <w:szCs w:val="18"/>
        </w:rPr>
        <w:t>res &lt;- mr(dat)</w:t>
      </w:r>
    </w:p>
    <w:p>
      <w:pPr>
        <w:spacing w:line="240" w:lineRule="exact"/>
        <w:rPr>
          <w:rFonts w:ascii="Arial" w:hAnsi="Arial" w:eastAsia="等线" w:cs="Arial"/>
          <w:sz w:val="18"/>
          <w:szCs w:val="18"/>
        </w:rPr>
      </w:pPr>
      <w:r>
        <w:rPr>
          <w:rFonts w:ascii="Arial" w:hAnsi="Arial" w:eastAsia="等线" w:cs="Arial"/>
          <w:sz w:val="18"/>
          <w:szCs w:val="18"/>
        </w:rPr>
        <w:t>p1 &lt;- mr_scatter_plot(res, dat)</w:t>
      </w:r>
    </w:p>
    <w:p>
      <w:pPr>
        <w:spacing w:line="240" w:lineRule="exact"/>
        <w:rPr>
          <w:rFonts w:ascii="Arial" w:hAnsi="Arial" w:eastAsia="等线" w:cs="Arial"/>
          <w:sz w:val="18"/>
          <w:szCs w:val="18"/>
        </w:rPr>
      </w:pPr>
      <w:r>
        <w:rPr>
          <w:rFonts w:ascii="Arial" w:hAnsi="Arial" w:eastAsia="等线" w:cs="Arial"/>
          <w:sz w:val="18"/>
          <w:szCs w:val="18"/>
        </w:rPr>
        <w:t>p1[[1]]</w:t>
      </w:r>
    </w:p>
    <w:p>
      <w:pPr>
        <w:spacing w:line="240" w:lineRule="exact"/>
        <w:rPr>
          <w:rFonts w:ascii="Arial" w:hAnsi="Arial" w:eastAsia="等线" w:cs="Arial"/>
          <w:sz w:val="18"/>
          <w:szCs w:val="18"/>
        </w:rPr>
      </w:pPr>
      <w:r>
        <w:rPr>
          <w:rFonts w:ascii="Arial" w:hAnsi="Arial" w:eastAsia="等线" w:cs="Arial"/>
          <w:sz w:val="18"/>
          <w:szCs w:val="18"/>
        </w:rPr>
        <w:t>length(p1)</w:t>
      </w:r>
    </w:p>
    <w:p>
      <w:pPr>
        <w:spacing w:line="240" w:lineRule="exact"/>
        <w:rPr>
          <w:rFonts w:ascii="Arial" w:hAnsi="Arial" w:eastAsia="等线" w:cs="Arial"/>
          <w:sz w:val="18"/>
          <w:szCs w:val="18"/>
        </w:rPr>
      </w:pPr>
      <w:r>
        <w:rPr>
          <w:rFonts w:ascii="Arial" w:hAnsi="Arial" w:eastAsia="等线" w:cs="Arial"/>
          <w:sz w:val="18"/>
          <w:szCs w:val="18"/>
        </w:rPr>
        <w:t>ggsave(p1[[1]], file="t1dscatter.png", width=7, height=7)</w:t>
      </w:r>
    </w:p>
    <w:p>
      <w:pPr>
        <w:spacing w:line="240" w:lineRule="exact"/>
        <w:rPr>
          <w:rFonts w:ascii="Arial" w:hAnsi="Arial" w:eastAsia="等线" w:cs="Arial"/>
          <w:sz w:val="18"/>
          <w:szCs w:val="18"/>
        </w:rPr>
      </w:pPr>
      <w:r>
        <w:rPr>
          <w:rFonts w:ascii="Arial" w:hAnsi="Arial" w:eastAsia="等线" w:cs="Arial"/>
          <w:sz w:val="18"/>
          <w:szCs w:val="18"/>
        </w:rPr>
        <w:t>res_single &lt;- mr_singlesnp(dat)</w:t>
      </w:r>
    </w:p>
    <w:p>
      <w:pPr>
        <w:spacing w:line="240" w:lineRule="exact"/>
        <w:rPr>
          <w:rFonts w:ascii="Arial" w:hAnsi="Arial" w:eastAsia="等线" w:cs="Arial"/>
          <w:sz w:val="18"/>
          <w:szCs w:val="18"/>
        </w:rPr>
      </w:pPr>
      <w:r>
        <w:rPr>
          <w:rFonts w:ascii="Arial" w:hAnsi="Arial" w:eastAsia="等线" w:cs="Arial"/>
          <w:sz w:val="18"/>
          <w:szCs w:val="18"/>
        </w:rPr>
        <w:t>p2 &lt;- mr_forest_plot(res_single)</w:t>
      </w:r>
    </w:p>
    <w:p>
      <w:pPr>
        <w:spacing w:line="240" w:lineRule="exact"/>
        <w:rPr>
          <w:rFonts w:ascii="Arial" w:hAnsi="Arial" w:eastAsia="等线" w:cs="Arial"/>
          <w:sz w:val="18"/>
          <w:szCs w:val="18"/>
        </w:rPr>
      </w:pPr>
      <w:r>
        <w:rPr>
          <w:rFonts w:ascii="Arial" w:hAnsi="Arial" w:eastAsia="等线" w:cs="Arial"/>
          <w:sz w:val="18"/>
          <w:szCs w:val="18"/>
        </w:rPr>
        <w:t>p2[[1]]</w:t>
      </w:r>
    </w:p>
    <w:p>
      <w:pPr>
        <w:spacing w:line="240" w:lineRule="exact"/>
        <w:rPr>
          <w:rFonts w:ascii="Arial" w:hAnsi="Arial" w:eastAsia="等线" w:cs="Arial"/>
          <w:sz w:val="18"/>
          <w:szCs w:val="18"/>
        </w:rPr>
      </w:pPr>
      <w:r>
        <w:rPr>
          <w:rFonts w:ascii="Arial" w:hAnsi="Arial" w:eastAsia="等线" w:cs="Arial"/>
          <w:sz w:val="18"/>
          <w:szCs w:val="18"/>
        </w:rPr>
        <w:t>ggsave(p2[[1]], file="t1dforest.png", width=7, height=7)</w:t>
      </w:r>
    </w:p>
    <w:p>
      <w:pPr>
        <w:spacing w:line="240" w:lineRule="exact"/>
        <w:rPr>
          <w:rFonts w:ascii="Arial" w:hAnsi="Arial" w:eastAsia="等线" w:cs="Arial"/>
          <w:sz w:val="18"/>
          <w:szCs w:val="18"/>
        </w:rPr>
      </w:pPr>
      <w:r>
        <w:rPr>
          <w:rFonts w:ascii="Arial" w:hAnsi="Arial" w:eastAsia="等线" w:cs="Arial"/>
          <w:sz w:val="18"/>
          <w:szCs w:val="18"/>
        </w:rPr>
        <w:t>res_loo &lt;- mr_leaveoneout(dat)</w:t>
      </w:r>
    </w:p>
    <w:p>
      <w:pPr>
        <w:spacing w:line="240" w:lineRule="exact"/>
        <w:rPr>
          <w:rFonts w:ascii="Arial" w:hAnsi="Arial" w:eastAsia="等线" w:cs="Arial"/>
          <w:sz w:val="18"/>
          <w:szCs w:val="18"/>
        </w:rPr>
      </w:pPr>
      <w:r>
        <w:rPr>
          <w:rFonts w:ascii="Arial" w:hAnsi="Arial" w:eastAsia="等线" w:cs="Arial"/>
          <w:sz w:val="18"/>
          <w:szCs w:val="18"/>
        </w:rPr>
        <w:t>p3 &lt;- mr_leaveoneout_plot(res_loo)</w:t>
      </w:r>
    </w:p>
    <w:p>
      <w:pPr>
        <w:spacing w:line="240" w:lineRule="exact"/>
        <w:rPr>
          <w:rFonts w:ascii="Arial" w:hAnsi="Arial" w:eastAsia="等线" w:cs="Arial"/>
          <w:sz w:val="18"/>
          <w:szCs w:val="18"/>
        </w:rPr>
      </w:pPr>
      <w:r>
        <w:rPr>
          <w:rFonts w:ascii="Arial" w:hAnsi="Arial" w:eastAsia="等线" w:cs="Arial"/>
          <w:sz w:val="18"/>
          <w:szCs w:val="18"/>
        </w:rPr>
        <w:t>p3[[1]]</w:t>
      </w:r>
    </w:p>
    <w:p>
      <w:pPr>
        <w:spacing w:line="240" w:lineRule="exact"/>
        <w:rPr>
          <w:rFonts w:ascii="Arial" w:hAnsi="Arial" w:eastAsia="等线" w:cs="Arial"/>
          <w:sz w:val="18"/>
          <w:szCs w:val="18"/>
        </w:rPr>
      </w:pPr>
      <w:r>
        <w:rPr>
          <w:rFonts w:ascii="Arial" w:hAnsi="Arial" w:eastAsia="等线" w:cs="Arial"/>
          <w:sz w:val="18"/>
          <w:szCs w:val="18"/>
        </w:rPr>
        <w:t>ggsave(p3[[1]], file="t1dleaveoneout.png", width=7, height=7)</w:t>
      </w:r>
    </w:p>
    <w:p>
      <w:pPr>
        <w:spacing w:line="240" w:lineRule="exact"/>
        <w:rPr>
          <w:rFonts w:ascii="Arial" w:hAnsi="Arial" w:eastAsia="等线" w:cs="Arial"/>
          <w:sz w:val="18"/>
          <w:szCs w:val="18"/>
        </w:rPr>
      </w:pPr>
      <w:r>
        <w:rPr>
          <w:rFonts w:ascii="Arial" w:hAnsi="Arial" w:eastAsia="等线" w:cs="Arial"/>
          <w:sz w:val="18"/>
          <w:szCs w:val="18"/>
        </w:rPr>
        <w:t>res_single &lt;- mr_singlesnp(dat)</w:t>
      </w:r>
    </w:p>
    <w:p>
      <w:pPr>
        <w:spacing w:line="240" w:lineRule="exact"/>
        <w:rPr>
          <w:rFonts w:ascii="Arial" w:hAnsi="Arial" w:eastAsia="等线" w:cs="Arial"/>
          <w:sz w:val="18"/>
          <w:szCs w:val="18"/>
        </w:rPr>
      </w:pPr>
      <w:r>
        <w:rPr>
          <w:rFonts w:ascii="Arial" w:hAnsi="Arial" w:eastAsia="等线" w:cs="Arial"/>
          <w:sz w:val="18"/>
          <w:szCs w:val="18"/>
        </w:rPr>
        <w:t>p4 &lt;- mr_funnel_plot(res_single)</w:t>
      </w:r>
    </w:p>
    <w:p>
      <w:pPr>
        <w:spacing w:line="240" w:lineRule="exact"/>
        <w:rPr>
          <w:rFonts w:ascii="Arial" w:hAnsi="Arial" w:eastAsia="等线" w:cs="Arial"/>
          <w:sz w:val="18"/>
          <w:szCs w:val="18"/>
        </w:rPr>
      </w:pPr>
      <w:r>
        <w:rPr>
          <w:rFonts w:ascii="Arial" w:hAnsi="Arial" w:eastAsia="等线" w:cs="Arial"/>
          <w:sz w:val="18"/>
          <w:szCs w:val="18"/>
        </w:rPr>
        <w:t>p4[[1]]</w:t>
      </w:r>
    </w:p>
    <w:p>
      <w:pPr>
        <w:spacing w:line="240" w:lineRule="exact"/>
        <w:rPr>
          <w:rFonts w:ascii="Arial" w:hAnsi="Arial" w:eastAsia="等线" w:cs="Arial"/>
          <w:sz w:val="18"/>
          <w:szCs w:val="18"/>
        </w:rPr>
      </w:pPr>
      <w:r>
        <w:rPr>
          <w:rFonts w:ascii="Arial" w:hAnsi="Arial" w:eastAsia="等线" w:cs="Arial"/>
          <w:sz w:val="18"/>
          <w:szCs w:val="18"/>
        </w:rPr>
        <w:t>ggsave(p4[[1]], file="t1dfunnel.png", width=7, height=7)</w:t>
      </w:r>
    </w:p>
    <w:p>
      <w:pPr>
        <w:spacing w:line="240" w:lineRule="exact"/>
        <w:rPr>
          <w:rFonts w:ascii="Arial" w:hAnsi="Arial" w:eastAsia="等线" w:cs="Arial"/>
          <w:sz w:val="18"/>
          <w:szCs w:val="18"/>
        </w:rPr>
      </w:pPr>
    </w:p>
    <w:p>
      <w:pPr>
        <w:spacing w:line="240" w:lineRule="exact"/>
        <w:rPr>
          <w:rFonts w:ascii="Arial" w:hAnsi="Arial" w:eastAsia="等线" w:cs="Arial"/>
          <w:sz w:val="18"/>
          <w:szCs w:val="18"/>
        </w:rPr>
      </w:pPr>
      <w:r>
        <w:rPr>
          <w:rFonts w:ascii="Arial" w:hAnsi="Arial" w:eastAsia="等线" w:cs="Arial"/>
          <w:sz w:val="18"/>
          <w:szCs w:val="18"/>
        </w:rPr>
        <w:t>library("devtools")</w:t>
      </w:r>
    </w:p>
    <w:p>
      <w:pPr>
        <w:spacing w:line="240" w:lineRule="exact"/>
        <w:rPr>
          <w:rFonts w:ascii="Arial" w:hAnsi="Arial" w:eastAsia="等线" w:cs="Arial"/>
          <w:sz w:val="18"/>
          <w:szCs w:val="18"/>
        </w:rPr>
      </w:pPr>
      <w:r>
        <w:rPr>
          <w:rFonts w:ascii="Arial" w:hAnsi="Arial" w:eastAsia="等线" w:cs="Arial"/>
          <w:sz w:val="18"/>
          <w:szCs w:val="18"/>
        </w:rPr>
        <w:t>library(TwoSampleMR)</w:t>
      </w:r>
    </w:p>
    <w:p>
      <w:pPr>
        <w:spacing w:line="240" w:lineRule="exact"/>
        <w:rPr>
          <w:rFonts w:ascii="Arial" w:hAnsi="Arial" w:eastAsia="等线" w:cs="Arial"/>
          <w:sz w:val="18"/>
          <w:szCs w:val="18"/>
        </w:rPr>
      </w:pPr>
      <w:r>
        <w:rPr>
          <w:rFonts w:ascii="Arial" w:hAnsi="Arial" w:eastAsia="等线" w:cs="Arial"/>
          <w:sz w:val="18"/>
          <w:szCs w:val="18"/>
        </w:rPr>
        <w:t>t2d_exp_dat &lt;- extract_instruments(outcomes='</w:t>
      </w:r>
      <w:r>
        <w:rPr>
          <w:rFonts w:hint="eastAsia" w:ascii="等线" w:hAnsi="等线" w:eastAsia="等线"/>
          <w:sz w:val="18"/>
          <w:szCs w:val="18"/>
        </w:rPr>
        <w:t xml:space="preserve"> </w:t>
      </w:r>
      <w:r>
        <w:rPr>
          <w:rFonts w:hint="eastAsia" w:ascii="Arial" w:hAnsi="Arial" w:eastAsia="等线" w:cs="Arial"/>
          <w:sz w:val="18"/>
          <w:szCs w:val="18"/>
        </w:rPr>
        <w:t>ebi-a-GCST006867</w:t>
      </w:r>
      <w:r>
        <w:rPr>
          <w:rFonts w:ascii="Arial" w:hAnsi="Arial" w:eastAsia="等线" w:cs="Arial"/>
          <w:sz w:val="18"/>
          <w:szCs w:val="18"/>
        </w:rPr>
        <w:t>')</w:t>
      </w:r>
    </w:p>
    <w:p>
      <w:pPr>
        <w:spacing w:line="240" w:lineRule="exact"/>
        <w:rPr>
          <w:rFonts w:ascii="Arial" w:hAnsi="Arial" w:eastAsia="等线" w:cs="Arial"/>
          <w:sz w:val="18"/>
          <w:szCs w:val="18"/>
        </w:rPr>
      </w:pPr>
      <w:r>
        <w:rPr>
          <w:rFonts w:ascii="Arial" w:hAnsi="Arial" w:eastAsia="等线" w:cs="Arial"/>
          <w:sz w:val="18"/>
          <w:szCs w:val="18"/>
        </w:rPr>
        <w:t>t2d_exp_dat&lt;-extract_instruments(outcomes='</w:t>
      </w:r>
      <w:r>
        <w:rPr>
          <w:rFonts w:hint="eastAsia" w:ascii="Arial" w:hAnsi="Arial" w:eastAsia="等线" w:cs="Arial"/>
          <w:sz w:val="18"/>
          <w:szCs w:val="18"/>
        </w:rPr>
        <w:t xml:space="preserve"> ebi-a-GCST006867</w:t>
      </w:r>
      <w:r>
        <w:rPr>
          <w:rFonts w:ascii="Arial" w:hAnsi="Arial" w:eastAsia="等线" w:cs="Arial"/>
          <w:sz w:val="18"/>
          <w:szCs w:val="18"/>
        </w:rPr>
        <w:t>',</w:t>
      </w:r>
    </w:p>
    <w:p>
      <w:pPr>
        <w:spacing w:line="240" w:lineRule="exact"/>
        <w:rPr>
          <w:rFonts w:ascii="Arial" w:hAnsi="Arial" w:eastAsia="等线" w:cs="Arial"/>
          <w:sz w:val="18"/>
          <w:szCs w:val="18"/>
        </w:rPr>
      </w:pPr>
      <w:r>
        <w:rPr>
          <w:rFonts w:ascii="Arial" w:hAnsi="Arial" w:eastAsia="等线" w:cs="Arial"/>
          <w:sz w:val="18"/>
          <w:szCs w:val="18"/>
        </w:rPr>
        <w:t xml:space="preserve">                            clump=TRUE, r2=0.001,</w:t>
      </w:r>
    </w:p>
    <w:p>
      <w:pPr>
        <w:spacing w:line="240" w:lineRule="exact"/>
        <w:rPr>
          <w:rFonts w:ascii="Arial" w:hAnsi="Arial" w:eastAsia="等线" w:cs="Arial"/>
          <w:sz w:val="18"/>
          <w:szCs w:val="18"/>
        </w:rPr>
      </w:pPr>
      <w:r>
        <w:rPr>
          <w:rFonts w:ascii="Arial" w:hAnsi="Arial" w:eastAsia="等线" w:cs="Arial"/>
          <w:sz w:val="18"/>
          <w:szCs w:val="18"/>
        </w:rPr>
        <w:t xml:space="preserve">                           kb=10000,access_token = NULL, p1=5e-8)</w:t>
      </w:r>
    </w:p>
    <w:p>
      <w:pPr>
        <w:spacing w:line="240" w:lineRule="exact"/>
        <w:rPr>
          <w:rFonts w:ascii="Arial" w:hAnsi="Arial" w:eastAsia="等线" w:cs="Arial"/>
          <w:sz w:val="18"/>
          <w:szCs w:val="18"/>
        </w:rPr>
      </w:pPr>
      <w:r>
        <w:rPr>
          <w:rFonts w:ascii="Arial" w:hAnsi="Arial" w:eastAsia="等线" w:cs="Arial"/>
          <w:sz w:val="18"/>
          <w:szCs w:val="18"/>
        </w:rPr>
        <w:t>ipf_out_dat &lt;- extract_outcome_data(snps = t2d_exp_dat$SNP, outcomes = 'finn-b-IPF')</w:t>
      </w:r>
    </w:p>
    <w:p>
      <w:pPr>
        <w:spacing w:line="240" w:lineRule="exact"/>
        <w:rPr>
          <w:rFonts w:ascii="Arial" w:hAnsi="Arial" w:eastAsia="等线" w:cs="Arial"/>
          <w:sz w:val="18"/>
          <w:szCs w:val="18"/>
        </w:rPr>
      </w:pPr>
      <w:r>
        <w:rPr>
          <w:rFonts w:ascii="Arial" w:hAnsi="Arial" w:eastAsia="等线" w:cs="Arial"/>
          <w:sz w:val="18"/>
          <w:szCs w:val="18"/>
        </w:rPr>
        <w:t>data &lt;- harmonise_data(t2d_exp_dat, ipf_out_dat)</w:t>
      </w:r>
    </w:p>
    <w:p>
      <w:pPr>
        <w:spacing w:line="240" w:lineRule="exact"/>
        <w:rPr>
          <w:rFonts w:ascii="Arial" w:hAnsi="Arial" w:eastAsia="等线" w:cs="Arial"/>
          <w:sz w:val="18"/>
          <w:szCs w:val="18"/>
        </w:rPr>
      </w:pPr>
      <w:r>
        <w:rPr>
          <w:rFonts w:ascii="Arial" w:hAnsi="Arial" w:eastAsia="等线" w:cs="Arial"/>
          <w:sz w:val="18"/>
          <w:szCs w:val="18"/>
        </w:rPr>
        <w:t>data$se.outcome=sqrt(((data$beta.outcome)^2)/qchisq(data$pval.outcome,1,lower.tail=F))</w:t>
      </w:r>
    </w:p>
    <w:p>
      <w:pPr>
        <w:spacing w:line="240" w:lineRule="exact"/>
        <w:rPr>
          <w:rFonts w:ascii="Arial" w:hAnsi="Arial" w:eastAsia="等线" w:cs="Arial"/>
          <w:sz w:val="18"/>
          <w:szCs w:val="18"/>
        </w:rPr>
      </w:pPr>
      <w:r>
        <w:rPr>
          <w:rFonts w:ascii="Arial" w:hAnsi="Arial" w:eastAsia="等线" w:cs="Arial"/>
          <w:sz w:val="18"/>
          <w:szCs w:val="18"/>
        </w:rPr>
        <w:t>mr(data)</w:t>
      </w:r>
    </w:p>
    <w:p>
      <w:pPr>
        <w:spacing w:line="240" w:lineRule="exact"/>
        <w:rPr>
          <w:rFonts w:ascii="Arial" w:hAnsi="Arial" w:eastAsia="等线" w:cs="Arial"/>
          <w:sz w:val="18"/>
          <w:szCs w:val="18"/>
        </w:rPr>
      </w:pPr>
      <w:r>
        <w:rPr>
          <w:rFonts w:ascii="Arial" w:hAnsi="Arial" w:eastAsia="等线" w:cs="Arial"/>
          <w:sz w:val="18"/>
          <w:szCs w:val="18"/>
        </w:rPr>
        <w:t>res2 &lt;- mr(data)</w:t>
      </w:r>
    </w:p>
    <w:p>
      <w:pPr>
        <w:spacing w:line="240" w:lineRule="exact"/>
        <w:rPr>
          <w:rFonts w:ascii="Arial" w:hAnsi="Arial" w:eastAsia="等线" w:cs="Arial"/>
          <w:sz w:val="18"/>
          <w:szCs w:val="18"/>
        </w:rPr>
      </w:pPr>
      <w:r>
        <w:rPr>
          <w:rFonts w:ascii="Arial" w:hAnsi="Arial" w:eastAsia="等线" w:cs="Arial"/>
          <w:sz w:val="18"/>
          <w:szCs w:val="18"/>
        </w:rPr>
        <w:t>generate_odds_ratios(res2)</w:t>
      </w:r>
    </w:p>
    <w:p>
      <w:pPr>
        <w:spacing w:line="240" w:lineRule="exact"/>
        <w:rPr>
          <w:rFonts w:ascii="Arial" w:hAnsi="Arial" w:eastAsia="等线" w:cs="Arial"/>
          <w:sz w:val="18"/>
          <w:szCs w:val="18"/>
        </w:rPr>
      </w:pPr>
      <w:r>
        <w:rPr>
          <w:rFonts w:ascii="Arial" w:hAnsi="Arial" w:eastAsia="等线" w:cs="Arial"/>
          <w:sz w:val="18"/>
          <w:szCs w:val="18"/>
        </w:rPr>
        <w:t>mr_heterogeneity(data)</w:t>
      </w:r>
    </w:p>
    <w:p>
      <w:pPr>
        <w:spacing w:line="240" w:lineRule="exact"/>
        <w:rPr>
          <w:rFonts w:ascii="Arial" w:hAnsi="Arial" w:eastAsia="等线" w:cs="Arial"/>
          <w:sz w:val="18"/>
          <w:szCs w:val="18"/>
        </w:rPr>
      </w:pPr>
      <w:r>
        <w:rPr>
          <w:rFonts w:ascii="Arial" w:hAnsi="Arial" w:eastAsia="等线" w:cs="Arial"/>
          <w:sz w:val="18"/>
          <w:szCs w:val="18"/>
        </w:rPr>
        <w:t>mr_heterogeneity(data, method_list=c("mr_egger_regression", "mr_ivw"))</w:t>
      </w:r>
    </w:p>
    <w:p>
      <w:pPr>
        <w:spacing w:line="240" w:lineRule="exact"/>
        <w:rPr>
          <w:rFonts w:ascii="Arial" w:hAnsi="Arial" w:eastAsia="等线" w:cs="Arial"/>
          <w:sz w:val="18"/>
          <w:szCs w:val="18"/>
        </w:rPr>
      </w:pPr>
      <w:r>
        <w:rPr>
          <w:rFonts w:ascii="Arial" w:hAnsi="Arial" w:eastAsia="等线" w:cs="Arial"/>
          <w:sz w:val="18"/>
          <w:szCs w:val="18"/>
        </w:rPr>
        <w:t>pleio&lt;-mr_pleiotropy_test(data)</w:t>
      </w:r>
    </w:p>
    <w:p>
      <w:pPr>
        <w:spacing w:line="240" w:lineRule="exact"/>
        <w:rPr>
          <w:rFonts w:ascii="Arial" w:hAnsi="Arial" w:eastAsia="等线" w:cs="Arial"/>
          <w:sz w:val="18"/>
          <w:szCs w:val="18"/>
        </w:rPr>
      </w:pPr>
      <w:r>
        <w:rPr>
          <w:rFonts w:ascii="Arial" w:hAnsi="Arial" w:eastAsia="等线" w:cs="Arial"/>
          <w:sz w:val="18"/>
          <w:szCs w:val="18"/>
        </w:rPr>
        <w:t>res2_single &lt;- mr_singlesnp(data)</w:t>
      </w:r>
    </w:p>
    <w:p>
      <w:pPr>
        <w:spacing w:line="240" w:lineRule="exact"/>
        <w:rPr>
          <w:rFonts w:ascii="Arial" w:hAnsi="Arial" w:eastAsia="等线" w:cs="Arial"/>
          <w:sz w:val="18"/>
          <w:szCs w:val="18"/>
        </w:rPr>
      </w:pPr>
      <w:r>
        <w:rPr>
          <w:rFonts w:ascii="Arial" w:hAnsi="Arial" w:eastAsia="等线" w:cs="Arial"/>
          <w:sz w:val="18"/>
          <w:szCs w:val="18"/>
        </w:rPr>
        <w:t>res2_loo &lt;- mr_leaveoneout(data)</w:t>
      </w:r>
    </w:p>
    <w:p>
      <w:pPr>
        <w:spacing w:line="240" w:lineRule="exact"/>
        <w:rPr>
          <w:rFonts w:ascii="Arial" w:hAnsi="Arial" w:eastAsia="等线" w:cs="Arial"/>
          <w:sz w:val="18"/>
          <w:szCs w:val="18"/>
        </w:rPr>
      </w:pPr>
      <w:r>
        <w:rPr>
          <w:rFonts w:ascii="Arial" w:hAnsi="Arial" w:eastAsia="等线" w:cs="Arial"/>
          <w:sz w:val="18"/>
          <w:szCs w:val="18"/>
        </w:rPr>
        <w:t>head(res2)</w:t>
      </w:r>
    </w:p>
    <w:p>
      <w:pPr>
        <w:spacing w:line="240" w:lineRule="exact"/>
        <w:rPr>
          <w:rFonts w:ascii="Arial" w:hAnsi="Arial" w:eastAsia="等线" w:cs="Arial"/>
          <w:sz w:val="18"/>
          <w:szCs w:val="18"/>
        </w:rPr>
      </w:pPr>
      <w:r>
        <w:rPr>
          <w:rFonts w:ascii="Arial" w:hAnsi="Arial" w:eastAsia="等线" w:cs="Arial"/>
          <w:sz w:val="18"/>
          <w:szCs w:val="18"/>
        </w:rPr>
        <w:t>generate_odds_ratios(res2)</w:t>
      </w:r>
    </w:p>
    <w:p>
      <w:pPr>
        <w:spacing w:line="240" w:lineRule="exact"/>
        <w:rPr>
          <w:rFonts w:ascii="Arial" w:hAnsi="Arial" w:eastAsia="等线" w:cs="Arial"/>
          <w:sz w:val="18"/>
          <w:szCs w:val="18"/>
        </w:rPr>
      </w:pPr>
      <w:r>
        <w:rPr>
          <w:rFonts w:ascii="Arial" w:hAnsi="Arial" w:eastAsia="等线" w:cs="Arial"/>
          <w:sz w:val="18"/>
          <w:szCs w:val="18"/>
        </w:rPr>
        <w:t>res2&lt;-mr(data)</w:t>
      </w:r>
    </w:p>
    <w:p>
      <w:pPr>
        <w:spacing w:line="240" w:lineRule="exact"/>
        <w:rPr>
          <w:rFonts w:ascii="Arial" w:hAnsi="Arial" w:eastAsia="等线" w:cs="Arial"/>
          <w:sz w:val="18"/>
          <w:szCs w:val="18"/>
        </w:rPr>
      </w:pPr>
      <w:r>
        <w:rPr>
          <w:rFonts w:ascii="Arial" w:hAnsi="Arial" w:eastAsia="等线" w:cs="Arial"/>
          <w:sz w:val="18"/>
          <w:szCs w:val="18"/>
        </w:rPr>
        <w:t>write.csv(dat,"t2ddata.csv")</w:t>
      </w:r>
    </w:p>
    <w:p>
      <w:pPr>
        <w:spacing w:line="240" w:lineRule="exact"/>
        <w:rPr>
          <w:rFonts w:ascii="Arial" w:hAnsi="Arial" w:eastAsia="等线" w:cs="Arial"/>
          <w:sz w:val="18"/>
          <w:szCs w:val="18"/>
        </w:rPr>
      </w:pPr>
      <w:r>
        <w:rPr>
          <w:rFonts w:ascii="Arial" w:hAnsi="Arial" w:eastAsia="等线" w:cs="Arial"/>
          <w:sz w:val="18"/>
          <w:szCs w:val="18"/>
        </w:rPr>
        <w:t>write.csv(res," t2dresult.csv")</w:t>
      </w:r>
    </w:p>
    <w:p>
      <w:pPr>
        <w:spacing w:line="240" w:lineRule="exact"/>
        <w:rPr>
          <w:rFonts w:ascii="Arial" w:hAnsi="Arial" w:eastAsia="等线" w:cs="Arial"/>
          <w:sz w:val="18"/>
          <w:szCs w:val="18"/>
        </w:rPr>
      </w:pPr>
      <w:r>
        <w:rPr>
          <w:rFonts w:ascii="Arial" w:hAnsi="Arial" w:eastAsia="等线" w:cs="Arial"/>
          <w:sz w:val="18"/>
          <w:szCs w:val="18"/>
        </w:rPr>
        <w:t>res2 &lt;- mr(data)</w:t>
      </w:r>
    </w:p>
    <w:p>
      <w:pPr>
        <w:spacing w:line="240" w:lineRule="exact"/>
        <w:rPr>
          <w:rFonts w:ascii="Arial" w:hAnsi="Arial" w:eastAsia="等线" w:cs="Arial"/>
          <w:sz w:val="18"/>
          <w:szCs w:val="18"/>
        </w:rPr>
      </w:pPr>
      <w:r>
        <w:rPr>
          <w:rFonts w:ascii="Arial" w:hAnsi="Arial" w:eastAsia="等线" w:cs="Arial"/>
          <w:sz w:val="18"/>
          <w:szCs w:val="18"/>
        </w:rPr>
        <w:t>p1 &lt;- mr_scatter_plot(res2, data)</w:t>
      </w:r>
    </w:p>
    <w:p>
      <w:pPr>
        <w:spacing w:line="240" w:lineRule="exact"/>
        <w:rPr>
          <w:rFonts w:ascii="Arial" w:hAnsi="Arial" w:eastAsia="等线" w:cs="Arial"/>
          <w:sz w:val="18"/>
          <w:szCs w:val="18"/>
        </w:rPr>
      </w:pPr>
      <w:r>
        <w:rPr>
          <w:rFonts w:ascii="Arial" w:hAnsi="Arial" w:eastAsia="等线" w:cs="Arial"/>
          <w:sz w:val="18"/>
          <w:szCs w:val="18"/>
        </w:rPr>
        <w:t>p1[[1]]</w:t>
      </w:r>
    </w:p>
    <w:p>
      <w:pPr>
        <w:spacing w:line="240" w:lineRule="exact"/>
        <w:rPr>
          <w:rFonts w:ascii="Arial" w:hAnsi="Arial" w:eastAsia="等线" w:cs="Arial"/>
          <w:sz w:val="18"/>
          <w:szCs w:val="18"/>
        </w:rPr>
      </w:pPr>
      <w:r>
        <w:rPr>
          <w:rFonts w:ascii="Arial" w:hAnsi="Arial" w:eastAsia="等线" w:cs="Arial"/>
          <w:sz w:val="18"/>
          <w:szCs w:val="18"/>
        </w:rPr>
        <w:t>length(p1)</w:t>
      </w:r>
    </w:p>
    <w:p>
      <w:pPr>
        <w:spacing w:line="240" w:lineRule="exact"/>
        <w:rPr>
          <w:rFonts w:ascii="Arial" w:hAnsi="Arial" w:eastAsia="等线" w:cs="Arial"/>
          <w:sz w:val="18"/>
          <w:szCs w:val="18"/>
        </w:rPr>
      </w:pPr>
      <w:r>
        <w:rPr>
          <w:rFonts w:ascii="Arial" w:hAnsi="Arial" w:eastAsia="等线" w:cs="Arial"/>
          <w:sz w:val="18"/>
          <w:szCs w:val="18"/>
        </w:rPr>
        <w:t>ggsave(p1[[1]], file="t2dscatter.png", width=7, height=7)</w:t>
      </w:r>
    </w:p>
    <w:p>
      <w:pPr>
        <w:spacing w:line="240" w:lineRule="exact"/>
        <w:rPr>
          <w:rFonts w:ascii="Arial" w:hAnsi="Arial" w:eastAsia="等线" w:cs="Arial"/>
          <w:sz w:val="18"/>
          <w:szCs w:val="18"/>
        </w:rPr>
      </w:pPr>
      <w:r>
        <w:rPr>
          <w:rFonts w:ascii="Arial" w:hAnsi="Arial" w:eastAsia="等线" w:cs="Arial"/>
          <w:sz w:val="18"/>
          <w:szCs w:val="18"/>
        </w:rPr>
        <w:t>res2_single &lt;- mr_singlesnp(dat)</w:t>
      </w:r>
    </w:p>
    <w:p>
      <w:pPr>
        <w:spacing w:line="240" w:lineRule="exact"/>
        <w:rPr>
          <w:rFonts w:ascii="Arial" w:hAnsi="Arial" w:eastAsia="等线" w:cs="Arial"/>
          <w:sz w:val="18"/>
          <w:szCs w:val="18"/>
        </w:rPr>
      </w:pPr>
      <w:r>
        <w:rPr>
          <w:rFonts w:ascii="Arial" w:hAnsi="Arial" w:eastAsia="等线" w:cs="Arial"/>
          <w:sz w:val="18"/>
          <w:szCs w:val="18"/>
        </w:rPr>
        <w:t>p2 &lt;- mr_forest_plot(res_single)</w:t>
      </w:r>
    </w:p>
    <w:p>
      <w:pPr>
        <w:spacing w:line="240" w:lineRule="exact"/>
        <w:rPr>
          <w:rFonts w:ascii="Arial" w:hAnsi="Arial" w:eastAsia="等线" w:cs="Arial"/>
          <w:sz w:val="18"/>
          <w:szCs w:val="18"/>
        </w:rPr>
      </w:pPr>
      <w:r>
        <w:rPr>
          <w:rFonts w:ascii="Arial" w:hAnsi="Arial" w:eastAsia="等线" w:cs="Arial"/>
          <w:sz w:val="18"/>
          <w:szCs w:val="18"/>
        </w:rPr>
        <w:t>p2[[1]]</w:t>
      </w:r>
    </w:p>
    <w:p>
      <w:pPr>
        <w:spacing w:line="240" w:lineRule="exact"/>
        <w:rPr>
          <w:rFonts w:ascii="Arial" w:hAnsi="Arial" w:eastAsia="等线" w:cs="Arial"/>
          <w:sz w:val="18"/>
          <w:szCs w:val="18"/>
        </w:rPr>
      </w:pPr>
      <w:r>
        <w:rPr>
          <w:rFonts w:ascii="Arial" w:hAnsi="Arial" w:eastAsia="等线" w:cs="Arial"/>
          <w:sz w:val="18"/>
          <w:szCs w:val="18"/>
        </w:rPr>
        <w:t>ggsave(p2[[1]], file="t2dforest.png", width=7, height=7)</w:t>
      </w:r>
    </w:p>
    <w:p>
      <w:pPr>
        <w:spacing w:line="240" w:lineRule="exact"/>
        <w:rPr>
          <w:rFonts w:ascii="Arial" w:hAnsi="Arial" w:eastAsia="等线" w:cs="Arial"/>
          <w:sz w:val="18"/>
          <w:szCs w:val="18"/>
        </w:rPr>
      </w:pPr>
      <w:r>
        <w:rPr>
          <w:rFonts w:ascii="Arial" w:hAnsi="Arial" w:eastAsia="等线" w:cs="Arial"/>
          <w:sz w:val="18"/>
          <w:szCs w:val="18"/>
        </w:rPr>
        <w:t>res_loo &lt;- mr_leaveoneout(dat)</w:t>
      </w:r>
    </w:p>
    <w:p>
      <w:pPr>
        <w:spacing w:line="240" w:lineRule="exact"/>
        <w:rPr>
          <w:rFonts w:ascii="Arial" w:hAnsi="Arial" w:eastAsia="等线" w:cs="Arial"/>
          <w:sz w:val="18"/>
          <w:szCs w:val="18"/>
        </w:rPr>
      </w:pPr>
      <w:r>
        <w:rPr>
          <w:rFonts w:ascii="Arial" w:hAnsi="Arial" w:eastAsia="等线" w:cs="Arial"/>
          <w:sz w:val="18"/>
          <w:szCs w:val="18"/>
        </w:rPr>
        <w:t>p3 &lt;- mr_leaveoneout_plot(res_loo)</w:t>
      </w:r>
    </w:p>
    <w:p>
      <w:pPr>
        <w:spacing w:line="240" w:lineRule="exact"/>
        <w:rPr>
          <w:rFonts w:ascii="Arial" w:hAnsi="Arial" w:eastAsia="等线" w:cs="Arial"/>
          <w:sz w:val="18"/>
          <w:szCs w:val="18"/>
        </w:rPr>
      </w:pPr>
      <w:r>
        <w:rPr>
          <w:rFonts w:ascii="Arial" w:hAnsi="Arial" w:eastAsia="等线" w:cs="Arial"/>
          <w:sz w:val="18"/>
          <w:szCs w:val="18"/>
        </w:rPr>
        <w:t>p3[[1]]</w:t>
      </w:r>
    </w:p>
    <w:p>
      <w:pPr>
        <w:spacing w:line="240" w:lineRule="exact"/>
        <w:rPr>
          <w:rFonts w:ascii="Arial" w:hAnsi="Arial" w:eastAsia="等线" w:cs="Arial"/>
          <w:sz w:val="18"/>
          <w:szCs w:val="18"/>
        </w:rPr>
      </w:pPr>
      <w:bookmarkStart w:id="4" w:name="OLE_LINK9"/>
      <w:r>
        <w:rPr>
          <w:rFonts w:ascii="Arial" w:hAnsi="Arial" w:eastAsia="等线" w:cs="Arial"/>
          <w:sz w:val="18"/>
          <w:szCs w:val="18"/>
        </w:rPr>
        <w:t>ggsave(p3[[1]], file="t2dleaveoneout.png", width=7, height=7)</w:t>
      </w:r>
    </w:p>
    <w:bookmarkEnd w:id="4"/>
    <w:p>
      <w:pPr>
        <w:spacing w:line="240" w:lineRule="exact"/>
        <w:rPr>
          <w:rFonts w:ascii="Arial" w:hAnsi="Arial" w:eastAsia="等线" w:cs="Arial"/>
          <w:sz w:val="18"/>
          <w:szCs w:val="18"/>
        </w:rPr>
      </w:pPr>
      <w:r>
        <w:rPr>
          <w:rFonts w:ascii="Arial" w:hAnsi="Arial" w:eastAsia="等线" w:cs="Arial"/>
          <w:sz w:val="18"/>
          <w:szCs w:val="18"/>
        </w:rPr>
        <w:t>res_single &lt;- mr_singlesnp(dat)</w:t>
      </w:r>
    </w:p>
    <w:p>
      <w:pPr>
        <w:spacing w:line="240" w:lineRule="exact"/>
        <w:rPr>
          <w:rFonts w:ascii="Arial" w:hAnsi="Arial" w:eastAsia="等线" w:cs="Arial"/>
          <w:sz w:val="18"/>
          <w:szCs w:val="18"/>
        </w:rPr>
      </w:pPr>
      <w:r>
        <w:rPr>
          <w:rFonts w:ascii="Arial" w:hAnsi="Arial" w:eastAsia="等线" w:cs="Arial"/>
          <w:sz w:val="18"/>
          <w:szCs w:val="18"/>
        </w:rPr>
        <w:t>p4 &lt;- mr_funnel_plot(res_single)</w:t>
      </w:r>
    </w:p>
    <w:p>
      <w:pPr>
        <w:spacing w:line="240" w:lineRule="exact"/>
        <w:rPr>
          <w:rFonts w:ascii="Arial" w:hAnsi="Arial" w:eastAsia="等线" w:cs="Arial"/>
          <w:sz w:val="18"/>
          <w:szCs w:val="18"/>
        </w:rPr>
      </w:pPr>
      <w:r>
        <w:rPr>
          <w:rFonts w:ascii="Arial" w:hAnsi="Arial" w:eastAsia="等线" w:cs="Arial"/>
          <w:sz w:val="18"/>
          <w:szCs w:val="18"/>
        </w:rPr>
        <w:t>p4[[1]]</w:t>
      </w:r>
    </w:p>
    <w:p>
      <w:pPr>
        <w:spacing w:line="240" w:lineRule="exact"/>
        <w:rPr>
          <w:rFonts w:ascii="Arial" w:hAnsi="Arial" w:eastAsia="等线" w:cs="Arial"/>
          <w:sz w:val="18"/>
          <w:szCs w:val="18"/>
        </w:rPr>
      </w:pPr>
      <w:r>
        <w:rPr>
          <w:rFonts w:ascii="Arial" w:hAnsi="Arial" w:eastAsia="等线" w:cs="Arial"/>
          <w:sz w:val="18"/>
          <w:szCs w:val="18"/>
        </w:rPr>
        <w:t>ggsave(p4[[1]], file="t2dfunnel.png", width=7, height=7)</w:t>
      </w:r>
    </w:p>
    <w:p>
      <w:pPr>
        <w:spacing w:line="240" w:lineRule="exact"/>
        <w:rPr>
          <w:rFonts w:ascii="Arial" w:hAnsi="Arial" w:eastAsia="等线" w:cs="Arial"/>
          <w:sz w:val="18"/>
          <w:szCs w:val="18"/>
        </w:rPr>
      </w:pPr>
    </w:p>
    <w:p>
      <w:pPr>
        <w:spacing w:line="240" w:lineRule="exact"/>
        <w:rPr>
          <w:rFonts w:ascii="Arial" w:hAnsi="Arial" w:eastAsia="等线" w:cs="Arial"/>
          <w:sz w:val="18"/>
          <w:szCs w:val="18"/>
        </w:rPr>
      </w:pPr>
      <w:r>
        <w:rPr>
          <w:rFonts w:ascii="Arial" w:hAnsi="Arial" w:eastAsia="等线" w:cs="Arial"/>
          <w:sz w:val="18"/>
          <w:szCs w:val="18"/>
        </w:rPr>
        <w:t>library(MendelianRandomization)</w:t>
      </w:r>
    </w:p>
    <w:p>
      <w:pPr>
        <w:spacing w:line="240" w:lineRule="exact"/>
        <w:rPr>
          <w:rFonts w:ascii="Arial" w:hAnsi="Arial" w:eastAsia="等线" w:cs="Arial"/>
          <w:sz w:val="18"/>
          <w:szCs w:val="18"/>
        </w:rPr>
      </w:pPr>
      <w:r>
        <w:rPr>
          <w:rFonts w:ascii="Arial" w:hAnsi="Arial" w:eastAsia="等线" w:cs="Arial"/>
          <w:sz w:val="18"/>
          <w:szCs w:val="18"/>
        </w:rPr>
        <w:t>library(MVMR)</w:t>
      </w:r>
    </w:p>
    <w:p>
      <w:pPr>
        <w:spacing w:line="240" w:lineRule="exact"/>
        <w:rPr>
          <w:rFonts w:ascii="Arial" w:hAnsi="Arial" w:eastAsia="等线" w:cs="Arial"/>
          <w:sz w:val="18"/>
          <w:szCs w:val="18"/>
        </w:rPr>
      </w:pPr>
      <w:r>
        <w:rPr>
          <w:rFonts w:ascii="Arial" w:hAnsi="Arial" w:eastAsia="等线" w:cs="Arial"/>
          <w:sz w:val="18"/>
          <w:szCs w:val="18"/>
        </w:rPr>
        <w:t>library(TwoSampleMR)</w:t>
      </w:r>
    </w:p>
    <w:p>
      <w:pPr>
        <w:spacing w:line="240" w:lineRule="exact"/>
        <w:rPr>
          <w:rFonts w:ascii="Arial" w:hAnsi="Arial" w:eastAsia="等线" w:cs="Arial"/>
          <w:sz w:val="18"/>
          <w:szCs w:val="18"/>
        </w:rPr>
      </w:pPr>
      <w:r>
        <w:rPr>
          <w:rFonts w:ascii="Arial" w:hAnsi="Arial" w:eastAsia="等线" w:cs="Arial"/>
          <w:sz w:val="18"/>
          <w:szCs w:val="18"/>
        </w:rPr>
        <w:t xml:space="preserve">id_exposure &lt;- c("ebi-a-GCST005536","ebi-a-GCST006867") </w:t>
      </w:r>
    </w:p>
    <w:p>
      <w:pPr>
        <w:spacing w:line="240" w:lineRule="exact"/>
        <w:rPr>
          <w:rFonts w:ascii="Arial" w:hAnsi="Arial" w:eastAsia="等线" w:cs="Arial"/>
          <w:sz w:val="18"/>
          <w:szCs w:val="18"/>
        </w:rPr>
      </w:pPr>
      <w:r>
        <w:rPr>
          <w:rFonts w:ascii="Arial" w:hAnsi="Arial" w:eastAsia="等线" w:cs="Arial"/>
          <w:sz w:val="18"/>
          <w:szCs w:val="18"/>
        </w:rPr>
        <w:t>id_outcome &lt;- "finn-b-IPF"</w:t>
      </w:r>
    </w:p>
    <w:p>
      <w:pPr>
        <w:spacing w:line="240" w:lineRule="exact"/>
        <w:rPr>
          <w:rFonts w:ascii="Arial" w:hAnsi="Arial" w:eastAsia="等线" w:cs="Arial"/>
          <w:sz w:val="18"/>
          <w:szCs w:val="18"/>
        </w:rPr>
      </w:pPr>
      <w:r>
        <w:rPr>
          <w:rFonts w:ascii="Arial" w:hAnsi="Arial" w:eastAsia="等线" w:cs="Arial"/>
          <w:sz w:val="18"/>
          <w:szCs w:val="18"/>
        </w:rPr>
        <w:t xml:space="preserve">exposure_dat &lt;- mv_extract_exposures(id_exposure)  </w:t>
      </w:r>
    </w:p>
    <w:p>
      <w:pPr>
        <w:spacing w:line="240" w:lineRule="exact"/>
        <w:rPr>
          <w:rFonts w:ascii="Arial" w:hAnsi="Arial" w:eastAsia="等线" w:cs="Arial"/>
          <w:sz w:val="18"/>
          <w:szCs w:val="18"/>
        </w:rPr>
      </w:pPr>
      <w:r>
        <w:rPr>
          <w:rFonts w:ascii="Arial" w:hAnsi="Arial" w:eastAsia="等线" w:cs="Arial"/>
          <w:sz w:val="18"/>
          <w:szCs w:val="18"/>
        </w:rPr>
        <w:t xml:space="preserve">outcome_dat &lt;- extract_outcome_data(exposure_dat$SNP, id_outcome) </w:t>
      </w:r>
    </w:p>
    <w:p>
      <w:pPr>
        <w:spacing w:line="240" w:lineRule="exact"/>
        <w:rPr>
          <w:rFonts w:ascii="Arial" w:hAnsi="Arial" w:eastAsia="等线" w:cs="Arial"/>
          <w:sz w:val="18"/>
          <w:szCs w:val="18"/>
        </w:rPr>
      </w:pPr>
      <w:r>
        <w:rPr>
          <w:rFonts w:ascii="Arial" w:hAnsi="Arial" w:eastAsia="等线" w:cs="Arial"/>
          <w:sz w:val="18"/>
          <w:szCs w:val="18"/>
        </w:rPr>
        <w:t>MRMVInputObject &lt;- mr_mvinput(bx = exposure_dat$Beta,</w:t>
      </w:r>
    </w:p>
    <w:p>
      <w:pPr>
        <w:spacing w:line="240" w:lineRule="exact"/>
        <w:rPr>
          <w:rFonts w:ascii="Arial" w:hAnsi="Arial" w:eastAsia="等线" w:cs="Arial"/>
          <w:sz w:val="18"/>
          <w:szCs w:val="18"/>
        </w:rPr>
      </w:pPr>
      <w:r>
        <w:rPr>
          <w:rFonts w:ascii="Arial" w:hAnsi="Arial" w:eastAsia="等线" w:cs="Arial"/>
          <w:sz w:val="18"/>
          <w:szCs w:val="18"/>
        </w:rPr>
        <w:t xml:space="preserve">                              bxse = exposure_ dat $SE,</w:t>
      </w:r>
    </w:p>
    <w:p>
      <w:pPr>
        <w:spacing w:line="240" w:lineRule="exact"/>
        <w:rPr>
          <w:rFonts w:ascii="Arial" w:hAnsi="Arial" w:eastAsia="等线" w:cs="Arial"/>
          <w:sz w:val="18"/>
          <w:szCs w:val="18"/>
        </w:rPr>
      </w:pPr>
      <w:r>
        <w:rPr>
          <w:rFonts w:ascii="Arial" w:hAnsi="Arial" w:eastAsia="等线" w:cs="Arial"/>
          <w:sz w:val="18"/>
          <w:szCs w:val="18"/>
        </w:rPr>
        <w:t xml:space="preserve">                              by = outcome_dat $Beta, </w:t>
      </w:r>
    </w:p>
    <w:p>
      <w:pPr>
        <w:spacing w:line="240" w:lineRule="exact"/>
        <w:rPr>
          <w:rFonts w:ascii="Arial" w:hAnsi="Arial" w:eastAsia="等线" w:cs="Arial"/>
          <w:sz w:val="18"/>
          <w:szCs w:val="18"/>
        </w:rPr>
      </w:pPr>
      <w:r>
        <w:rPr>
          <w:rFonts w:ascii="Arial" w:hAnsi="Arial" w:eastAsia="等线" w:cs="Arial"/>
          <w:sz w:val="18"/>
          <w:szCs w:val="18"/>
        </w:rPr>
        <w:t xml:space="preserve">                              byse = outcome_dat $SE)</w:t>
      </w:r>
    </w:p>
    <w:p>
      <w:pPr>
        <w:spacing w:line="240" w:lineRule="exact"/>
        <w:rPr>
          <w:rFonts w:ascii="Arial" w:hAnsi="Arial" w:eastAsia="等线" w:cs="Arial"/>
          <w:sz w:val="18"/>
          <w:szCs w:val="18"/>
        </w:rPr>
      </w:pPr>
      <w:r>
        <w:rPr>
          <w:rFonts w:ascii="Arial" w:hAnsi="Arial" w:eastAsia="等线" w:cs="Arial"/>
          <w:sz w:val="18"/>
          <w:szCs w:val="18"/>
        </w:rPr>
        <w:t>MRMVInputObject</w:t>
      </w:r>
    </w:p>
    <w:p>
      <w:pPr>
        <w:spacing w:line="240" w:lineRule="exact"/>
        <w:rPr>
          <w:rFonts w:ascii="Arial" w:hAnsi="Arial" w:eastAsia="等线" w:cs="Arial"/>
          <w:sz w:val="18"/>
          <w:szCs w:val="18"/>
        </w:rPr>
      </w:pPr>
      <w:r>
        <w:rPr>
          <w:rFonts w:ascii="Arial" w:hAnsi="Arial" w:eastAsia="等线" w:cs="Arial"/>
          <w:sz w:val="18"/>
          <w:szCs w:val="18"/>
        </w:rPr>
        <w:t xml:space="preserve">MRMVObject &lt;- mr_mvivw(MRMVInputObject, </w:t>
      </w:r>
    </w:p>
    <w:p>
      <w:pPr>
        <w:spacing w:line="240" w:lineRule="exact"/>
        <w:rPr>
          <w:rFonts w:ascii="Arial" w:hAnsi="Arial" w:eastAsia="等线" w:cs="Arial"/>
          <w:sz w:val="18"/>
          <w:szCs w:val="18"/>
        </w:rPr>
      </w:pPr>
      <w:r>
        <w:rPr>
          <w:rFonts w:ascii="Arial" w:hAnsi="Arial" w:eastAsia="等线" w:cs="Arial"/>
          <w:sz w:val="18"/>
          <w:szCs w:val="18"/>
        </w:rPr>
        <w:t xml:space="preserve">                       model = "default",</w:t>
      </w:r>
    </w:p>
    <w:p>
      <w:pPr>
        <w:spacing w:line="240" w:lineRule="exact"/>
        <w:rPr>
          <w:rFonts w:ascii="Arial" w:hAnsi="Arial" w:eastAsia="等线" w:cs="Arial"/>
          <w:sz w:val="18"/>
          <w:szCs w:val="18"/>
        </w:rPr>
      </w:pPr>
      <w:r>
        <w:rPr>
          <w:rFonts w:ascii="Arial" w:hAnsi="Arial" w:eastAsia="等线" w:cs="Arial"/>
          <w:sz w:val="18"/>
          <w:szCs w:val="18"/>
        </w:rPr>
        <w:t xml:space="preserve">                       correl = FALSE,</w:t>
      </w:r>
    </w:p>
    <w:p>
      <w:pPr>
        <w:spacing w:line="240" w:lineRule="exact"/>
        <w:rPr>
          <w:rFonts w:ascii="Arial" w:hAnsi="Arial" w:eastAsia="等线" w:cs="Arial"/>
          <w:sz w:val="18"/>
          <w:szCs w:val="18"/>
        </w:rPr>
      </w:pPr>
      <w:r>
        <w:rPr>
          <w:rFonts w:ascii="Arial" w:hAnsi="Arial" w:eastAsia="等线" w:cs="Arial"/>
          <w:sz w:val="18"/>
          <w:szCs w:val="18"/>
        </w:rPr>
        <w:t xml:space="preserve">                       distribution = "normal",</w:t>
      </w:r>
    </w:p>
    <w:p>
      <w:pPr>
        <w:spacing w:line="240" w:lineRule="exact"/>
        <w:rPr>
          <w:rFonts w:ascii="Arial" w:hAnsi="Arial" w:eastAsia="等线" w:cs="Arial"/>
          <w:sz w:val="18"/>
          <w:szCs w:val="18"/>
        </w:rPr>
      </w:pPr>
      <w:r>
        <w:rPr>
          <w:rFonts w:ascii="Arial" w:hAnsi="Arial" w:eastAsia="等线" w:cs="Arial"/>
          <w:sz w:val="18"/>
          <w:szCs w:val="18"/>
        </w:rPr>
        <w:t xml:space="preserve">                       alpha = 0.05)</w:t>
      </w:r>
    </w:p>
    <w:p>
      <w:pPr>
        <w:spacing w:line="240" w:lineRule="exact"/>
        <w:rPr>
          <w:rFonts w:ascii="Arial" w:hAnsi="Arial" w:eastAsia="等线" w:cs="Arial"/>
          <w:sz w:val="18"/>
          <w:szCs w:val="18"/>
        </w:rPr>
      </w:pPr>
      <w:r>
        <w:rPr>
          <w:rFonts w:ascii="Arial" w:hAnsi="Arial" w:eastAsia="等线" w:cs="Arial"/>
          <w:sz w:val="18"/>
          <w:szCs w:val="18"/>
        </w:rPr>
        <w:t>MRMVObject&lt;-mr_mvegger(</w:t>
      </w:r>
    </w:p>
    <w:p>
      <w:pPr>
        <w:spacing w:line="240" w:lineRule="exact"/>
        <w:rPr>
          <w:rFonts w:ascii="Arial" w:hAnsi="Arial" w:eastAsia="等线" w:cs="Arial"/>
          <w:sz w:val="18"/>
          <w:szCs w:val="18"/>
        </w:rPr>
      </w:pPr>
      <w:r>
        <w:rPr>
          <w:rFonts w:ascii="Arial" w:hAnsi="Arial" w:eastAsia="等线" w:cs="Arial"/>
          <w:sz w:val="18"/>
          <w:szCs w:val="18"/>
        </w:rPr>
        <w:t xml:space="preserve">  MRMVInputObject,</w:t>
      </w:r>
    </w:p>
    <w:p>
      <w:pPr>
        <w:spacing w:line="240" w:lineRule="exact"/>
        <w:rPr>
          <w:rFonts w:ascii="Arial" w:hAnsi="Arial" w:eastAsia="等线" w:cs="Arial"/>
          <w:sz w:val="18"/>
          <w:szCs w:val="18"/>
        </w:rPr>
      </w:pPr>
      <w:r>
        <w:rPr>
          <w:rFonts w:ascii="Arial" w:hAnsi="Arial" w:eastAsia="等线" w:cs="Arial"/>
          <w:sz w:val="18"/>
          <w:szCs w:val="18"/>
        </w:rPr>
        <w:t xml:space="preserve">  orientate = 1,</w:t>
      </w:r>
    </w:p>
    <w:p>
      <w:pPr>
        <w:spacing w:line="240" w:lineRule="exact"/>
        <w:rPr>
          <w:rFonts w:ascii="Arial" w:hAnsi="Arial" w:eastAsia="等线" w:cs="Arial"/>
          <w:sz w:val="18"/>
          <w:szCs w:val="18"/>
        </w:rPr>
      </w:pPr>
      <w:r>
        <w:rPr>
          <w:rFonts w:ascii="Arial" w:hAnsi="Arial" w:eastAsia="等线" w:cs="Arial"/>
          <w:sz w:val="18"/>
          <w:szCs w:val="18"/>
        </w:rPr>
        <w:t xml:space="preserve">  correl = FALSE,</w:t>
      </w:r>
    </w:p>
    <w:p>
      <w:pPr>
        <w:spacing w:line="240" w:lineRule="exact"/>
        <w:rPr>
          <w:rFonts w:ascii="Arial" w:hAnsi="Arial" w:eastAsia="等线" w:cs="Arial"/>
          <w:sz w:val="18"/>
          <w:szCs w:val="18"/>
        </w:rPr>
      </w:pPr>
      <w:r>
        <w:rPr>
          <w:rFonts w:ascii="Arial" w:hAnsi="Arial" w:eastAsia="等线" w:cs="Arial"/>
          <w:sz w:val="18"/>
          <w:szCs w:val="18"/>
        </w:rPr>
        <w:t xml:space="preserve">  distribution = "normal",</w:t>
      </w:r>
    </w:p>
    <w:p>
      <w:pPr>
        <w:spacing w:line="240" w:lineRule="exact"/>
        <w:rPr>
          <w:rFonts w:ascii="Arial" w:hAnsi="Arial" w:eastAsia="等线" w:cs="Arial"/>
          <w:sz w:val="18"/>
          <w:szCs w:val="18"/>
        </w:rPr>
      </w:pPr>
      <w:r>
        <w:rPr>
          <w:rFonts w:ascii="Arial" w:hAnsi="Arial" w:eastAsia="等线" w:cs="Arial"/>
          <w:sz w:val="18"/>
          <w:szCs w:val="18"/>
        </w:rPr>
        <w:t xml:space="preserve">  alpha = 0.05)</w:t>
      </w:r>
    </w:p>
    <w:p>
      <w:pPr>
        <w:spacing w:line="240" w:lineRule="exact"/>
        <w:rPr>
          <w:rFonts w:ascii="Arial" w:hAnsi="Arial" w:eastAsia="等线" w:cs="Arial"/>
          <w:sz w:val="18"/>
          <w:szCs w:val="18"/>
        </w:rPr>
      </w:pPr>
      <w:r>
        <w:rPr>
          <w:rFonts w:ascii="Arial" w:hAnsi="Arial" w:eastAsia="等线" w:cs="Arial"/>
          <w:sz w:val="18"/>
          <w:szCs w:val="18"/>
        </w:rPr>
        <w:t>MRMVObject&lt;-mr_mvlasso(</w:t>
      </w:r>
    </w:p>
    <w:p>
      <w:pPr>
        <w:spacing w:line="240" w:lineRule="exact"/>
        <w:rPr>
          <w:rFonts w:ascii="Arial" w:hAnsi="Arial" w:eastAsia="等线" w:cs="Arial"/>
          <w:sz w:val="18"/>
          <w:szCs w:val="18"/>
        </w:rPr>
      </w:pPr>
      <w:r>
        <w:rPr>
          <w:rFonts w:ascii="Arial" w:hAnsi="Arial" w:eastAsia="等线" w:cs="Arial"/>
          <w:sz w:val="18"/>
          <w:szCs w:val="18"/>
        </w:rPr>
        <w:t xml:space="preserve">  MRMVInputObject,</w:t>
      </w:r>
    </w:p>
    <w:p>
      <w:pPr>
        <w:spacing w:line="240" w:lineRule="exact"/>
        <w:rPr>
          <w:rFonts w:ascii="Arial" w:hAnsi="Arial" w:eastAsia="等线" w:cs="Arial"/>
          <w:sz w:val="18"/>
          <w:szCs w:val="18"/>
        </w:rPr>
      </w:pPr>
      <w:r>
        <w:rPr>
          <w:rFonts w:ascii="Arial" w:hAnsi="Arial" w:eastAsia="等线" w:cs="Arial"/>
          <w:sz w:val="18"/>
          <w:szCs w:val="18"/>
        </w:rPr>
        <w:t xml:space="preserve">  orientate = 1,</w:t>
      </w:r>
    </w:p>
    <w:p>
      <w:pPr>
        <w:spacing w:line="240" w:lineRule="exact"/>
        <w:rPr>
          <w:rFonts w:ascii="Arial" w:hAnsi="Arial" w:eastAsia="等线" w:cs="Arial"/>
          <w:sz w:val="18"/>
          <w:szCs w:val="18"/>
        </w:rPr>
      </w:pPr>
      <w:r>
        <w:rPr>
          <w:rFonts w:ascii="Arial" w:hAnsi="Arial" w:eastAsia="等线" w:cs="Arial"/>
          <w:sz w:val="18"/>
          <w:szCs w:val="18"/>
        </w:rPr>
        <w:t xml:space="preserve">  distribution = "normal",</w:t>
      </w:r>
    </w:p>
    <w:p>
      <w:pPr>
        <w:spacing w:line="240" w:lineRule="exact"/>
        <w:rPr>
          <w:rFonts w:ascii="Arial" w:hAnsi="Arial" w:eastAsia="等线" w:cs="Arial"/>
          <w:sz w:val="18"/>
          <w:szCs w:val="18"/>
        </w:rPr>
      </w:pPr>
      <w:r>
        <w:rPr>
          <w:rFonts w:ascii="Arial" w:hAnsi="Arial" w:eastAsia="等线" w:cs="Arial"/>
          <w:sz w:val="18"/>
          <w:szCs w:val="18"/>
        </w:rPr>
        <w:t xml:space="preserve">  alpha = 0.05,</w:t>
      </w:r>
    </w:p>
    <w:p>
      <w:pPr>
        <w:spacing w:line="240" w:lineRule="exact"/>
        <w:rPr>
          <w:rFonts w:ascii="Arial" w:hAnsi="Arial" w:eastAsia="等线" w:cs="Arial"/>
          <w:sz w:val="18"/>
          <w:szCs w:val="18"/>
        </w:rPr>
      </w:pPr>
      <w:r>
        <w:rPr>
          <w:rFonts w:ascii="Arial" w:hAnsi="Arial" w:eastAsia="等线" w:cs="Arial"/>
          <w:sz w:val="18"/>
          <w:szCs w:val="18"/>
        </w:rPr>
        <w:t xml:space="preserve">  lambda = numeric(0)</w:t>
      </w:r>
    </w:p>
    <w:p>
      <w:pPr>
        <w:spacing w:line="240" w:lineRule="exact"/>
        <w:rPr>
          <w:rFonts w:ascii="Arial" w:hAnsi="Arial" w:eastAsia="等线" w:cs="Arial"/>
          <w:sz w:val="18"/>
          <w:szCs w:val="18"/>
        </w:rPr>
      </w:pPr>
      <w:r>
        <w:rPr>
          <w:rFonts w:ascii="Arial" w:hAnsi="Arial" w:eastAsia="等线" w:cs="Arial"/>
          <w:sz w:val="18"/>
          <w:szCs w:val="18"/>
        </w:rPr>
        <w:t>)</w:t>
      </w:r>
    </w:p>
    <w:p>
      <w:pPr>
        <w:spacing w:line="240" w:lineRule="exact"/>
        <w:rPr>
          <w:rFonts w:ascii="Arial" w:hAnsi="Arial" w:eastAsia="等线" w:cs="Arial"/>
          <w:sz w:val="18"/>
          <w:szCs w:val="18"/>
        </w:rPr>
      </w:pPr>
      <w:r>
        <w:rPr>
          <w:rFonts w:ascii="Arial" w:hAnsi="Arial" w:eastAsia="等线" w:cs="Arial"/>
          <w:sz w:val="18"/>
          <w:szCs w:val="18"/>
        </w:rPr>
        <w:t>MRMVObject&lt;-mr_mvmedian(</w:t>
      </w:r>
    </w:p>
    <w:p>
      <w:pPr>
        <w:spacing w:line="240" w:lineRule="exact"/>
        <w:rPr>
          <w:rFonts w:ascii="Arial" w:hAnsi="Arial" w:eastAsia="等线" w:cs="Arial"/>
          <w:sz w:val="18"/>
          <w:szCs w:val="18"/>
        </w:rPr>
      </w:pPr>
      <w:r>
        <w:rPr>
          <w:rFonts w:ascii="Arial" w:hAnsi="Arial" w:eastAsia="等线" w:cs="Arial"/>
          <w:sz w:val="18"/>
          <w:szCs w:val="18"/>
        </w:rPr>
        <w:t xml:space="preserve">  MRMVInputObject,</w:t>
      </w:r>
    </w:p>
    <w:p>
      <w:pPr>
        <w:spacing w:line="240" w:lineRule="exact"/>
        <w:rPr>
          <w:rFonts w:ascii="Arial" w:hAnsi="Arial" w:eastAsia="等线" w:cs="Arial"/>
          <w:sz w:val="18"/>
          <w:szCs w:val="18"/>
        </w:rPr>
      </w:pPr>
      <w:r>
        <w:rPr>
          <w:rFonts w:ascii="Arial" w:hAnsi="Arial" w:eastAsia="等线" w:cs="Arial"/>
          <w:sz w:val="18"/>
          <w:szCs w:val="18"/>
        </w:rPr>
        <w:t xml:space="preserve">  distribution = "normal",</w:t>
      </w:r>
    </w:p>
    <w:p>
      <w:pPr>
        <w:spacing w:line="240" w:lineRule="exact"/>
        <w:rPr>
          <w:rFonts w:ascii="Arial" w:hAnsi="Arial" w:eastAsia="等线" w:cs="Arial"/>
          <w:sz w:val="18"/>
          <w:szCs w:val="18"/>
        </w:rPr>
      </w:pPr>
      <w:r>
        <w:rPr>
          <w:rFonts w:ascii="Arial" w:hAnsi="Arial" w:eastAsia="等线" w:cs="Arial"/>
          <w:sz w:val="18"/>
          <w:szCs w:val="18"/>
        </w:rPr>
        <w:t xml:space="preserve">  alpha = 0.05,</w:t>
      </w:r>
    </w:p>
    <w:p>
      <w:pPr>
        <w:spacing w:line="240" w:lineRule="exact"/>
        <w:rPr>
          <w:rFonts w:ascii="Arial" w:hAnsi="Arial" w:eastAsia="等线" w:cs="Arial"/>
          <w:sz w:val="18"/>
          <w:szCs w:val="18"/>
        </w:rPr>
      </w:pPr>
      <w:r>
        <w:rPr>
          <w:rFonts w:ascii="Arial" w:hAnsi="Arial" w:eastAsia="等线" w:cs="Arial"/>
          <w:sz w:val="18"/>
          <w:szCs w:val="18"/>
        </w:rPr>
        <w:t xml:space="preserve">  iterations = 10000,</w:t>
      </w:r>
    </w:p>
    <w:p>
      <w:pPr>
        <w:spacing w:line="240" w:lineRule="exact"/>
        <w:rPr>
          <w:rFonts w:ascii="Arial" w:hAnsi="Arial" w:eastAsia="等线" w:cs="Arial"/>
          <w:sz w:val="18"/>
          <w:szCs w:val="18"/>
        </w:rPr>
      </w:pPr>
      <w:r>
        <w:rPr>
          <w:rFonts w:ascii="Arial" w:hAnsi="Arial" w:eastAsia="等线" w:cs="Arial"/>
          <w:sz w:val="18"/>
          <w:szCs w:val="18"/>
        </w:rPr>
        <w:t xml:space="preserve">  seed = 314159265</w:t>
      </w:r>
    </w:p>
    <w:p>
      <w:pPr>
        <w:spacing w:line="240" w:lineRule="exact"/>
        <w:rPr>
          <w:rFonts w:ascii="Arial" w:hAnsi="Arial" w:eastAsia="等线" w:cs="Arial"/>
          <w:sz w:val="18"/>
          <w:szCs w:val="18"/>
        </w:rPr>
      </w:pPr>
      <w:r>
        <w:rPr>
          <w:rFonts w:ascii="Arial" w:hAnsi="Arial" w:eastAsia="等线" w:cs="Arial"/>
          <w:sz w:val="18"/>
          <w:szCs w:val="18"/>
        </w:rPr>
        <w:t>)</w:t>
      </w:r>
    </w:p>
    <w:p>
      <w:pPr>
        <w:rPr>
          <w:rFonts w:ascii="Times New Roman" w:hAnsi="Times New Roman"/>
          <w:b/>
          <w:bCs/>
          <w:color w:val="000000"/>
          <w:sz w:val="20"/>
          <w:szCs w:val="20"/>
        </w:rPr>
      </w:pPr>
    </w:p>
    <w:p>
      <w:pPr>
        <w:jc w:val="left"/>
        <w:rPr>
          <w:rFonts w:ascii="Times New Roman" w:hAnsi="Times New Roman" w:eastAsia="等线" w:cs="Times New Roman"/>
          <w:sz w:val="20"/>
          <w:szCs w:val="20"/>
          <w14:ligatures w14:val="none"/>
        </w:rPr>
      </w:pPr>
    </w:p>
    <w:p>
      <w:pPr>
        <w:rPr>
          <w:rFonts w:ascii="Arial" w:hAnsi="Arial" w:eastAsia="等线" w:cs="Arial"/>
          <w:sz w:val="24"/>
        </w:rPr>
      </w:pPr>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Arial">
    <w:panose1 w:val="020B0604020202020204"/>
    <w:charset w:val="00"/>
    <w:family w:val="swiss"/>
    <w:pitch w:val="default"/>
    <w:sig w:usb0="E0002EFF" w:usb1="C000785B" w:usb2="00000009" w:usb3="00000000" w:csb0="400001FF" w:csb1="FFFF0000"/>
  </w:font>
  <w:font w:name="Cambria">
    <w:panose1 w:val="02040503050406030204"/>
    <w:charset w:val="00"/>
    <w:family w:val="roman"/>
    <w:pitch w:val="default"/>
    <w:sig w:usb0="E00006FF" w:usb1="420024FF" w:usb2="02000000"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TljMTYyZTU4M2VmNmVjMjM0MDcxOTlhZGQ1ZGM5ODEifQ=="/>
  </w:docVars>
  <w:rsids>
    <w:rsidRoot w:val="001E0B17"/>
    <w:rsid w:val="000B64A2"/>
    <w:rsid w:val="000E1861"/>
    <w:rsid w:val="001E0B17"/>
    <w:rsid w:val="00216AED"/>
    <w:rsid w:val="002652E5"/>
    <w:rsid w:val="003204C4"/>
    <w:rsid w:val="00515153"/>
    <w:rsid w:val="0060409F"/>
    <w:rsid w:val="00837E1D"/>
    <w:rsid w:val="00960970"/>
    <w:rsid w:val="00B2288C"/>
    <w:rsid w:val="00B73B4B"/>
    <w:rsid w:val="00BE0249"/>
    <w:rsid w:val="00CE719F"/>
    <w:rsid w:val="0B165C7B"/>
    <w:rsid w:val="1F751511"/>
    <w:rsid w:val="42615B98"/>
    <w:rsid w:val="50615016"/>
    <w:rsid w:val="56D87206"/>
    <w:rsid w:val="5747062C"/>
    <w:rsid w:val="58940A99"/>
    <w:rsid w:val="647B624F"/>
    <w:rsid w:val="66B95679"/>
    <w:rsid w:val="684150B9"/>
    <w:rsid w:val="6D536BD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14:ligatures w14:val="standardContextual"/>
    </w:rPr>
  </w:style>
  <w:style w:type="character" w:default="1" w:styleId="6">
    <w:name w:val="Default Paragraph Font"/>
    <w:semiHidden/>
    <w:unhideWhenUsed/>
    <w:uiPriority w:val="1"/>
  </w:style>
  <w:style w:type="table" w:default="1" w:styleId="5">
    <w:name w:val="Normal Table"/>
    <w:semiHidden/>
    <w:unhideWhenUsed/>
    <w:uiPriority w:val="99"/>
    <w:tblPr>
      <w:tblCellMar>
        <w:top w:w="0" w:type="dxa"/>
        <w:left w:w="108" w:type="dxa"/>
        <w:bottom w:w="0" w:type="dxa"/>
        <w:right w:w="108" w:type="dxa"/>
      </w:tblCellMar>
    </w:tblPr>
  </w:style>
  <w:style w:type="paragraph" w:styleId="2">
    <w:name w:val="footer"/>
    <w:basedOn w:val="1"/>
    <w:link w:val="9"/>
    <w:autoRedefine/>
    <w:unhideWhenUsed/>
    <w:qFormat/>
    <w:uiPriority w:val="99"/>
    <w:pPr>
      <w:tabs>
        <w:tab w:val="center" w:pos="4153"/>
        <w:tab w:val="right" w:pos="8306"/>
      </w:tabs>
      <w:snapToGrid w:val="0"/>
      <w:jc w:val="left"/>
    </w:pPr>
    <w:rPr>
      <w:sz w:val="18"/>
      <w:szCs w:val="18"/>
    </w:rPr>
  </w:style>
  <w:style w:type="paragraph" w:styleId="3">
    <w:name w:val="header"/>
    <w:basedOn w:val="1"/>
    <w:link w:val="8"/>
    <w:autoRedefine/>
    <w:unhideWhenUsed/>
    <w:qFormat/>
    <w:uiPriority w:val="99"/>
    <w:pPr>
      <w:tabs>
        <w:tab w:val="center" w:pos="4153"/>
        <w:tab w:val="right" w:pos="8306"/>
      </w:tabs>
      <w:snapToGrid w:val="0"/>
      <w:jc w:val="center"/>
    </w:pPr>
    <w:rPr>
      <w:sz w:val="18"/>
      <w:szCs w:val="18"/>
    </w:rPr>
  </w:style>
  <w:style w:type="paragraph" w:styleId="4">
    <w:name w:val="Title"/>
    <w:basedOn w:val="1"/>
    <w:next w:val="1"/>
    <w:link w:val="10"/>
    <w:autoRedefine/>
    <w:qFormat/>
    <w:uiPriority w:val="10"/>
    <w:pPr>
      <w:spacing w:before="240" w:after="60"/>
      <w:jc w:val="center"/>
      <w:outlineLvl w:val="0"/>
    </w:pPr>
    <w:rPr>
      <w:rFonts w:asciiTheme="majorHAnsi" w:hAnsiTheme="majorHAnsi" w:eastAsiaTheme="majorEastAsia" w:cstheme="majorBidi"/>
      <w:b/>
      <w:bCs/>
      <w:sz w:val="32"/>
      <w:szCs w:val="32"/>
      <w14:ligatures w14:val="none"/>
    </w:rPr>
  </w:style>
  <w:style w:type="character" w:styleId="7">
    <w:name w:val="Hyperlink"/>
    <w:basedOn w:val="6"/>
    <w:semiHidden/>
    <w:unhideWhenUsed/>
    <w:uiPriority w:val="99"/>
    <w:rPr>
      <w:color w:val="0000FF"/>
      <w:u w:val="single"/>
    </w:rPr>
  </w:style>
  <w:style w:type="character" w:customStyle="1" w:styleId="8">
    <w:name w:val="页眉 字符"/>
    <w:basedOn w:val="6"/>
    <w:link w:val="3"/>
    <w:autoRedefine/>
    <w:qFormat/>
    <w:uiPriority w:val="99"/>
    <w:rPr>
      <w:sz w:val="18"/>
      <w:szCs w:val="18"/>
    </w:rPr>
  </w:style>
  <w:style w:type="character" w:customStyle="1" w:styleId="9">
    <w:name w:val="页脚 字符"/>
    <w:basedOn w:val="6"/>
    <w:link w:val="2"/>
    <w:autoRedefine/>
    <w:qFormat/>
    <w:uiPriority w:val="99"/>
    <w:rPr>
      <w:sz w:val="18"/>
      <w:szCs w:val="18"/>
    </w:rPr>
  </w:style>
  <w:style w:type="character" w:customStyle="1" w:styleId="10">
    <w:name w:val="标题 字符"/>
    <w:basedOn w:val="6"/>
    <w:link w:val="4"/>
    <w:autoRedefine/>
    <w:qFormat/>
    <w:uiPriority w:val="10"/>
    <w:rPr>
      <w:rFonts w:asciiTheme="majorHAnsi" w:hAnsiTheme="majorHAnsi" w:eastAsiaTheme="majorEastAsia" w:cstheme="majorBidi"/>
      <w:b/>
      <w:bCs/>
      <w:sz w:val="32"/>
      <w:szCs w:val="32"/>
      <w14:ligatures w14:val="none"/>
    </w:rPr>
  </w:style>
  <w:style w:type="paragraph" w:customStyle="1" w:styleId="11">
    <w:name w:val="Revision"/>
    <w:hidden/>
    <w:unhideWhenUsed/>
    <w:uiPriority w:val="99"/>
    <w:rPr>
      <w:rFonts w:asciiTheme="minorHAnsi" w:hAnsiTheme="minorHAnsi" w:eastAsiaTheme="minorEastAsia" w:cstheme="minorBidi"/>
      <w:kern w:val="2"/>
      <w:sz w:val="21"/>
      <w:szCs w:val="22"/>
      <w:lang w:val="en-US" w:eastAsia="zh-CN" w:bidi="ar-SA"/>
      <w14:ligatures w14:val="standardContextual"/>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26</Pages>
  <Words>6305</Words>
  <Characters>39949</Characters>
  <Lines>3535</Lines>
  <Paragraphs>3125</Paragraphs>
  <TotalTime>3</TotalTime>
  <ScaleCrop>false</ScaleCrop>
  <LinksUpToDate>false</LinksUpToDate>
  <CharactersWithSpaces>43483</CharactersWithSpaces>
  <Application>WPS Office_12.1.0.16120_F1E327BC-269C-435d-A152-05C5408002CA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2024-02-22T08:11:00Z</dcterms:created>
  <dc:creator>双双 孙</dc:creator>
  <cp:lastModifiedBy>打啵儿</cp:lastModifiedBy>
  <dcterms:modified xsi:type="dcterms:W3CDTF">2024-02-22T11:46:51Z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bb1620586fe0fdc67b2dbf3c7e6cab9fb52ad28ed9046105560254b3e884cfa7</vt:lpwstr>
  </property>
  <property fmtid="{D5CDD505-2E9C-101B-9397-08002B2CF9AE}" pid="3" name="KSOProductBuildVer">
    <vt:lpwstr>2052-12.1.0.16120</vt:lpwstr>
  </property>
  <property fmtid="{D5CDD505-2E9C-101B-9397-08002B2CF9AE}" pid="4" name="ICV">
    <vt:lpwstr>A6E372C9DF1C4531B54BC8B24A98E7E1_12</vt:lpwstr>
  </property>
</Properties>
</file>