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Associations between Immune Cell Phenotypes and Lung Cancer Subtypes: Insights from Mendelian Randomization Analysis</w:t>
      </w:r>
    </w:p>
    <w:p>
      <w:pPr>
        <w:spacing w:line="480" w:lineRule="auto"/>
        <w:jc w:val="center"/>
        <w:rPr>
          <w:rFonts w:ascii="Times New Roman" w:hAnsi="Times New Roman" w:cs="Times New Roman"/>
          <w:b/>
          <w:sz w:val="24"/>
          <w:szCs w:val="24"/>
        </w:rPr>
      </w:pPr>
    </w:p>
    <w:p>
      <w:pPr>
        <w:spacing w:line="480" w:lineRule="auto"/>
        <w:jc w:val="center"/>
        <w:rPr>
          <w:rFonts w:ascii="Times New Roman" w:hAnsi="Times New Roman" w:cs="Times New Roman"/>
          <w:b/>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#Corresponding Author: </w:t>
      </w:r>
    </w:p>
    <w:p>
      <w:pPr>
        <w:spacing w:line="480" w:lineRule="auto"/>
        <w:rPr>
          <w:rFonts w:ascii="Times New Roman" w:hAnsi="Times New Roman" w:cs="Times New Roman"/>
          <w:sz w:val="24"/>
          <w:szCs w:val="24"/>
        </w:rPr>
      </w:pPr>
      <w:r>
        <w:rPr>
          <w:rFonts w:ascii="Times New Roman" w:hAnsi="Times New Roman" w:cs="Times New Roman"/>
          <w:sz w:val="24"/>
          <w:szCs w:val="24"/>
        </w:rPr>
        <w:t>Shang-Wei Chen</w:t>
      </w:r>
    </w:p>
    <w:p>
      <w:pPr>
        <w:spacing w:line="480" w:lineRule="auto"/>
        <w:rPr>
          <w:rFonts w:ascii="Times New Roman" w:hAnsi="Times New Roman" w:cs="Times New Roman"/>
          <w:sz w:val="24"/>
          <w:szCs w:val="24"/>
        </w:rPr>
      </w:pPr>
      <w:r>
        <w:rPr>
          <w:rFonts w:ascii="Times New Roman" w:hAnsi="Times New Roman" w:cs="Times New Roman"/>
          <w:sz w:val="24"/>
          <w:szCs w:val="24"/>
        </w:rPr>
        <w:t>Department of thoracic surgery, Guangxi Academy of Medical Sciences and the People's Hospital of Guangxi Zhuang Autonomous Region</w:t>
      </w:r>
    </w:p>
    <w:p>
      <w:pPr>
        <w:spacing w:line="480" w:lineRule="auto"/>
        <w:rPr>
          <w:rFonts w:ascii="Times New Roman" w:hAnsi="Times New Roman" w:cs="Times New Roman"/>
          <w:sz w:val="24"/>
          <w:szCs w:val="24"/>
        </w:rPr>
      </w:pPr>
      <w:r>
        <w:rPr>
          <w:rFonts w:ascii="Times New Roman" w:hAnsi="Times New Roman" w:cs="Times New Roman"/>
          <w:sz w:val="24"/>
          <w:szCs w:val="24"/>
        </w:rPr>
        <w:t>Phone: 00</w:t>
      </w:r>
      <w:r>
        <w:rPr>
          <w:rFonts w:hint="eastAsia" w:ascii="Times New Roman" w:hAnsi="Times New Roman" w:cs="Times New Roman"/>
          <w:sz w:val="24"/>
          <w:szCs w:val="24"/>
        </w:rPr>
        <w:t>86</w:t>
      </w:r>
      <w:r>
        <w:rPr>
          <w:rFonts w:ascii="Times New Roman" w:hAnsi="Times New Roman" w:cs="Times New Roman"/>
          <w:sz w:val="24"/>
          <w:szCs w:val="24"/>
        </w:rPr>
        <w:t>-0</w:t>
      </w:r>
      <w:r>
        <w:rPr>
          <w:rFonts w:hint="eastAsia" w:ascii="Times New Roman" w:hAnsi="Times New Roman" w:cs="Times New Roman"/>
          <w:sz w:val="24"/>
          <w:szCs w:val="24"/>
        </w:rPr>
        <w:t>771</w:t>
      </w:r>
      <w:r>
        <w:rPr>
          <w:rFonts w:ascii="Times New Roman" w:hAnsi="Times New Roman" w:cs="Times New Roman"/>
          <w:sz w:val="24"/>
          <w:szCs w:val="24"/>
        </w:rPr>
        <w:t>-</w:t>
      </w:r>
      <w:r>
        <w:rPr>
          <w:rFonts w:hint="eastAsia" w:ascii="Times New Roman" w:hAnsi="Times New Roman" w:cs="Times New Roman"/>
          <w:sz w:val="24"/>
          <w:szCs w:val="24"/>
        </w:rPr>
        <w:t>2186755</w:t>
      </w:r>
      <w:r>
        <w:rPr>
          <w:rFonts w:ascii="Times New Roman" w:hAnsi="Times New Roman" w:cs="Times New Roman"/>
          <w:sz w:val="24"/>
          <w:szCs w:val="24"/>
        </w:rPr>
        <w:t xml:space="preserve">; </w:t>
      </w:r>
    </w:p>
    <w:p>
      <w:pPr>
        <w:spacing w:line="480" w:lineRule="auto"/>
        <w:rPr>
          <w:rFonts w:ascii="Times New Roman" w:hAnsi="Times New Roman" w:cs="Times New Roman"/>
          <w:sz w:val="24"/>
          <w:szCs w:val="24"/>
        </w:rPr>
      </w:pPr>
      <w:r>
        <w:rPr>
          <w:rFonts w:ascii="Times New Roman" w:hAnsi="Times New Roman" w:cs="Times New Roman"/>
          <w:sz w:val="24"/>
          <w:szCs w:val="24"/>
        </w:rPr>
        <w:t>Email: ShangweiChen_gxmu@126.com</w:t>
      </w:r>
    </w:p>
    <w:p>
      <w:pPr>
        <w:spacing w:line="480" w:lineRule="auto"/>
        <w:rPr>
          <w:rFonts w:ascii="Times New Roman" w:hAnsi="Times New Roman" w:cs="Times New Roman"/>
          <w:sz w:val="24"/>
          <w:szCs w:val="24"/>
        </w:rPr>
      </w:pPr>
      <w:r>
        <w:rPr>
          <w:rFonts w:ascii="Times New Roman" w:hAnsi="Times New Roman" w:cs="Times New Roman"/>
          <w:sz w:val="24"/>
          <w:szCs w:val="24"/>
        </w:rPr>
        <w:t>Bai-Jun Li</w:t>
      </w:r>
    </w:p>
    <w:p>
      <w:pPr>
        <w:spacing w:line="480" w:lineRule="auto"/>
        <w:rPr>
          <w:rFonts w:ascii="Times New Roman" w:hAnsi="Times New Roman" w:cs="Times New Roman"/>
          <w:sz w:val="24"/>
          <w:szCs w:val="24"/>
        </w:rPr>
      </w:pPr>
      <w:r>
        <w:rPr>
          <w:rFonts w:ascii="Times New Roman" w:hAnsi="Times New Roman" w:cs="Times New Roman"/>
          <w:sz w:val="24"/>
          <w:szCs w:val="24"/>
        </w:rPr>
        <w:t xml:space="preserve">Department of thoracic surgery, </w:t>
      </w:r>
      <w:r>
        <w:rPr>
          <w:rFonts w:hint="eastAsia" w:ascii="Times New Roman" w:hAnsi="Times New Roman" w:cs="Times New Roman"/>
          <w:sz w:val="24"/>
          <w:szCs w:val="24"/>
          <w:lang w:val="en-US" w:eastAsia="zh-CN"/>
        </w:rPr>
        <w:t>Tumor Hospital of Guangxi Medical University</w:t>
      </w:r>
      <w:bookmarkStart w:id="0" w:name="_GoBack"/>
      <w:bookmarkEnd w:id="0"/>
    </w:p>
    <w:p>
      <w:pPr>
        <w:spacing w:line="480" w:lineRule="auto"/>
        <w:rPr>
          <w:rFonts w:ascii="Times New Roman" w:hAnsi="Times New Roman" w:cs="Times New Roman"/>
          <w:sz w:val="24"/>
          <w:szCs w:val="24"/>
        </w:rPr>
      </w:pPr>
      <w:r>
        <w:rPr>
          <w:rFonts w:ascii="Times New Roman" w:hAnsi="Times New Roman" w:cs="Times New Roman"/>
          <w:sz w:val="24"/>
          <w:szCs w:val="24"/>
        </w:rPr>
        <w:t>Phone: 00</w:t>
      </w:r>
      <w:r>
        <w:rPr>
          <w:rFonts w:hint="eastAsia" w:ascii="Times New Roman" w:hAnsi="Times New Roman" w:cs="Times New Roman"/>
          <w:sz w:val="24"/>
          <w:szCs w:val="24"/>
        </w:rPr>
        <w:t>86</w:t>
      </w:r>
      <w:r>
        <w:rPr>
          <w:rFonts w:ascii="Times New Roman" w:hAnsi="Times New Roman" w:cs="Times New Roman"/>
          <w:sz w:val="24"/>
          <w:szCs w:val="24"/>
        </w:rPr>
        <w:t>-0</w:t>
      </w:r>
      <w:r>
        <w:rPr>
          <w:rFonts w:hint="eastAsia" w:ascii="Times New Roman" w:hAnsi="Times New Roman" w:cs="Times New Roman"/>
          <w:sz w:val="24"/>
          <w:szCs w:val="24"/>
        </w:rPr>
        <w:t>771</w:t>
      </w:r>
      <w:r>
        <w:rPr>
          <w:rFonts w:ascii="Times New Roman" w:hAnsi="Times New Roman" w:cs="Times New Roman"/>
          <w:sz w:val="24"/>
          <w:szCs w:val="24"/>
        </w:rPr>
        <w:t>-</w:t>
      </w:r>
      <w:r>
        <w:rPr>
          <w:rFonts w:hint="eastAsia" w:ascii="Times New Roman" w:hAnsi="Times New Roman" w:cs="Times New Roman"/>
          <w:sz w:val="24"/>
          <w:szCs w:val="24"/>
        </w:rPr>
        <w:t>2186755</w:t>
      </w:r>
      <w:r>
        <w:rPr>
          <w:rFonts w:ascii="Times New Roman" w:hAnsi="Times New Roman" w:cs="Times New Roman"/>
          <w:sz w:val="24"/>
          <w:szCs w:val="24"/>
        </w:rPr>
        <w:t xml:space="preserve">; </w:t>
      </w:r>
    </w:p>
    <w:p>
      <w:pPr>
        <w:rPr>
          <w:rFonts w:eastAsia="Times New Roman"/>
          <w:b/>
          <w:sz w:val="20"/>
          <w:szCs w:val="20"/>
          <w:lang w:eastAsia="en-GB"/>
        </w:rPr>
      </w:pPr>
      <w:r>
        <w:rPr>
          <w:rFonts w:ascii="Times New Roman" w:hAnsi="Times New Roman" w:cs="Times New Roman"/>
          <w:sz w:val="24"/>
          <w:szCs w:val="24"/>
        </w:rPr>
        <w:t>Email: libaijun1979@126.com</w:t>
      </w: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p>
    <w:p>
      <w:pPr>
        <w:rPr>
          <w:rFonts w:eastAsia="Times New Roman"/>
          <w:b/>
          <w:sz w:val="20"/>
          <w:szCs w:val="20"/>
          <w:lang w:eastAsia="en-GB"/>
        </w:rPr>
      </w:pP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4"/>
        <w:tblW w:w="14490" w:type="dxa"/>
        <w:tblInd w:w="0" w:type="dxa"/>
        <w:tblLayout w:type="autofit"/>
        <w:tblCellMar>
          <w:top w:w="0" w:type="dxa"/>
          <w:left w:w="108" w:type="dxa"/>
          <w:bottom w:w="0" w:type="dxa"/>
          <w:right w:w="108" w:type="dxa"/>
        </w:tblCellMar>
      </w:tblPr>
      <w:tblGrid>
        <w:gridCol w:w="587"/>
        <w:gridCol w:w="1822"/>
        <w:gridCol w:w="7041"/>
        <w:gridCol w:w="720"/>
        <w:gridCol w:w="4320"/>
      </w:tblGrid>
      <w:tr>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2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7041"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22"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7041"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20" w:type="dxa"/>
            <w:tcBorders>
              <w:top w:val="single" w:color="7F7F7F" w:sz="6" w:space="0"/>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No.1-2</w:t>
            </w:r>
          </w:p>
        </w:tc>
        <w:tc>
          <w:tcPr>
            <w:tcW w:w="4320" w:type="dxa"/>
            <w:tcBorders>
              <w:top w:val="single" w:color="7F7F7F" w:sz="6" w:space="0"/>
              <w:bottom w:val="single" w:color="7F7F7F" w:sz="6" w:space="0"/>
            </w:tcBorders>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Title</w:t>
            </w:r>
            <w:r>
              <w:rPr>
                <w:rFonts w:hint="eastAsia" w:eastAsia="宋体"/>
                <w:sz w:val="18"/>
                <w:szCs w:val="18"/>
                <w:lang w:val="en-GB" w:eastAsia="zh-CN"/>
              </w:rPr>
              <w:t>：</w:t>
            </w:r>
            <w:r>
              <w:rPr>
                <w:rFonts w:hint="eastAsia" w:eastAsia="Times New Roman"/>
                <w:sz w:val="18"/>
                <w:szCs w:val="18"/>
                <w:lang w:val="en-GB" w:eastAsia="en-GB"/>
              </w:rPr>
              <w:t>Associations between Immune Cell Phenotypes and Lung Cancer Subtypes: Insights from Mendelian Randomization Analysis</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A</w:t>
            </w:r>
            <w:r>
              <w:rPr>
                <w:rFonts w:eastAsia="Times New Roman"/>
                <w:sz w:val="18"/>
                <w:szCs w:val="18"/>
                <w:lang w:val="en-GB" w:eastAsia="en-GB"/>
              </w:rPr>
              <w:t>bstract</w:t>
            </w:r>
            <w:r>
              <w:rPr>
                <w:rFonts w:hint="eastAsia" w:eastAsia="宋体"/>
                <w:sz w:val="18"/>
                <w:szCs w:val="18"/>
                <w:lang w:val="en-US" w:eastAsia="zh-CN"/>
              </w:rPr>
              <w:t>:</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Introduction:</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Lung cancer's association with the immune environment is not fully understood. This study employs Mendelian Randomization (MR) to explore the causal relationship between immune cells and lung cancer subtypes, including lung squamous cell carcinoma (LUSC) and lung adenocarcinoma (LUAD).</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Methods:</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We analyzed the association between 731 immune cell phenotypes and LUSC or LUAD, sourced from the European Bioinformatics Institute (EBI). Sensitivity analyses, including MR-Egger intercept, Cochran Q test, and others, were conducted for robustness. The findings were cross-validated using Transdisciplinary Research Into Cancer of the Lung (TRICL) data. Confounding analysis was used to further ensure robustness of the results.</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Results:</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Among 731 immune cell phenotypes examined, three immune phenotypes exhibited statistically significant effects with LUSC. CD28 expression on resting CD4 regulatory T cells (OR 1.0980, 95% CI: 1.0627-1.1344, p &lt; 0.0001) and CD45RA+ CD28- CD8+ T cell %T cell (OR 1.0011, 95% CI: 1.0007; 1.0015, p &lt; 0.0001) were associated with increased susceptibility to LUSC. Conversely, CCR2 expression on monocytes (OR 0.9399, 95% CI: 0.9177-0.9625, p &lt; 0.0001) was correlated with a decreased risk of LUSC. However, no significant causal relationship was established between any immune cell phenotypes and LUAD.</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Conclusion:</w:t>
            </w:r>
          </w:p>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The study identifies three immune cell phenotypes as potential risk factors for LUSC, but none for LUAD. Further experimental investigations are warranted for validation.</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Scientific Background and Rationale:</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Context: This study focuses on lung cancer, specifically LUSC and LUAD</w:t>
            </w:r>
            <w:r>
              <w:rPr>
                <w:rFonts w:hint="eastAsia" w:eastAsia="宋体"/>
                <w:sz w:val="18"/>
                <w:szCs w:val="18"/>
                <w:lang w:val="en-US" w:eastAsia="zh-CN"/>
              </w:rPr>
              <w:t>,</w:t>
            </w:r>
            <w:r>
              <w:rPr>
                <w:rFonts w:hint="eastAsia" w:eastAsia="Times New Roman"/>
                <w:sz w:val="18"/>
                <w:szCs w:val="18"/>
                <w:lang w:val="en-GB" w:eastAsia="en-GB"/>
              </w:rPr>
              <w:t xml:space="preserve"> which are the second most common types of cancer globally. The pathogenesis of lung cancer is complex, involving genetic, environmental factors, and the role of the immune system.</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Immune Cells and Lung Cancer: In recent years, the role of immune cells in the onset and progression of lung cancer has garnered increasing attention. Existing research suggests that immune cells, particularly regulatory T cells and monocytes, may play a significant role in the pathogenesis of lung cancer.</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Exposure and Potential Causal Relationship:</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Exposure: The exposure factor is 731 different immune cell phenotypes.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Causal Relationship Plausibility: The potential causal relationship between immune cells and lung cancer is plausible, as the immune system plays a key role in the onset, progression, and prognosis of cancer. Specifically, different phenotypes of immune cells may influence the susceptibility and progression of lung cancer.</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Justification for Using MR:</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Addressing Confounding and Reverse Causation: Traditional observational studies exploring the relationship between immune cells and lung cancer may be affected by confounding factors and reverse causation. The MR method, using genetic variants as instrumental variables, helps overcome these issues, providing more reliable causal inference.</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Genetic Instrumentation: In this study, SNPs directly associated with immune cell phenotypes were chosen as instrumental variables, which are less likely to be influenced by confounding factors related to lung cancer risk.</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Robustness to Confounding: A major advantage of the MR method is its robustness against traditional confounding factors, making it a powerful tool for exploring the relationship between immune cells and lung cancer.</w:t>
            </w:r>
          </w:p>
        </w:tc>
      </w:tr>
      <w:tr>
        <w:tblPrEx>
          <w:tblCellMar>
            <w:top w:w="0" w:type="dxa"/>
            <w:left w:w="108" w:type="dxa"/>
            <w:bottom w:w="0" w:type="dxa"/>
            <w:right w:w="108" w:type="dxa"/>
          </w:tblCellMar>
        </w:tblPrEx>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2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7041"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color="7F7F7F" w:sz="6" w:space="0"/>
            </w:tcBorders>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Specific Objectives: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Primary Objective: To investigate the causal relationship between various immune cell phenotypes and both major subtypes of lung cancer: lung squamous cell carcinoma (LUSC) and lung adenocarcinoma (LUAD).</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Secondary Objective: To identify specific immune cell phenotypes that may contribute to the risk or protection against LUSC and LUAD, thereby enhancing the understanding of the immunological underpinnings in both subtypes of lung cancer.</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Pre-specified Causal Hypotheses: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Hypothesis 1: Certain immune cell phenotypes are causally associated with an increased risk of developing LUSC and potentially LUAD.</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Hypothesis 2: Other immune cell phenotypes may provide a protective effect against the development of LUSC and LUAD.</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Hypothesis 3: The causal relationships between immune cell phenotypes and LUSC and LUAD may vary, reflecting the distinct pathological characteristics of these subtypes.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Explanation of MR as a Method:</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Method Description: This study employs Mendelian Randomization (MR), using genetic variants as instrumental variables to estimate causal effects between exposures (immune cell phenotypes) and outcomes (lung cancer subtypes LUSC and LUAD).</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Underlying Assumptions: MR relies on the assumptions that genetic variants are associated with the exposure, not associated with confounders, and influence the outcome only through the exposure. Under these assumptions, MR aims to provide causal effect estimates, minimizing biases inherent in observational studies.</w:t>
            </w:r>
          </w:p>
        </w:tc>
      </w:tr>
      <w:tr>
        <w:tblPrEx>
          <w:tblCellMar>
            <w:top w:w="0" w:type="dxa"/>
            <w:left w:w="108" w:type="dxa"/>
            <w:bottom w:w="0" w:type="dxa"/>
            <w:right w:w="108" w:type="dxa"/>
          </w:tblCellMar>
        </w:tblPrEx>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7041"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p>
        </w:tc>
        <w:tc>
          <w:tcPr>
            <w:tcW w:w="4320" w:type="dxa"/>
            <w:shd w:val="clear" w:color="auto" w:fill="EEEEEE"/>
          </w:tcPr>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Design Overview: This study employs a two-sample Mendelian Randomization approach to explore the causal relationship between immune cell phenotypes and lung cancer subtypes, specifically LUSC and LUAD.</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Population Basis: The analysis utilizes genetic data from large-scale genome-wide association studies (GWAS), representing a broad European population.</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Data Sources:</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GWAS Data for Lung Cancer: GWAS summary data for lung cancer, including LUSC and LUAD, were obtained from the GWAS Catalog (https://www.ebi.ac.uk/gwas/), with accession numbers GCST004750 (LUSC) and GCST004744 (LUAD).</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Immunity-wide GWAS Data: Data on immune features were sourced from the GWAS catalog, covering a comprehensive dataset of 731 immune phenotypes, with accession numbers from GCST0001391 to GCST0002121.</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Setting and Locations:</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Data Origin: The GWAS data used in this study are derived from large-scale studies conducted in European populations.</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Study Scope: While based on European data, the findings have broader implications for understanding the role of immune cells in lung cancer globally.</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Relevant Dates:</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Data Collection Period: The original GWAS data were collected over various periods, as detailed in the respective studies (e.g., McKay et al. 2017 for lung cancer GWAS).</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Recruitment, Exposure, Follow-up:</w:t>
            </w:r>
          </w:p>
          <w:p>
            <w:pPr>
              <w:spacing w:before="96" w:beforeLines="40" w:after="96" w:afterLines="40" w:line="24" w:lineRule="atLeast"/>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Recruitment and Exposure: As this study is a secondary analysis of existing GWAS data, details of recruitment and exposure pertain to the original GWAS studies.</w:t>
            </w:r>
          </w:p>
          <w:p>
            <w:pPr>
              <w:spacing w:before="96" w:beforeLines="40" w:after="96" w:afterLines="40" w:line="24" w:lineRule="atLeast"/>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Follow-up and Data Collection: Follow-up and data collection periods are as per the original GWAS datasets, with the focus of this MR study being on the analysis of pre-existing data.</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20" w:type="dxa"/>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320" w:type="dxa"/>
          </w:tcPr>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Eligibility Criteria and Participant Selection:</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Criteria: The study utilized pre-existing GWAS datasets, hence the eligibility criteria and participant selection were as per the original GWAS studies. These studies typically include criteria based on age, health status, and specific genetic markers.</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Sample Size:</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GWAS Data for Lung Cancer: The GWAS data for lung cancer included 129,809 European individuals (18,699 cases and 111,110 controls) with approximately 156,688,129 variants analyzed.</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Immunity-wide GWAS Data: The immune feature GWAS involved a cohort of 3,757 European individuals, with no overlapping cohorts.</w:t>
            </w:r>
          </w:p>
          <w:p>
            <w:pPr>
              <w:spacing w:before="96" w:beforeLines="40" w:after="96" w:afterLines="40" w:line="24" w:lineRule="atLeast"/>
              <w:textAlignment w:val="baseline"/>
              <w:rPr>
                <w:rFonts w:eastAsia="Times New Roman"/>
                <w:sz w:val="18"/>
                <w:szCs w:val="18"/>
                <w:shd w:val="clear" w:color="auto" w:fill="FFFFFF"/>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Measurement of Genetic Variants: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Data Source: The measurement of genetic variants was conducted as part of the GWAS datasets. Specific methods of genetic measurement, including SNP genotyping platforms, are detailed in the original GWAS publications.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Quality Control:</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Data Filtering: The GWAS data underwent rigorous quality control measures, including filtering for call rate, minor allele frequency, and Hardy-Weinberg equilibrium, as detailed in the original GWAS methodology.</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Selection of Genetic Variants: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Criteria for Instrumental Variables: In this MR study, SNPs were selected as instrumental variables based on their association with immune cell phenotypes. The selection criteria included a P-value of less than 1×10⁻⁵ from the GWAS data related to each immune trait. SNPs exhibiting linkage disequilibrium (LD) r² values greater than 0.1 within a 500 kb range were filtered out using the PLINK tool.</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Instrument Strength: The strength of the selected SNPs as instrumental variables was assessed by calculating the F-statistic for each immune trait, ensuring they are strong and valid instruments for the MR analysis.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320" w:type="dxa"/>
          </w:tcPr>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Exposure Assessment:</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Immune Cell Phenotypes: The exposure in this study consists of 731 immune cell phenotypes. These were assessed using statistical data from the GWAS catalog, with accession numbers ranging from GCST0001391 to GCST0002121. The immune phenotypes encompassed various cell types and markers, categorized into absolute cell counts, median fluorescence intensities, morphological parameters, and relative cell counts.</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Outcome Assessment:</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Lung Cancer Subtypes (LUSC and LUAD): The outcomes of interest are lung squamous cell carcinoma (LUSC) and lung adenocarcinoma (LUAD). These were identified using GWAS summary data for lung cancer, sourced from the GWAS Catalog with accession numbers GCST004750 (LUSC) and GCST004744 (LUAD). The diagnostic criteria for these cancer subtypes are based on established clinical and histological parameters.</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Other Relevant Variables:</w:t>
            </w:r>
          </w:p>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Confounding Factors: Potential confounders, such as smoking, rheumatoid arthritis, body mass index, and genetic predispositions, were assessed using the Phenoscanner V2 website. This assessment helped ensure that the selected SNPs for MR analysis were independent of these established risk factors.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320" w:type="dxa"/>
            <w:shd w:val="clear" w:color="auto" w:fill="EEEEEE"/>
          </w:tcPr>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Ethics Committee Approval:</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Approval Details: This study is based on the analysis of pre-existing GWAS datasets. The original studies from which these data were derived obtained ethics committee approval. Details of these approvals can be found in the original GWAS publications.</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Participant Informed Consent:</w:t>
            </w:r>
          </w:p>
          <w:p>
            <w:pPr>
              <w:spacing w:before="96" w:beforeLines="40" w:after="96" w:afterLines="40" w:line="24" w:lineRule="atLeast"/>
              <w:textAlignment w:val="baseline"/>
              <w:rPr>
                <w:rFonts w:hint="eastAsia" w:eastAsia="Times New Roman"/>
                <w:sz w:val="18"/>
                <w:szCs w:val="18"/>
                <w:shd w:val="clear" w:color="auto" w:fill="FFFFFF"/>
                <w:lang w:val="en-GB" w:eastAsia="en-GB"/>
              </w:rPr>
            </w:pPr>
          </w:p>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Times New Roman"/>
                <w:sz w:val="18"/>
                <w:szCs w:val="18"/>
                <w:shd w:val="clear" w:color="auto" w:fill="FFFFFF"/>
                <w:lang w:val="en-GB" w:eastAsia="en-GB"/>
              </w:rPr>
              <w:t>Consent Process: The participants in the original GWAS studies provided informed consent for their genetic data to be used in research. The process and documentation of informed consent are described in the methodology section of the original GWAS studies.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Core IV Assumptions for Main Analysis: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Relevance: Genetic variants (IVs) are strongly associated with immune cell phenotypes.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Independence: IVs are independent of confounders affecting both exposure and outcome.</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Exclusion Restriction: IVs influence the outcome only through the exposure.</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Assumptions for Additional or Sensitivity Analysis: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Weighted Median Method: Assumes that at least 50% of the information comes from valid instrumental variables (IVs).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MR-Egger: Assumes balanced pleiotropic effects.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MR-PRESSO: Used for detecting and correcting outliers in instrumental variable analysis.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F-Statistics: Employed to calculate statistical power, ensuring the strength and validity of the selected genetic variants as instrumental variables.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Q-Statistic: Used to detect heterogeneity among the instrumental variables.</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False Discovery Rate (FDR): Applied in multiple testing to correct for the probability of false positive findings..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Handling of Quantitative Variables: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Scale and Units: The quantitative variables, primarily immune cell phenotypes, were analyzed using their respective scales and units as reported in the GWAS datasets.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Statistical Model: The study employed the inverse variance weighted (IVW) method as the primary model for Mendelian Randomization analysis. This method combines the Wald estimates for each SNP to estimate the overall effect of the exposure on the outcome.</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Data Transformation: No data transformation was performed for the analysis.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Handling of Genetic Variants: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Variant Selection: In this study, SNPs were selected as instrumental variables based on a P-value of less than 1×10⁻⁵ from the GWAS data related to each immune trait. SNPs exhibiting linkage disequilibrium (LD) r² values greater than 0.1 within a 500 kb range were filtered out using the PLINK tool.</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Weight Selection: For the inverse variance weighted (IVW) method, the weights of each SNP were determined by the precision of their estimates, typically using the inverse of the variance of the Wald ratio for each SNP.</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MR Estimator and Statistics: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MR Estimator: The primary MR estimator used in this study was the inverse variance weighted (IVW) method. This approach combines the Wald ratios of individual SNPs to estimate the overall causal effect.</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Related Statistics: Additional statistical methods for sensitivity analysis, such as MR-Egger regression and the weighted median estimator, were likely employed to assess the robustness of the results and to test for potential pleiotropic effects.</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Covariates:</w:t>
            </w:r>
          </w:p>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N</w:t>
            </w:r>
            <w:r>
              <w:rPr>
                <w:rFonts w:hint="eastAsia" w:eastAsia="Times New Roman"/>
                <w:sz w:val="18"/>
                <w:szCs w:val="18"/>
                <w:lang w:val="en-GB" w:eastAsia="en-GB"/>
              </w:rPr>
              <w:t>o adjustment was made for covariates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Addressing Missing Data:</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study did not specifically mention the handling of missing data. It can be assumed that the analysis was based on complete cases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Addressing Multiple Testing:</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study applied False Discovery Rate (FDR) correction to address the issue of multiple testing, particularly relevant when analyzing a large number of genetic variants. This method adjusts the p-values to reduce the risk of type I errors (false positives) in the context of multiple comparisons.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20"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p>
        </w:tc>
        <w:tc>
          <w:tcPr>
            <w:tcW w:w="4320"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The study employed F-statistics and MR-Egger </w:t>
            </w:r>
            <w:r>
              <w:rPr>
                <w:rFonts w:hint="eastAsia" w:eastAsia="宋体"/>
                <w:sz w:val="18"/>
                <w:szCs w:val="18"/>
                <w:lang w:val="en-US" w:eastAsia="zh-CN"/>
              </w:rPr>
              <w:t>intercept</w:t>
            </w:r>
            <w:r>
              <w:rPr>
                <w:rFonts w:hint="eastAsia" w:eastAsia="Times New Roman"/>
                <w:sz w:val="18"/>
                <w:szCs w:val="18"/>
                <w:lang w:val="en-GB" w:eastAsia="en-GB"/>
              </w:rPr>
              <w:t xml:space="preserve"> to assess the validity of the core assumptions of Mendelian Randomization.</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Initially, the Q-test method was utilized to evaluate potential heterogeneity among individual IVs, and p-value less than 0.05 from the Cochran Q test is considered indicative of heterogeneity in the results. Subsequently, the MR‐Egger intercept test was applied to estimate horizontal pleiotropy, guaranteeing that genetic variation has an independent relationship with both the exposure and outcome. We used MR-PRESSO to re-examine the presence of heterogeneous SNPs. Additionally, we conducted a leave-one-out (LOO) analysis, assessing whether the results were significantly influenced by individual SNPs by sequentially dropping each SNP and then performing MR analysis.</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Replication and Meta-Analysis: The study involved independent replication using the Transdisciplinary Research Into Cancer of the Lung (TRICL) data and a meta-analysis to validate the findings and enhance their robustness.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All statistical analyses were performed using R version 4.3.0. Specifically, for MR analysis, we employed the MendelianRandomization package</w:t>
            </w:r>
            <w:r>
              <w:rPr>
                <w:rFonts w:hint="eastAsia" w:eastAsia="宋体"/>
                <w:sz w:val="18"/>
                <w:szCs w:val="18"/>
                <w:lang w:val="en-US" w:eastAsia="zh-CN"/>
              </w:rPr>
              <w:t xml:space="preserve">0.9.0, </w:t>
            </w:r>
            <w:r>
              <w:rPr>
                <w:rFonts w:hint="eastAsia" w:eastAsia="宋体"/>
                <w:sz w:val="18"/>
                <w:szCs w:val="18"/>
                <w:lang w:val="en-GB" w:eastAsia="zh-CN"/>
              </w:rPr>
              <w:t>TwoSampleMR</w:t>
            </w:r>
            <w:r>
              <w:rPr>
                <w:rFonts w:hint="eastAsia" w:eastAsia="宋体"/>
                <w:sz w:val="18"/>
                <w:szCs w:val="18"/>
                <w:lang w:val="en-US" w:eastAsia="zh-CN"/>
              </w:rPr>
              <w:t xml:space="preserve">0.5.7, </w:t>
            </w:r>
            <w:r>
              <w:rPr>
                <w:rFonts w:hint="eastAsia" w:eastAsia="Times New Roman"/>
                <w:sz w:val="18"/>
                <w:szCs w:val="18"/>
                <w:lang w:val="en-GB" w:eastAsia="en-GB"/>
              </w:rPr>
              <w:t>MRPRESSO package</w:t>
            </w:r>
            <w:r>
              <w:rPr>
                <w:rFonts w:hint="eastAsia" w:eastAsia="宋体"/>
                <w:sz w:val="18"/>
                <w:szCs w:val="18"/>
                <w:lang w:val="en-US" w:eastAsia="zh-CN"/>
              </w:rPr>
              <w:t xml:space="preserve"> 1.0</w:t>
            </w:r>
            <w:r>
              <w:rPr>
                <w:rFonts w:hint="eastAsia" w:eastAsia="Times New Roman"/>
                <w:sz w:val="18"/>
                <w:szCs w:val="18"/>
                <w:lang w:val="en-GB" w:eastAsia="en-GB"/>
              </w:rPr>
              <w:t>.</w:t>
            </w:r>
          </w:p>
        </w:tc>
      </w:tr>
      <w:tr>
        <w:tblPrEx>
          <w:tblCellMar>
            <w:top w:w="0" w:type="dxa"/>
            <w:left w:w="108" w:type="dxa"/>
            <w:bottom w:w="0" w:type="dxa"/>
            <w:right w:w="108" w:type="dxa"/>
          </w:tblCellMar>
        </w:tblPrEx>
        <w:trPr>
          <w:trHeight w:val="90" w:hRule="atLeast"/>
        </w:trPr>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study did not involve pre-registration of the study protocol.</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vAlign w:val="top"/>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vAlign w:val="top"/>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methodology section of this paper provides the number of the sample population, but information about the population is not provided in the results section. Information on the excluded population and reasons for exclusion are not provided, nor is a flow diagram used.</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example text provides relevant information in Supplementary Tables S1-S2, which present information about the study subjects.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Assessments of Heterogeneity:</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Meta-Analysis Inclusion: The study included meta-analyses for both lung squamous cell carcinoma (LUSC) and lung adenocarcinoma (LUAD) to validate the causal relationships with specific immune phenotypes.</w:t>
            </w:r>
          </w:p>
          <w:p>
            <w:pPr>
              <w:spacing w:before="96" w:beforeLines="40" w:after="96" w:afterLines="40" w:line="24" w:lineRule="atLeast"/>
              <w:rPr>
                <w:rFonts w:hint="eastAsia" w:eastAsia="宋体"/>
                <w:sz w:val="18"/>
                <w:szCs w:val="18"/>
                <w:lang w:val="en-GB" w:eastAsia="zh-CN"/>
              </w:rPr>
            </w:pPr>
            <w:r>
              <w:rPr>
                <w:rFonts w:hint="eastAsia" w:eastAsia="Times New Roman"/>
                <w:sz w:val="18"/>
                <w:szCs w:val="18"/>
                <w:lang w:val="en-GB" w:eastAsia="en-GB"/>
              </w:rPr>
              <w:t>Heterogeneity Assessments: Heterogeneity across the studies included in the meta-analyses was assessed. The results indicated no significant heterogeneity among the studies, suggesting consistency in the findings across different datasets.</w:t>
            </w:r>
            <w:r>
              <w:rPr>
                <w:rFonts w:hint="eastAsia" w:eastAsia="宋体"/>
                <w:sz w:val="18"/>
                <w:szCs w:val="18"/>
                <w:lang w:val="en-US" w:eastAsia="zh-CN"/>
              </w:rPr>
              <w:t xml:space="preserve">As shown in </w:t>
            </w:r>
            <w:r>
              <w:rPr>
                <w:rFonts w:hint="eastAsia" w:eastAsia="Times New Roman"/>
                <w:sz w:val="18"/>
                <w:szCs w:val="18"/>
                <w:lang w:val="en-GB" w:eastAsia="en-GB"/>
              </w:rPr>
              <w:t>Supplementary Tables S</w:t>
            </w:r>
            <w:r>
              <w:rPr>
                <w:rFonts w:hint="eastAsia" w:eastAsia="宋体"/>
                <w:sz w:val="18"/>
                <w:szCs w:val="18"/>
                <w:lang w:val="en-US" w:eastAsia="zh-CN"/>
              </w:rPr>
              <w:t>8</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No </w:t>
            </w:r>
            <w:r>
              <w:rPr>
                <w:rFonts w:hint="eastAsia" w:eastAsia="Times New Roman"/>
                <w:sz w:val="18"/>
                <w:szCs w:val="18"/>
                <w:lang w:val="en-GB" w:eastAsia="en-GB"/>
              </w:rPr>
              <w:t>report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22"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No </w:t>
            </w:r>
            <w:r>
              <w:rPr>
                <w:rFonts w:hint="eastAsia" w:eastAsia="Times New Roman"/>
                <w:sz w:val="18"/>
                <w:szCs w:val="18"/>
                <w:lang w:val="en-GB" w:eastAsia="en-GB"/>
              </w:rPr>
              <w:t>report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Lung Adenocarcinoma (LUAD): The study did not find statistically significant differences between immune cell phenotypes and LUAD.</w:t>
            </w:r>
          </w:p>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Lung Squamous Cell Carcinoma (LUSC): Our LUSC study revealed associations with risk: CD28 on resting CD4 regulatory T cells (OR = 1.11, 95% CI = 1.06–1.16, p = 1.70E-05, PFDR = 1.2E-02) and CD45RA+ CD28- CD8+ T cell %T cell (OR = 1.00, 95% CI = 1.00–1.00, p = 2.60E-04, PFDR =3.10E-02). Additionally, we identified an immunophenotype, CCR2 on monocytes (OR = 0.93, 95% CI: 0.90–0.97, p = 8.10E-5, FDR = 1.6E-02), exhibiting protective effects against LUSC susceptibility.</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No </w:t>
            </w:r>
            <w:r>
              <w:rPr>
                <w:rFonts w:hint="eastAsia" w:eastAsia="Times New Roman"/>
                <w:sz w:val="18"/>
                <w:szCs w:val="18"/>
                <w:lang w:val="en-GB" w:eastAsia="en-GB"/>
              </w:rPr>
              <w:t>report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study includes various plots to visualize the results of the MR analysis. These may include forest plots for displaying MR estimates for each immune phenotype associated with lung cancer subtypes (LUSC and LUAD), and scatterplots to illustrate the associations between genetic variants and lung cancer subtypes versus the associations between genetic variants and immune cell phenotypes.</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example text reports the results of the assessment of the validity of relevant assumptions in multiple places throughout the main text and the appendices, such as in Supplementary Tables 3-4, S6-7 [15]. It reports the statistical power of the instrumental variables in each association, represented by F-statistic values. The Q-statistic is used to detect heterogeneity in the statistical model, assessing its stability.</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Times New Roman"/>
                <w:sz w:val="18"/>
                <w:szCs w:val="18"/>
                <w:lang w:val="en-GB" w:eastAsia="en-GB"/>
              </w:rPr>
              <w:t>The study includes assessments of heterogeneity across the genetic variants used as instrumental variables, utilizing the Q statistic (Q test).</w:t>
            </w:r>
            <w:r>
              <w:rPr>
                <w:rFonts w:hint="eastAsia" w:eastAsia="宋体"/>
                <w:sz w:val="18"/>
                <w:szCs w:val="18"/>
                <w:lang w:val="en-US" w:eastAsia="zh-CN"/>
              </w:rPr>
              <w:t>,</w:t>
            </w:r>
            <w:r>
              <w:rPr>
                <w:rFonts w:hint="eastAsia" w:eastAsia="Times New Roman"/>
                <w:sz w:val="18"/>
                <w:szCs w:val="18"/>
                <w:lang w:val="en-GB" w:eastAsia="en-GB"/>
              </w:rPr>
              <w:t>such as in Supplementary Tables 3-4, S6-7</w:t>
            </w:r>
            <w:r>
              <w:rPr>
                <w:rFonts w:hint="eastAsia" w:eastAsia="宋体"/>
                <w:sz w:val="18"/>
                <w:szCs w:val="18"/>
                <w:lang w:val="en-US" w:eastAsia="zh-CN"/>
              </w:rPr>
              <w: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7041" w:type="dxa"/>
            <w:shd w:val="clear" w:color="auto" w:fill="auto"/>
          </w:tcPr>
          <w:p>
            <w:pPr>
              <w:spacing w:before="96" w:beforeLines="40" w:after="96" w:afterLines="40" w:line="24" w:lineRule="atLeast"/>
              <w:rPr>
                <w:rFonts w:eastAsia="Cambria"/>
                <w:sz w:val="18"/>
                <w:szCs w:val="18"/>
                <w:lang w:val="en-GB" w:eastAsia="en-US"/>
              </w:rPr>
            </w:pPr>
          </w:p>
        </w:tc>
        <w:tc>
          <w:tcPr>
            <w:tcW w:w="720" w:type="dxa"/>
          </w:tcPr>
          <w:p>
            <w:pPr>
              <w:spacing w:before="96" w:beforeLines="40" w:after="96" w:afterLines="40" w:line="24" w:lineRule="atLeast"/>
              <w:rPr>
                <w:rFonts w:eastAsia="Cambria"/>
                <w:sz w:val="18"/>
                <w:szCs w:val="18"/>
                <w:lang w:val="en-GB" w:eastAsia="en-US"/>
              </w:rPr>
            </w:pPr>
          </w:p>
        </w:tc>
        <w:tc>
          <w:tcPr>
            <w:tcW w:w="4320"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hint="eastAsia" w:eastAsia="Times New Roman"/>
                <w:sz w:val="18"/>
                <w:szCs w:val="18"/>
                <w:lang w:val="en-GB" w:eastAsia="en-GB"/>
              </w:rPr>
            </w:pPr>
            <w:r>
              <w:rPr>
                <w:rFonts w:hint="eastAsia" w:eastAsia="宋体"/>
                <w:sz w:val="18"/>
                <w:szCs w:val="18"/>
                <w:lang w:val="en-US" w:eastAsia="zh-CN"/>
              </w:rPr>
              <w:t>S</w:t>
            </w:r>
            <w:r>
              <w:rPr>
                <w:rFonts w:hint="eastAsia" w:eastAsia="Times New Roman"/>
                <w:sz w:val="18"/>
                <w:szCs w:val="18"/>
                <w:lang w:val="en-GB" w:eastAsia="en-GB"/>
              </w:rPr>
              <w:t>ubsequent analysis involved a further evaluation of these seven immune cell traits. We excluded four immune cells - SSC-A on lymphocyte, HLA DR on CD33- HLA, CD20 on IgD- CD24- B cell, and HLA DR on Dendritic Cell - based on not meeting the criteria of Q-test method p&lt;0.05, or MR-Egger intercept test p&lt;0.05, or MR-PRESSO method p&lt;0.05(Supplementary Table S5).</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The refined analysis focused on three types of immune cells, comprising two from the Treg panel and one from the cDC panel. Our LUSC study revealed associations with risk: CD28 on resting CD4 regulatory T cells (OR = 1.11, 95% CI = 1.06–1.16, p = 1.70E-05, PFDR = 1.2E-02) and CD45RA+ CD28- CD8+ T cell %T cell (OR = 1.00, 95% CI = 1.00–1.00, p = 2.60E-04, PFDR =3.10E-02). Additionally, we identified an immunophenotype, CCR2 on monocytes (OR = 0.93, 95% CI: 0.90–0.97, p = 8.10E-5, FDR = 1.6E-02), exhibiting protective effects against LUSC susceptibility.</w:t>
            </w:r>
          </w:p>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In summury, The IVW estimates for the three selected immune cells were significant, maintained significance after FDR correction, and were consistent in direction and magnitude (Fig.3). The Cochran Q Test (p&gt; 0.05) and MR-Egger intercept test (p&gt; 0.05) indicated no heterogeneity or pleiotropy. Similarly, MR-PRESSO results, after outlier removal, did not suggest the presence of heterogeneous SNPs（Table 1）. The LOO analysis further supported the reliability of our MR estimation, as shown in Supplementary Figure S1. These findings led us to consider these three immune cells as prime candidates for further analysis (Supplementary Fig. S2).</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No </w:t>
            </w:r>
            <w:r>
              <w:rPr>
                <w:rFonts w:hint="eastAsia" w:eastAsia="Times New Roman"/>
                <w:sz w:val="18"/>
                <w:szCs w:val="18"/>
                <w:lang w:val="en-GB" w:eastAsia="en-GB"/>
              </w:rPr>
              <w:t>report</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No </w:t>
            </w:r>
            <w:r>
              <w:rPr>
                <w:rFonts w:hint="eastAsia" w:eastAsia="Times New Roman"/>
                <w:sz w:val="18"/>
                <w:szCs w:val="18"/>
                <w:lang w:val="en-GB" w:eastAsia="en-GB"/>
              </w:rPr>
              <w:t>report</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No </w:t>
            </w:r>
            <w:r>
              <w:rPr>
                <w:rFonts w:hint="eastAsia" w:eastAsia="Times New Roman"/>
                <w:sz w:val="18"/>
                <w:szCs w:val="18"/>
                <w:lang w:val="en-GB" w:eastAsia="en-GB"/>
              </w:rPr>
              <w:t>report</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study includes leave-one-out analysis plots, as shown in the Supplementary Fig. S2. within the article</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Our study suggests that CD28 on resting CD4 regulatory T cells and CD45RA+ CD28- CD8+ T cell %T cell increases the risk of LUSC, while a phenotype of CCR2 on monocytes is associated with a reduced risk of LUSC. However, we did not find any immune cells with a causal relationship in LUAD. Our conclusions were further reinforced by replication and meta-analysis, and subsequently, our estimates remained significant after excluding SNPs associated with confounding factors.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Nevertheless, the study has some limitations. First, the analysis is based on publicly available GWAS data, which only represents European populations. Therefore, caution should be taken when extrapolating the results of this study to other ethnic groups. Second, as mentioned above, our observations on CCR2+ monocytes differ from current literature viewpoints. Such discrepancies may arise due to variations in sample sources, experimental conditions, or statistical methods. Biological complexity in dynamic systems of the tumor microenvironment may also be a relevant factor. Thus, investigating the precise role of circulating CCR2+ monocytes in LUSC risk becomes necessary, considering the current controversy. Finally, our study primarily examines specific immune cell traits, but we cannot disregard the impacts of other cell types or factors that may impact the risk of LUSC. For instance, certain tumor-infiltrating myeloid cell subsets, m6A regulation, genomic alterations, and specific somatic mutations can play pivotal roles in regulating the interactions between various immune cells and influence tumor development . Therefore, while our research lays the groundwork, more comprehensive understandings of these factors and their interactions are required. </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2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7041" w:type="dxa"/>
            <w:shd w:val="clear" w:color="auto" w:fill="EEEEEE"/>
          </w:tcPr>
          <w:p>
            <w:pPr>
              <w:spacing w:before="96" w:beforeLines="40" w:after="96" w:afterLines="40" w:line="24" w:lineRule="atLeast"/>
              <w:rPr>
                <w:rFonts w:eastAsia="Cambria"/>
                <w:sz w:val="18"/>
                <w:szCs w:val="18"/>
                <w:lang w:val="en-GB" w:eastAsia="en-US"/>
              </w:rPr>
            </w:pPr>
          </w:p>
        </w:tc>
        <w:tc>
          <w:tcPr>
            <w:tcW w:w="720" w:type="dxa"/>
            <w:shd w:val="clear" w:color="auto" w:fill="EEEEEE"/>
          </w:tcPr>
          <w:p>
            <w:pPr>
              <w:spacing w:before="96" w:beforeLines="40" w:after="96" w:afterLines="40" w:line="24" w:lineRule="atLeast"/>
              <w:rPr>
                <w:rFonts w:eastAsia="Cambria"/>
                <w:sz w:val="18"/>
                <w:szCs w:val="18"/>
                <w:lang w:val="en-GB" w:eastAsia="en-US"/>
              </w:rPr>
            </w:pPr>
          </w:p>
        </w:tc>
        <w:tc>
          <w:tcPr>
            <w:tcW w:w="4320"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7041"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hint="eastAsia" w:eastAsia="Times New Roman"/>
                <w:sz w:val="18"/>
                <w:szCs w:val="18"/>
                <w:lang w:val="en-GB" w:eastAsia="en-GB"/>
              </w:rPr>
            </w:pPr>
            <w:r>
              <w:rPr>
                <w:rFonts w:hint="eastAsia" w:eastAsia="Times New Roman"/>
                <w:sz w:val="18"/>
                <w:szCs w:val="18"/>
                <w:lang w:val="en-GB" w:eastAsia="en-GB"/>
              </w:rPr>
              <w:t>The example text dedicates the largest section to discussing this item, providing a reasonable interpretation of the MR results by comparing them with multiple published studies.</w:t>
            </w:r>
          </w:p>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article has explored the possible biological mechanisms.</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22"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7041"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20" w:type="dxa"/>
          </w:tcPr>
          <w:p>
            <w:pPr>
              <w:tabs>
                <w:tab w:val="left" w:pos="1350"/>
              </w:tabs>
              <w:spacing w:before="96" w:beforeLines="40" w:after="96" w:afterLines="40" w:line="24" w:lineRule="atLeast"/>
              <w:rPr>
                <w:rFonts w:eastAsia="Times New Roman"/>
                <w:sz w:val="18"/>
                <w:szCs w:val="18"/>
                <w:lang w:val="en-GB" w:eastAsia="en-GB"/>
              </w:rPr>
            </w:pPr>
          </w:p>
        </w:tc>
        <w:tc>
          <w:tcPr>
            <w:tcW w:w="4320" w:type="dxa"/>
          </w:tcPr>
          <w:p>
            <w:pPr>
              <w:tabs>
                <w:tab w:val="left" w:pos="1350"/>
              </w:tabs>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In summary, we performed a two-sample Mendelian randomization study to investigate the causal connections between different immune phenotypes and LUSC or LUAD. Our analysis demonstrated that the causal relationship is more pronounced in LUSC and three immune cell types correlated with LUSC susceptibility, while the association with LUAD is statistically insignificant. These findings enhance our comprehension of the complex interplay between the immune system and lung cancers. This study yields new perspectives into managing cancer risk, potentially providing more precise therapeutic alternatives for individuals with lung cancer, and furnishing valuable information for future scientific research.</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7041"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w:t>
            </w:r>
            <w:r>
              <w:rPr>
                <w:rFonts w:hint="eastAsia" w:eastAsia="宋体"/>
                <w:sz w:val="18"/>
                <w:szCs w:val="18"/>
                <w:lang w:val="en-US" w:eastAsia="zh-CN"/>
              </w:rPr>
              <w:t xml:space="preserve"> </w:t>
            </w:r>
            <w:r>
              <w:rPr>
                <w:rFonts w:hint="eastAsia" w:eastAsia="Times New Roman"/>
                <w:sz w:val="18"/>
                <w:szCs w:val="18"/>
                <w:lang w:val="en-GB" w:eastAsia="en-GB"/>
              </w:rPr>
              <w:t>text reports in the discussion that "Furthermore, while this study's limitation to a European ancestry population may reduce potential biases from population stratification, it limits the generalizability of the MR results to other populations."</w:t>
            </w:r>
          </w:p>
        </w:tc>
      </w:tr>
      <w:tr>
        <w:tblPrEx>
          <w:tblCellMar>
            <w:top w:w="0" w:type="dxa"/>
            <w:left w:w="108" w:type="dxa"/>
            <w:bottom w:w="0" w:type="dxa"/>
            <w:right w:w="108" w:type="dxa"/>
          </w:tblCellMar>
        </w:tblPrEx>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22"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7041"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20"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320"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2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7041"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pPr>
              <w:spacing w:before="96" w:beforeLines="40" w:after="96" w:afterLines="40" w:line="24" w:lineRule="atLeast"/>
              <w:rPr>
                <w:rFonts w:eastAsia="Times New Roman"/>
                <w:sz w:val="18"/>
                <w:szCs w:val="18"/>
                <w:lang w:val="en-GB" w:eastAsia="en-GB"/>
              </w:rPr>
            </w:pPr>
          </w:p>
        </w:tc>
        <w:tc>
          <w:tcPr>
            <w:tcW w:w="4320"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 xml:space="preserve">This study was made possible through the generous support from the Natural Science Foundation of China (grant no. 82060078) and the Guangxi Key Research and Development Program (Guike AB23026006). </w:t>
            </w:r>
          </w:p>
        </w:tc>
      </w:tr>
      <w:tr>
        <w:tblPrEx>
          <w:tblCellMar>
            <w:top w:w="0" w:type="dxa"/>
            <w:left w:w="108" w:type="dxa"/>
            <w:bottom w:w="0" w:type="dxa"/>
            <w:right w:w="108" w:type="dxa"/>
          </w:tblCellMar>
        </w:tblPrEx>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2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7041"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20" w:type="dxa"/>
          </w:tcPr>
          <w:p>
            <w:pPr>
              <w:spacing w:before="96" w:beforeLines="40" w:after="96" w:afterLines="40" w:line="24" w:lineRule="atLeast"/>
              <w:rPr>
                <w:rFonts w:eastAsia="Times New Roman"/>
                <w:sz w:val="18"/>
                <w:szCs w:val="18"/>
                <w:lang w:val="en-GB" w:eastAsia="en-GB"/>
              </w:rPr>
            </w:pPr>
          </w:p>
        </w:tc>
        <w:tc>
          <w:tcPr>
            <w:tcW w:w="4320" w:type="dxa"/>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All data used in this study are publicly available. No human subject approvals were necessary to conduct these analyses. All the data can be found from the GWAS directory (https://gwas.mrcieu.ac). The serial numbers of the immune cells are from GCST0001391 to GCST0002121, respectively. For the LUSC and LUAD data used for the primary analysis, the serial number is GCST004750 and GCST004744, and the LUSC and LUAD serial numbers used for the replication and meta-analysis are ieu-a-989 and ieu-a-984</w:t>
            </w:r>
          </w:p>
        </w:tc>
      </w:tr>
      <w:tr>
        <w:tblPrEx>
          <w:tblCellMar>
            <w:top w:w="0" w:type="dxa"/>
            <w:left w:w="108" w:type="dxa"/>
            <w:bottom w:w="0" w:type="dxa"/>
            <w:right w:w="108" w:type="dxa"/>
          </w:tblCellMar>
        </w:tblPrEx>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2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7041"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32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authors declare that they have no competing interests.</w:t>
            </w:r>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7"/>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VhY2ZlNWY1N2I0ZWZlN2UwZWRiMmZmYzJlMGU4NDQ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0CAA2919"/>
    <w:rsid w:val="10F74768"/>
    <w:rsid w:val="207F6C83"/>
    <w:rsid w:val="27D64240"/>
    <w:rsid w:val="31B457C7"/>
    <w:rsid w:val="3AA553FF"/>
    <w:rsid w:val="4E582153"/>
    <w:rsid w:val="62AD731D"/>
    <w:rsid w:val="783A38D3"/>
    <w:rsid w:val="7DB575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0" w:line="276" w:lineRule="auto"/>
    </w:pPr>
    <w:rPr>
      <w:rFonts w:ascii="Arial" w:hAnsi="Arial" w:eastAsia="Arial" w:cs="Arial"/>
      <w:sz w:val="22"/>
      <w:szCs w:val="22"/>
      <w:lang w:val="en" w:eastAsia="de-CH"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680"/>
        <w:tab w:val="right" w:pos="9360"/>
      </w:tabs>
      <w:spacing w:line="240" w:lineRule="auto"/>
    </w:pPr>
  </w:style>
  <w:style w:type="paragraph" w:styleId="3">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6">
    <w:name w:val="Strong"/>
    <w:basedOn w:val="5"/>
    <w:autoRedefine/>
    <w:qFormat/>
    <w:uiPriority w:val="22"/>
    <w:rPr>
      <w:b/>
    </w:rPr>
  </w:style>
  <w:style w:type="character" w:styleId="7">
    <w:name w:val="page number"/>
    <w:basedOn w:val="5"/>
    <w:autoRedefine/>
    <w:semiHidden/>
    <w:unhideWhenUsed/>
    <w:qFormat/>
    <w:uiPriority w:val="99"/>
  </w:style>
  <w:style w:type="character" w:styleId="8">
    <w:name w:val="line number"/>
    <w:basedOn w:val="5"/>
    <w:autoRedefine/>
    <w:semiHidden/>
    <w:unhideWhenUsed/>
    <w:qFormat/>
    <w:uiPriority w:val="99"/>
  </w:style>
  <w:style w:type="character" w:customStyle="1" w:styleId="9">
    <w:name w:val="Footer Char"/>
    <w:basedOn w:val="5"/>
    <w:link w:val="2"/>
    <w:autoRedefine/>
    <w:qFormat/>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0931C-FCE2-4CC4-80DE-15614B41F1F9}">
  <ds:schemaRefs/>
</ds:datastoreItem>
</file>

<file path=customXml/itemProps2.xml><?xml version="1.0" encoding="utf-8"?>
<ds:datastoreItem xmlns:ds="http://schemas.openxmlformats.org/officeDocument/2006/customXml" ds:itemID="{B7DA32DB-E5B8-4E32-AD11-08F2E668867B}">
  <ds:schemaRefs/>
</ds:datastoreItem>
</file>

<file path=customXml/itemProps3.xml><?xml version="1.0" encoding="utf-8"?>
<ds:datastoreItem xmlns:ds="http://schemas.openxmlformats.org/officeDocument/2006/customXml" ds:itemID="{A9898B61-61B7-44F1-9388-8B27875B1EDA}">
  <ds:schemaRefs/>
</ds:datastoreItem>
</file>

<file path=customXml/itemProps4.xml><?xml version="1.0" encoding="utf-8"?>
<ds:datastoreItem xmlns:ds="http://schemas.openxmlformats.org/officeDocument/2006/customXml" ds:itemID="{5DF20111-77FD-4F18-8E31-D737874646AB}">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16</Pages>
  <Words>1713</Words>
  <Characters>11466</Characters>
  <Lines>286</Lines>
  <Paragraphs>146</Paragraphs>
  <TotalTime>0</TotalTime>
  <ScaleCrop>false</ScaleCrop>
  <LinksUpToDate>false</LinksUpToDate>
  <CharactersWithSpaces>13033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KYKF</cp:lastModifiedBy>
  <cp:lastPrinted>2021-09-28T07:08:00Z</cp:lastPrinted>
  <dcterms:modified xsi:type="dcterms:W3CDTF">2024-04-26T02:18:05Z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2052-12.1.0.16729</vt:lpwstr>
  </property>
  <property fmtid="{D5CDD505-2E9C-101B-9397-08002B2CF9AE}" pid="27" name="ICV">
    <vt:lpwstr>7451578AAD2D4693800F153D1243064E_12</vt:lpwstr>
  </property>
</Properties>
</file>