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4DFC3" w14:textId="77777777" w:rsidR="00183B4B" w:rsidRDefault="00183B4B" w:rsidP="00183B4B">
      <w:pPr>
        <w:pStyle w:val="Heading1"/>
        <w:rPr>
          <w:lang w:val="en-US"/>
        </w:rPr>
      </w:pPr>
      <w:r>
        <w:rPr>
          <w:lang w:val="en-US"/>
        </w:rPr>
        <w:t xml:space="preserve">Additional File 4. </w:t>
      </w:r>
      <w:r w:rsidRPr="00FB1093">
        <w:rPr>
          <w:lang w:val="en-US"/>
        </w:rPr>
        <w:t>Models selected through different variable selection methods</w:t>
      </w:r>
    </w:p>
    <w:p w14:paraId="10D92544" w14:textId="77777777" w:rsidR="00183B4B" w:rsidRPr="00FB1093" w:rsidRDefault="00183B4B" w:rsidP="00183B4B">
      <w:pPr>
        <w:rPr>
          <w:lang w:val="en-US"/>
        </w:rPr>
      </w:pPr>
    </w:p>
    <w:tbl>
      <w:tblPr>
        <w:tblStyle w:val="TableGridLight"/>
        <w:tblW w:w="13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2013"/>
        <w:gridCol w:w="6179"/>
        <w:gridCol w:w="1914"/>
        <w:gridCol w:w="1871"/>
        <w:gridCol w:w="1871"/>
      </w:tblGrid>
      <w:tr w:rsidR="00183B4B" w:rsidRPr="00F25163" w14:paraId="23ECA2BA" w14:textId="77777777" w:rsidTr="004B319E">
        <w:trPr>
          <w:trHeight w:val="20"/>
        </w:trPr>
        <w:tc>
          <w:tcPr>
            <w:tcW w:w="2013" w:type="dxa"/>
          </w:tcPr>
          <w:p w14:paraId="75776AFB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79" w:type="dxa"/>
            <w:vAlign w:val="center"/>
            <w:hideMark/>
          </w:tcPr>
          <w:p w14:paraId="015011C1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</w:rPr>
            </w:pPr>
            <w:r w:rsidRPr="00F25163">
              <w:rPr>
                <w:rFonts w:ascii="Times New Roman" w:hAnsi="Times New Roman" w:cs="Times New Roman"/>
                <w:b/>
                <w:bCs/>
              </w:rPr>
              <w:t xml:space="preserve">Variable </w:t>
            </w:r>
          </w:p>
        </w:tc>
        <w:tc>
          <w:tcPr>
            <w:tcW w:w="1914" w:type="dxa"/>
            <w:vAlign w:val="center"/>
            <w:hideMark/>
          </w:tcPr>
          <w:p w14:paraId="77C5C23F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5163">
              <w:rPr>
                <w:rFonts w:ascii="Times New Roman" w:hAnsi="Times New Roman" w:cs="Times New Roman"/>
                <w:b/>
                <w:bCs/>
              </w:rPr>
              <w:t>Backward stepwise</w:t>
            </w:r>
          </w:p>
        </w:tc>
        <w:tc>
          <w:tcPr>
            <w:tcW w:w="1871" w:type="dxa"/>
            <w:vAlign w:val="center"/>
            <w:hideMark/>
          </w:tcPr>
          <w:p w14:paraId="78B9E05F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5163">
              <w:rPr>
                <w:rFonts w:ascii="Times New Roman" w:hAnsi="Times New Roman" w:cs="Times New Roman"/>
                <w:b/>
                <w:bCs/>
              </w:rPr>
              <w:t>Forward stepwise</w:t>
            </w:r>
          </w:p>
        </w:tc>
        <w:tc>
          <w:tcPr>
            <w:tcW w:w="1871" w:type="dxa"/>
            <w:vAlign w:val="center"/>
            <w:hideMark/>
          </w:tcPr>
          <w:p w14:paraId="0DE1A110" w14:textId="4B3127BF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5163">
              <w:rPr>
                <w:rFonts w:ascii="Times New Roman" w:hAnsi="Times New Roman" w:cs="Times New Roman"/>
                <w:b/>
                <w:bCs/>
              </w:rPr>
              <w:t>L</w:t>
            </w:r>
            <w:r>
              <w:rPr>
                <w:rFonts w:ascii="Times New Roman" w:hAnsi="Times New Roman" w:cs="Times New Roman"/>
                <w:b/>
                <w:bCs/>
              </w:rPr>
              <w:t>ASSO</w:t>
            </w:r>
          </w:p>
        </w:tc>
      </w:tr>
      <w:tr w:rsidR="00183B4B" w:rsidRPr="00F25163" w14:paraId="4F7E6E5D" w14:textId="77777777" w:rsidTr="004B319E">
        <w:trPr>
          <w:trHeight w:val="20"/>
        </w:trPr>
        <w:tc>
          <w:tcPr>
            <w:tcW w:w="2013" w:type="dxa"/>
          </w:tcPr>
          <w:p w14:paraId="482B9116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79" w:type="dxa"/>
            <w:vAlign w:val="center"/>
          </w:tcPr>
          <w:p w14:paraId="4A69D8D3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6" w:type="dxa"/>
            <w:gridSpan w:val="3"/>
            <w:vAlign w:val="center"/>
          </w:tcPr>
          <w:p w14:paraId="59AFFCB4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5163">
              <w:rPr>
                <w:rFonts w:ascii="Times New Roman" w:hAnsi="Times New Roman" w:cs="Times New Roman"/>
                <w:b/>
                <w:bCs/>
              </w:rPr>
              <w:t xml:space="preserve">OR (95% </w:t>
            </w:r>
            <w:r>
              <w:rPr>
                <w:rFonts w:ascii="Times New Roman" w:hAnsi="Times New Roman" w:cs="Times New Roman"/>
                <w:b/>
                <w:bCs/>
              </w:rPr>
              <w:t>confidence interval</w:t>
            </w:r>
            <w:r w:rsidRPr="00F25163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183B4B" w:rsidRPr="00F25163" w14:paraId="3893C414" w14:textId="77777777" w:rsidTr="004B319E">
        <w:trPr>
          <w:trHeight w:val="20"/>
        </w:trPr>
        <w:tc>
          <w:tcPr>
            <w:tcW w:w="2013" w:type="dxa"/>
            <w:vMerge w:val="restart"/>
            <w:vAlign w:val="center"/>
          </w:tcPr>
          <w:p w14:paraId="405CD1FB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  <w:t>Demographics</w:t>
            </w:r>
          </w:p>
        </w:tc>
        <w:tc>
          <w:tcPr>
            <w:tcW w:w="6179" w:type="dxa"/>
            <w:vAlign w:val="center"/>
            <w:hideMark/>
          </w:tcPr>
          <w:p w14:paraId="43F06F1D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Age, per year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 xml:space="preserve"> increase</w:t>
            </w:r>
          </w:p>
        </w:tc>
        <w:tc>
          <w:tcPr>
            <w:tcW w:w="1914" w:type="dxa"/>
            <w:vAlign w:val="center"/>
          </w:tcPr>
          <w:p w14:paraId="79E378B5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1.03 (1.00-1.05)</w:t>
            </w:r>
          </w:p>
        </w:tc>
        <w:tc>
          <w:tcPr>
            <w:tcW w:w="1871" w:type="dxa"/>
            <w:vAlign w:val="center"/>
          </w:tcPr>
          <w:p w14:paraId="269ABB68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1.03 (1.01-1.06)</w:t>
            </w:r>
          </w:p>
        </w:tc>
        <w:tc>
          <w:tcPr>
            <w:tcW w:w="1871" w:type="dxa"/>
            <w:vAlign w:val="center"/>
          </w:tcPr>
          <w:p w14:paraId="19143DCE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1.02 (1.00-1.05)</w:t>
            </w:r>
          </w:p>
        </w:tc>
      </w:tr>
      <w:tr w:rsidR="00183B4B" w:rsidRPr="00F25163" w14:paraId="0B7D3385" w14:textId="77777777" w:rsidTr="004B319E">
        <w:trPr>
          <w:trHeight w:val="20"/>
        </w:trPr>
        <w:tc>
          <w:tcPr>
            <w:tcW w:w="2013" w:type="dxa"/>
            <w:vMerge/>
            <w:vAlign w:val="center"/>
          </w:tcPr>
          <w:p w14:paraId="17D60E9B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  <w:hideMark/>
          </w:tcPr>
          <w:p w14:paraId="09FB13E6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Male gender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>, vs female gender</w:t>
            </w:r>
          </w:p>
        </w:tc>
        <w:tc>
          <w:tcPr>
            <w:tcW w:w="1914" w:type="dxa"/>
            <w:vAlign w:val="center"/>
          </w:tcPr>
          <w:p w14:paraId="00370BE4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5ACFD92E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1.77 (1.09-2.88)</w:t>
            </w:r>
          </w:p>
        </w:tc>
        <w:tc>
          <w:tcPr>
            <w:tcW w:w="1871" w:type="dxa"/>
            <w:vAlign w:val="center"/>
          </w:tcPr>
          <w:p w14:paraId="72CBB21F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</w:tr>
      <w:tr w:rsidR="00183B4B" w:rsidRPr="00F25163" w14:paraId="74040710" w14:textId="77777777" w:rsidTr="004B319E">
        <w:trPr>
          <w:trHeight w:val="20"/>
        </w:trPr>
        <w:tc>
          <w:tcPr>
            <w:tcW w:w="2013" w:type="dxa"/>
            <w:vMerge/>
            <w:vAlign w:val="center"/>
          </w:tcPr>
          <w:p w14:paraId="5D2E2A4A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  <w:hideMark/>
          </w:tcPr>
          <w:p w14:paraId="4F1942D5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 xml:space="preserve">Minority 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>ethnic group, vs majority</w:t>
            </w:r>
          </w:p>
        </w:tc>
        <w:tc>
          <w:tcPr>
            <w:tcW w:w="1914" w:type="dxa"/>
            <w:vAlign w:val="center"/>
          </w:tcPr>
          <w:p w14:paraId="1725B914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1.91 (1.14-3.19)</w:t>
            </w:r>
          </w:p>
        </w:tc>
        <w:tc>
          <w:tcPr>
            <w:tcW w:w="1871" w:type="dxa"/>
            <w:vAlign w:val="center"/>
          </w:tcPr>
          <w:p w14:paraId="1D39E39F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2.04 (1.21-3.44)</w:t>
            </w:r>
          </w:p>
        </w:tc>
        <w:tc>
          <w:tcPr>
            <w:tcW w:w="1871" w:type="dxa"/>
            <w:vAlign w:val="center"/>
          </w:tcPr>
          <w:p w14:paraId="50DE1CCF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1.88 (1.12-3.17)</w:t>
            </w:r>
          </w:p>
        </w:tc>
      </w:tr>
      <w:tr w:rsidR="00183B4B" w:rsidRPr="00F25163" w14:paraId="0C29C3B5" w14:textId="77777777" w:rsidTr="004B319E">
        <w:trPr>
          <w:trHeight w:val="20"/>
        </w:trPr>
        <w:tc>
          <w:tcPr>
            <w:tcW w:w="2013" w:type="dxa"/>
            <w:vMerge w:val="restart"/>
            <w:vAlign w:val="center"/>
          </w:tcPr>
          <w:p w14:paraId="598FF728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</w:rPr>
            </w:pPr>
            <w:r w:rsidRPr="00F25163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</w:rPr>
              <w:t>Lung disease characteristics</w:t>
            </w:r>
          </w:p>
        </w:tc>
        <w:tc>
          <w:tcPr>
            <w:tcW w:w="6179" w:type="dxa"/>
            <w:vAlign w:val="center"/>
            <w:hideMark/>
          </w:tcPr>
          <w:p w14:paraId="0309AD99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>Index diagnosis: interstitial pulmonary diseases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255587EC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5D4C2B32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3.57 (1.95-6.52)</w:t>
            </w:r>
          </w:p>
        </w:tc>
        <w:tc>
          <w:tcPr>
            <w:tcW w:w="1871" w:type="dxa"/>
            <w:vAlign w:val="center"/>
          </w:tcPr>
          <w:p w14:paraId="4E22126D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</w:tr>
      <w:tr w:rsidR="00183B4B" w:rsidRPr="00F25163" w14:paraId="37DBF958" w14:textId="77777777" w:rsidTr="004B319E">
        <w:trPr>
          <w:trHeight w:val="20"/>
        </w:trPr>
        <w:tc>
          <w:tcPr>
            <w:tcW w:w="2013" w:type="dxa"/>
            <w:vMerge/>
            <w:vAlign w:val="center"/>
          </w:tcPr>
          <w:p w14:paraId="39459DA4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</w:rPr>
            </w:pPr>
          </w:p>
        </w:tc>
        <w:tc>
          <w:tcPr>
            <w:tcW w:w="6179" w:type="dxa"/>
            <w:vAlign w:val="center"/>
            <w:hideMark/>
          </w:tcPr>
          <w:p w14:paraId="3EBD80D5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>Complication: sequelae of respiratory and unspecified tuberculosis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07044692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4A1404B0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3.15 (1.40-7.11)</w:t>
            </w:r>
          </w:p>
        </w:tc>
        <w:tc>
          <w:tcPr>
            <w:tcW w:w="1871" w:type="dxa"/>
            <w:vAlign w:val="center"/>
          </w:tcPr>
          <w:p w14:paraId="7D04AFDF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</w:tr>
      <w:tr w:rsidR="00183B4B" w:rsidRPr="00F25163" w14:paraId="15F64765" w14:textId="77777777" w:rsidTr="004B319E">
        <w:trPr>
          <w:trHeight w:val="20"/>
        </w:trPr>
        <w:tc>
          <w:tcPr>
            <w:tcW w:w="2013" w:type="dxa"/>
            <w:vMerge w:val="restart"/>
            <w:vAlign w:val="center"/>
          </w:tcPr>
          <w:p w14:paraId="0CF97E36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</w:rPr>
            </w:pPr>
            <w:r w:rsidRPr="00F25163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</w:rPr>
              <w:t xml:space="preserve">Pulmonary history/parameters </w:t>
            </w:r>
          </w:p>
        </w:tc>
        <w:tc>
          <w:tcPr>
            <w:tcW w:w="6179" w:type="dxa"/>
            <w:vAlign w:val="center"/>
            <w:hideMark/>
          </w:tcPr>
          <w:p w14:paraId="5A6B9DE8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Most recent 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oxygen saturation</w:t>
            </w: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 &lt;95%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 </w:t>
            </w:r>
          </w:p>
        </w:tc>
        <w:tc>
          <w:tcPr>
            <w:tcW w:w="1914" w:type="dxa"/>
            <w:vAlign w:val="center"/>
          </w:tcPr>
          <w:p w14:paraId="6D95A146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2058EC06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0E6363BF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1.67 (0.92-3.03)</w:t>
            </w:r>
          </w:p>
        </w:tc>
      </w:tr>
      <w:tr w:rsidR="00183B4B" w:rsidRPr="00F25163" w14:paraId="0B0DC97A" w14:textId="77777777" w:rsidTr="004B319E">
        <w:trPr>
          <w:trHeight w:val="20"/>
        </w:trPr>
        <w:tc>
          <w:tcPr>
            <w:tcW w:w="2013" w:type="dxa"/>
            <w:vMerge/>
            <w:vAlign w:val="center"/>
          </w:tcPr>
          <w:p w14:paraId="241D993A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</w:rPr>
            </w:pPr>
          </w:p>
        </w:tc>
        <w:tc>
          <w:tcPr>
            <w:tcW w:w="6179" w:type="dxa"/>
            <w:vAlign w:val="center"/>
            <w:hideMark/>
          </w:tcPr>
          <w:p w14:paraId="1E8C0E01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Started 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long term oxygen therapy, yes vs no</w:t>
            </w:r>
          </w:p>
        </w:tc>
        <w:tc>
          <w:tcPr>
            <w:tcW w:w="1914" w:type="dxa"/>
            <w:vAlign w:val="center"/>
          </w:tcPr>
          <w:p w14:paraId="7E01FE39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4.34 (1.72-10.93)</w:t>
            </w:r>
          </w:p>
        </w:tc>
        <w:tc>
          <w:tcPr>
            <w:tcW w:w="1871" w:type="dxa"/>
            <w:vAlign w:val="center"/>
          </w:tcPr>
          <w:p w14:paraId="2D82C3F3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4.76 (1.81-12.5)</w:t>
            </w:r>
          </w:p>
        </w:tc>
        <w:tc>
          <w:tcPr>
            <w:tcW w:w="1871" w:type="dxa"/>
            <w:vAlign w:val="center"/>
          </w:tcPr>
          <w:p w14:paraId="0CA402D8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2.93 (1.09-7.92)</w:t>
            </w:r>
          </w:p>
        </w:tc>
      </w:tr>
      <w:tr w:rsidR="00183B4B" w:rsidRPr="00F25163" w14:paraId="64EDCDC8" w14:textId="77777777" w:rsidTr="004B319E">
        <w:trPr>
          <w:trHeight w:val="398"/>
        </w:trPr>
        <w:tc>
          <w:tcPr>
            <w:tcW w:w="2013" w:type="dxa"/>
            <w:vMerge w:val="restart"/>
            <w:vAlign w:val="center"/>
          </w:tcPr>
          <w:p w14:paraId="2AF6F8DB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</w:rPr>
            </w:pPr>
            <w:r w:rsidRPr="00F25163">
              <w:rPr>
                <w:rFonts w:ascii="Times New Roman" w:hAnsi="Times New Roman" w:cs="Times New Roman"/>
                <w:b/>
                <w:bCs/>
                <w:color w:val="000000" w:themeColor="dark1"/>
                <w:kern w:val="24"/>
              </w:rPr>
              <w:t xml:space="preserve">Functional/ physiological measurements </w:t>
            </w:r>
          </w:p>
        </w:tc>
        <w:tc>
          <w:tcPr>
            <w:tcW w:w="6179" w:type="dxa"/>
            <w:vAlign w:val="center"/>
            <w:hideMark/>
          </w:tcPr>
          <w:p w14:paraId="5FB5B17D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 xml:space="preserve">Most recent 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body mass index</w:t>
            </w: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>&lt;18.5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kg/m</w:t>
            </w: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5866F0A2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2.43 (1.47-4.00)</w:t>
            </w:r>
          </w:p>
        </w:tc>
        <w:tc>
          <w:tcPr>
            <w:tcW w:w="1871" w:type="dxa"/>
            <w:vAlign w:val="center"/>
          </w:tcPr>
          <w:p w14:paraId="002A6A18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2.95 (1.72-5.05)</w:t>
            </w:r>
          </w:p>
        </w:tc>
        <w:tc>
          <w:tcPr>
            <w:tcW w:w="1871" w:type="dxa"/>
            <w:vAlign w:val="center"/>
          </w:tcPr>
          <w:p w14:paraId="7634DC21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2.60 (1.56-4.33)</w:t>
            </w:r>
          </w:p>
        </w:tc>
      </w:tr>
      <w:tr w:rsidR="00183B4B" w:rsidRPr="00F25163" w14:paraId="48FC5751" w14:textId="77777777" w:rsidTr="004B319E">
        <w:trPr>
          <w:trHeight w:val="398"/>
        </w:trPr>
        <w:tc>
          <w:tcPr>
            <w:tcW w:w="2013" w:type="dxa"/>
            <w:vMerge/>
            <w:vAlign w:val="center"/>
          </w:tcPr>
          <w:p w14:paraId="11FC5A2F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  <w:hideMark/>
          </w:tcPr>
          <w:p w14:paraId="191C7F77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 xml:space="preserve">At least 1 assisted 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>Activity of Daily Living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7552A928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2.87 (1.64-5.01)</w:t>
            </w:r>
          </w:p>
        </w:tc>
        <w:tc>
          <w:tcPr>
            <w:tcW w:w="1871" w:type="dxa"/>
            <w:vAlign w:val="center"/>
          </w:tcPr>
          <w:p w14:paraId="7F3054D2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2.96 (1.64-5.32)</w:t>
            </w:r>
          </w:p>
        </w:tc>
        <w:tc>
          <w:tcPr>
            <w:tcW w:w="1871" w:type="dxa"/>
            <w:vAlign w:val="center"/>
          </w:tcPr>
          <w:p w14:paraId="7C32EEB4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2.65 (1.50-4.68)</w:t>
            </w:r>
          </w:p>
        </w:tc>
      </w:tr>
      <w:tr w:rsidR="00183B4B" w:rsidRPr="00F25163" w14:paraId="03407EF5" w14:textId="77777777" w:rsidTr="004B319E">
        <w:trPr>
          <w:trHeight w:val="291"/>
        </w:trPr>
        <w:tc>
          <w:tcPr>
            <w:tcW w:w="2013" w:type="dxa"/>
            <w:vMerge w:val="restart"/>
            <w:vAlign w:val="center"/>
          </w:tcPr>
          <w:p w14:paraId="13AE95DF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b/>
                <w:bCs/>
                <w:color w:val="000000"/>
                <w:kern w:val="24"/>
                <w:lang w:val="en-US"/>
              </w:rPr>
              <w:t>Prior healthcare utilization</w:t>
            </w:r>
          </w:p>
        </w:tc>
        <w:tc>
          <w:tcPr>
            <w:tcW w:w="6179" w:type="dxa"/>
            <w:vAlign w:val="center"/>
            <w:hideMark/>
          </w:tcPr>
          <w:p w14:paraId="2BB83E84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>History of polyclinic visits in 6 months prior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564311C3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660D4E70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27870E68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0.60 (0.37-0.97)</w:t>
            </w:r>
          </w:p>
        </w:tc>
      </w:tr>
      <w:tr w:rsidR="00183B4B" w:rsidRPr="00F25163" w14:paraId="1026790F" w14:textId="77777777" w:rsidTr="004B319E">
        <w:trPr>
          <w:trHeight w:val="291"/>
        </w:trPr>
        <w:tc>
          <w:tcPr>
            <w:tcW w:w="2013" w:type="dxa"/>
            <w:vMerge/>
            <w:vAlign w:val="center"/>
          </w:tcPr>
          <w:p w14:paraId="5C5321F1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7C4A0972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History of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 xml:space="preserve"> specialist outpatient</w:t>
            </w: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 xml:space="preserve"> visits in 6 months prior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3F5944AA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0.49 (0.31-0.77)</w:t>
            </w:r>
          </w:p>
        </w:tc>
        <w:tc>
          <w:tcPr>
            <w:tcW w:w="1871" w:type="dxa"/>
            <w:vAlign w:val="center"/>
          </w:tcPr>
          <w:p w14:paraId="5EABF71C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0.44 (0.27-0.70)</w:t>
            </w:r>
          </w:p>
        </w:tc>
        <w:tc>
          <w:tcPr>
            <w:tcW w:w="1871" w:type="dxa"/>
            <w:vAlign w:val="center"/>
          </w:tcPr>
          <w:p w14:paraId="0633E6B6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0.50 (0.31-0.79)</w:t>
            </w:r>
          </w:p>
        </w:tc>
      </w:tr>
      <w:tr w:rsidR="00183B4B" w:rsidRPr="00F25163" w14:paraId="5A002820" w14:textId="77777777" w:rsidTr="004B319E">
        <w:trPr>
          <w:trHeight w:val="20"/>
        </w:trPr>
        <w:tc>
          <w:tcPr>
            <w:tcW w:w="2013" w:type="dxa"/>
            <w:vMerge w:val="restart"/>
            <w:vAlign w:val="center"/>
          </w:tcPr>
          <w:p w14:paraId="2EFEFCFB" w14:textId="77777777" w:rsidR="00183B4B" w:rsidRPr="00F25163" w:rsidRDefault="00183B4B" w:rsidP="004B319E">
            <w:pPr>
              <w:rPr>
                <w:rFonts w:ascii="Times New Roman" w:hAnsi="Times New Roman" w:cs="Times New Roman"/>
                <w:b/>
                <w:bCs/>
                <w:kern w:val="24"/>
              </w:rPr>
            </w:pPr>
            <w:r w:rsidRPr="00F25163">
              <w:rPr>
                <w:rFonts w:ascii="Times New Roman" w:hAnsi="Times New Roman" w:cs="Times New Roman"/>
                <w:b/>
                <w:bCs/>
                <w:kern w:val="24"/>
              </w:rPr>
              <w:t xml:space="preserve">Comorbidity </w:t>
            </w:r>
          </w:p>
        </w:tc>
        <w:tc>
          <w:tcPr>
            <w:tcW w:w="6179" w:type="dxa"/>
            <w:vAlign w:val="center"/>
          </w:tcPr>
          <w:p w14:paraId="073BFC6F" w14:textId="77777777" w:rsidR="00183B4B" w:rsidRPr="00F25163" w:rsidRDefault="00183B4B" w:rsidP="004B319E">
            <w:pPr>
              <w:rPr>
                <w:rFonts w:ascii="Times New Roman" w:hAnsi="Times New Roman" w:cs="Times New Roman"/>
                <w:kern w:val="24"/>
              </w:rPr>
            </w:pPr>
            <w:r w:rsidRPr="00F25163">
              <w:rPr>
                <w:rFonts w:ascii="Times New Roman" w:hAnsi="Times New Roman" w:cs="Times New Roman"/>
                <w:kern w:val="24"/>
              </w:rPr>
              <w:t>History/diagnosis of cancer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234FDA3C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3.22 (1.60-6.46)</w:t>
            </w:r>
          </w:p>
        </w:tc>
        <w:tc>
          <w:tcPr>
            <w:tcW w:w="1871" w:type="dxa"/>
            <w:vAlign w:val="center"/>
          </w:tcPr>
          <w:p w14:paraId="4973F435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3.50 (1.72-7.13)</w:t>
            </w:r>
          </w:p>
        </w:tc>
        <w:tc>
          <w:tcPr>
            <w:tcW w:w="1871" w:type="dxa"/>
            <w:vAlign w:val="center"/>
          </w:tcPr>
          <w:p w14:paraId="006C68E1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3.02 (1.48-6.18)</w:t>
            </w:r>
          </w:p>
        </w:tc>
      </w:tr>
      <w:tr w:rsidR="00183B4B" w:rsidRPr="00F25163" w14:paraId="5D295949" w14:textId="77777777" w:rsidTr="004B319E">
        <w:trPr>
          <w:trHeight w:val="20"/>
        </w:trPr>
        <w:tc>
          <w:tcPr>
            <w:tcW w:w="2013" w:type="dxa"/>
            <w:vMerge/>
          </w:tcPr>
          <w:p w14:paraId="531029CB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2E2031B4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>History/diagnosis of cerebrovascular disease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241FA1E1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2.40 (1.10-5.23)</w:t>
            </w:r>
          </w:p>
        </w:tc>
        <w:tc>
          <w:tcPr>
            <w:tcW w:w="1871" w:type="dxa"/>
            <w:vAlign w:val="center"/>
          </w:tcPr>
          <w:p w14:paraId="6C920642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2.63 (1.19-5.80)</w:t>
            </w:r>
          </w:p>
        </w:tc>
        <w:tc>
          <w:tcPr>
            <w:tcW w:w="1871" w:type="dxa"/>
            <w:vAlign w:val="center"/>
          </w:tcPr>
          <w:p w14:paraId="390703CB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2.34 (1.04-5.23)</w:t>
            </w:r>
          </w:p>
        </w:tc>
      </w:tr>
      <w:tr w:rsidR="00183B4B" w:rsidRPr="00F25163" w14:paraId="5A73EC19" w14:textId="77777777" w:rsidTr="004B319E">
        <w:trPr>
          <w:trHeight w:val="20"/>
        </w:trPr>
        <w:tc>
          <w:tcPr>
            <w:tcW w:w="2013" w:type="dxa"/>
            <w:vMerge/>
          </w:tcPr>
          <w:p w14:paraId="16533DDB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 w:themeColor="dark1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1278C976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 w:themeColor="dark1"/>
                <w:kern w:val="24"/>
              </w:rPr>
              <w:t>History/diagnosis of diabetes (uncomplicated)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3ED5719C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1D743AED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0F0553FE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1.72 (0.95-3.12)</w:t>
            </w:r>
          </w:p>
        </w:tc>
      </w:tr>
      <w:tr w:rsidR="00183B4B" w:rsidRPr="00F25163" w14:paraId="4D1677C6" w14:textId="77777777" w:rsidTr="004B319E">
        <w:trPr>
          <w:trHeight w:val="20"/>
        </w:trPr>
        <w:tc>
          <w:tcPr>
            <w:tcW w:w="2013" w:type="dxa"/>
            <w:vMerge/>
          </w:tcPr>
          <w:p w14:paraId="2C355718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155B0FA9" w14:textId="77777777" w:rsidR="00183B4B" w:rsidRPr="00F25163" w:rsidRDefault="00183B4B" w:rsidP="004B319E">
            <w:pPr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History/diagnosis of renal disease</w:t>
            </w:r>
            <w:r>
              <w:rPr>
                <w:rFonts w:ascii="Times New Roman" w:hAnsi="Times New Roman" w:cs="Times New Roman"/>
                <w:color w:val="000000" w:themeColor="dark1"/>
                <w:kern w:val="24"/>
              </w:rPr>
              <w:t>, yes vs no</w:t>
            </w:r>
          </w:p>
        </w:tc>
        <w:tc>
          <w:tcPr>
            <w:tcW w:w="1914" w:type="dxa"/>
            <w:vAlign w:val="center"/>
          </w:tcPr>
          <w:p w14:paraId="61747500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71" w:type="dxa"/>
            <w:vAlign w:val="center"/>
          </w:tcPr>
          <w:p w14:paraId="4BB95A17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-</w:t>
            </w:r>
          </w:p>
        </w:tc>
        <w:tc>
          <w:tcPr>
            <w:tcW w:w="1871" w:type="dxa"/>
            <w:vAlign w:val="center"/>
          </w:tcPr>
          <w:p w14:paraId="20C1FD13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</w:rPr>
              <w:t>1.54 (0.82-2.90)</w:t>
            </w:r>
          </w:p>
        </w:tc>
      </w:tr>
      <w:tr w:rsidR="00183B4B" w:rsidRPr="00F25163" w14:paraId="1FACA3DE" w14:textId="77777777" w:rsidTr="004B319E">
        <w:trPr>
          <w:trHeight w:val="20"/>
        </w:trPr>
        <w:tc>
          <w:tcPr>
            <w:tcW w:w="2013" w:type="dxa"/>
          </w:tcPr>
          <w:p w14:paraId="71FDD7C5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324B8F89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914" w:type="dxa"/>
            <w:vAlign w:val="center"/>
          </w:tcPr>
          <w:p w14:paraId="17CE5510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61A1F591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1D56A2B4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B4B" w:rsidRPr="00F25163" w14:paraId="7AF50FB2" w14:textId="77777777" w:rsidTr="004B319E">
        <w:trPr>
          <w:trHeight w:val="20"/>
        </w:trPr>
        <w:tc>
          <w:tcPr>
            <w:tcW w:w="2013" w:type="dxa"/>
          </w:tcPr>
          <w:p w14:paraId="3D173246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3DF06ADE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A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>rea Under Curve</w:t>
            </w:r>
          </w:p>
        </w:tc>
        <w:tc>
          <w:tcPr>
            <w:tcW w:w="1914" w:type="dxa"/>
            <w:vAlign w:val="center"/>
          </w:tcPr>
          <w:p w14:paraId="4B408C68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0.74 (0.68, 0.79)</w:t>
            </w:r>
          </w:p>
        </w:tc>
        <w:tc>
          <w:tcPr>
            <w:tcW w:w="1871" w:type="dxa"/>
            <w:vAlign w:val="center"/>
          </w:tcPr>
          <w:p w14:paraId="06574FBF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0.77 (0.72, 0.82)</w:t>
            </w:r>
          </w:p>
        </w:tc>
        <w:tc>
          <w:tcPr>
            <w:tcW w:w="1871" w:type="dxa"/>
            <w:vAlign w:val="center"/>
          </w:tcPr>
          <w:p w14:paraId="5E9AFD52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0.74 (0.69, 0.79)</w:t>
            </w:r>
          </w:p>
        </w:tc>
      </w:tr>
      <w:tr w:rsidR="00183B4B" w:rsidRPr="00F25163" w14:paraId="609CB1AB" w14:textId="77777777" w:rsidTr="004B319E">
        <w:trPr>
          <w:trHeight w:val="20"/>
        </w:trPr>
        <w:tc>
          <w:tcPr>
            <w:tcW w:w="2013" w:type="dxa"/>
          </w:tcPr>
          <w:p w14:paraId="266828DC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04F449E1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Intercept</w:t>
            </w:r>
          </w:p>
        </w:tc>
        <w:tc>
          <w:tcPr>
            <w:tcW w:w="1914" w:type="dxa"/>
            <w:vAlign w:val="center"/>
          </w:tcPr>
          <w:p w14:paraId="2AC2FAEE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-0.10 (-0.50, 0.30)</w:t>
            </w:r>
          </w:p>
        </w:tc>
        <w:tc>
          <w:tcPr>
            <w:tcW w:w="1871" w:type="dxa"/>
            <w:vAlign w:val="center"/>
          </w:tcPr>
          <w:p w14:paraId="15214D29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-0.13 (-0.51, 0.24)</w:t>
            </w:r>
          </w:p>
        </w:tc>
        <w:tc>
          <w:tcPr>
            <w:tcW w:w="1871" w:type="dxa"/>
            <w:vAlign w:val="center"/>
          </w:tcPr>
          <w:p w14:paraId="3999E96C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-0.15 (-0.54, 0.23)</w:t>
            </w:r>
          </w:p>
        </w:tc>
      </w:tr>
      <w:tr w:rsidR="00183B4B" w:rsidRPr="00F25163" w14:paraId="139ECFB9" w14:textId="77777777" w:rsidTr="004B319E">
        <w:trPr>
          <w:trHeight w:val="20"/>
        </w:trPr>
        <w:tc>
          <w:tcPr>
            <w:tcW w:w="2013" w:type="dxa"/>
          </w:tcPr>
          <w:p w14:paraId="7658DA5D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49BE1B8B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Slope</w:t>
            </w:r>
          </w:p>
        </w:tc>
        <w:tc>
          <w:tcPr>
            <w:tcW w:w="1914" w:type="dxa"/>
            <w:vAlign w:val="center"/>
          </w:tcPr>
          <w:p w14:paraId="1D3383C8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0.93 (0.73, 1.14)</w:t>
            </w:r>
          </w:p>
        </w:tc>
        <w:tc>
          <w:tcPr>
            <w:tcW w:w="1871" w:type="dxa"/>
            <w:vAlign w:val="center"/>
          </w:tcPr>
          <w:p w14:paraId="5C5352CA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0.91 (0.72, 1.10)</w:t>
            </w:r>
          </w:p>
        </w:tc>
        <w:tc>
          <w:tcPr>
            <w:tcW w:w="1871" w:type="dxa"/>
            <w:vAlign w:val="center"/>
          </w:tcPr>
          <w:p w14:paraId="039C0600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0.90 (0.71, 1.10)</w:t>
            </w:r>
          </w:p>
        </w:tc>
      </w:tr>
      <w:tr w:rsidR="00183B4B" w:rsidRPr="00F25163" w14:paraId="17B6488E" w14:textId="77777777" w:rsidTr="004B319E">
        <w:trPr>
          <w:trHeight w:val="20"/>
        </w:trPr>
        <w:tc>
          <w:tcPr>
            <w:tcW w:w="2013" w:type="dxa"/>
          </w:tcPr>
          <w:p w14:paraId="4E9395A4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0EE09F94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914" w:type="dxa"/>
            <w:vAlign w:val="center"/>
          </w:tcPr>
          <w:p w14:paraId="5A56B2ED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4B1B16D9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69485A1F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B4B" w:rsidRPr="00F25163" w14:paraId="29AA4E06" w14:textId="77777777" w:rsidTr="004B319E">
        <w:trPr>
          <w:trHeight w:val="20"/>
        </w:trPr>
        <w:tc>
          <w:tcPr>
            <w:tcW w:w="2013" w:type="dxa"/>
          </w:tcPr>
          <w:p w14:paraId="470A3BA3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6E9EC410" w14:textId="77777777" w:rsidR="00183B4B" w:rsidRPr="00F25163" w:rsidRDefault="00183B4B" w:rsidP="004B319E">
            <w:pP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  <w:t>At 0.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  <w:t>1</w:t>
            </w:r>
            <w:r w:rsidRPr="00F25163"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  <w:t>0 threshold</w:t>
            </w:r>
          </w:p>
        </w:tc>
        <w:tc>
          <w:tcPr>
            <w:tcW w:w="1914" w:type="dxa"/>
            <w:vAlign w:val="center"/>
          </w:tcPr>
          <w:p w14:paraId="5BD49093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04BB2D80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1BCD2FAA" w14:textId="77777777" w:rsidR="00183B4B" w:rsidRPr="00F25163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B4B" w:rsidRPr="00F25163" w14:paraId="37BA2A87" w14:textId="77777777" w:rsidTr="004B319E">
        <w:trPr>
          <w:trHeight w:val="20"/>
        </w:trPr>
        <w:tc>
          <w:tcPr>
            <w:tcW w:w="2013" w:type="dxa"/>
          </w:tcPr>
          <w:p w14:paraId="057FF7AD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194D63DE" w14:textId="77777777" w:rsidR="00183B4B" w:rsidRPr="00F25163" w:rsidRDefault="00183B4B" w:rsidP="004B319E">
            <w:pP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Sensitivity</w:t>
            </w:r>
          </w:p>
        </w:tc>
        <w:tc>
          <w:tcPr>
            <w:tcW w:w="1914" w:type="dxa"/>
          </w:tcPr>
          <w:p w14:paraId="48FD0215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72%</w:t>
            </w:r>
          </w:p>
        </w:tc>
        <w:tc>
          <w:tcPr>
            <w:tcW w:w="1871" w:type="dxa"/>
          </w:tcPr>
          <w:p w14:paraId="2D45AF94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76%</w:t>
            </w:r>
          </w:p>
        </w:tc>
        <w:tc>
          <w:tcPr>
            <w:tcW w:w="1871" w:type="dxa"/>
          </w:tcPr>
          <w:p w14:paraId="656D9356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</w:rPr>
              <w:t>72%</w:t>
            </w:r>
          </w:p>
        </w:tc>
      </w:tr>
      <w:tr w:rsidR="00183B4B" w:rsidRPr="00F25163" w14:paraId="317F7BC9" w14:textId="77777777" w:rsidTr="004B319E">
        <w:trPr>
          <w:trHeight w:val="20"/>
        </w:trPr>
        <w:tc>
          <w:tcPr>
            <w:tcW w:w="2013" w:type="dxa"/>
          </w:tcPr>
          <w:p w14:paraId="7BFE402D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63F0F4F5" w14:textId="77777777" w:rsidR="00183B4B" w:rsidRPr="00F25163" w:rsidRDefault="00183B4B" w:rsidP="004B319E">
            <w:pP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Specificity</w:t>
            </w:r>
          </w:p>
        </w:tc>
        <w:tc>
          <w:tcPr>
            <w:tcW w:w="1914" w:type="dxa"/>
          </w:tcPr>
          <w:p w14:paraId="2DF24986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65%</w:t>
            </w:r>
          </w:p>
        </w:tc>
        <w:tc>
          <w:tcPr>
            <w:tcW w:w="1871" w:type="dxa"/>
          </w:tcPr>
          <w:p w14:paraId="42FB7072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1871" w:type="dxa"/>
          </w:tcPr>
          <w:p w14:paraId="4315AC4A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</w:rPr>
              <w:t>67%</w:t>
            </w:r>
          </w:p>
        </w:tc>
      </w:tr>
      <w:tr w:rsidR="00183B4B" w:rsidRPr="00F25163" w14:paraId="5373D1CA" w14:textId="77777777" w:rsidTr="004B319E">
        <w:trPr>
          <w:trHeight w:val="20"/>
        </w:trPr>
        <w:tc>
          <w:tcPr>
            <w:tcW w:w="2013" w:type="dxa"/>
          </w:tcPr>
          <w:p w14:paraId="02BC8CE3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1675A327" w14:textId="77777777" w:rsidR="00183B4B" w:rsidRPr="00F25163" w:rsidRDefault="00183B4B" w:rsidP="004B319E">
            <w:pP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Positive predictive value</w:t>
            </w:r>
          </w:p>
        </w:tc>
        <w:tc>
          <w:tcPr>
            <w:tcW w:w="1914" w:type="dxa"/>
          </w:tcPr>
          <w:p w14:paraId="3A00DBF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22%</w:t>
            </w:r>
          </w:p>
        </w:tc>
        <w:tc>
          <w:tcPr>
            <w:tcW w:w="1871" w:type="dxa"/>
          </w:tcPr>
          <w:p w14:paraId="4E03B0E7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871" w:type="dxa"/>
          </w:tcPr>
          <w:p w14:paraId="7EA678C3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</w:rPr>
              <w:t>24%</w:t>
            </w:r>
          </w:p>
        </w:tc>
      </w:tr>
      <w:tr w:rsidR="00183B4B" w:rsidRPr="00F25163" w14:paraId="61E826C5" w14:textId="77777777" w:rsidTr="004B319E">
        <w:trPr>
          <w:trHeight w:val="20"/>
        </w:trPr>
        <w:tc>
          <w:tcPr>
            <w:tcW w:w="2013" w:type="dxa"/>
          </w:tcPr>
          <w:p w14:paraId="1D442374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5A10D049" w14:textId="77777777" w:rsidR="00183B4B" w:rsidRPr="00F25163" w:rsidRDefault="00183B4B" w:rsidP="004B319E">
            <w:pP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Negative predictive value</w:t>
            </w:r>
          </w:p>
        </w:tc>
        <w:tc>
          <w:tcPr>
            <w:tcW w:w="1914" w:type="dxa"/>
          </w:tcPr>
          <w:p w14:paraId="521374BC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94%</w:t>
            </w:r>
          </w:p>
        </w:tc>
        <w:tc>
          <w:tcPr>
            <w:tcW w:w="1871" w:type="dxa"/>
          </w:tcPr>
          <w:p w14:paraId="4F721F92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1871" w:type="dxa"/>
          </w:tcPr>
          <w:p w14:paraId="6832049F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</w:rPr>
              <w:t>95%</w:t>
            </w:r>
          </w:p>
        </w:tc>
      </w:tr>
      <w:tr w:rsidR="00183B4B" w:rsidRPr="00F25163" w14:paraId="30653AF2" w14:textId="77777777" w:rsidTr="004B319E">
        <w:trPr>
          <w:trHeight w:val="20"/>
        </w:trPr>
        <w:tc>
          <w:tcPr>
            <w:tcW w:w="2013" w:type="dxa"/>
          </w:tcPr>
          <w:p w14:paraId="222439B2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62C62B3E" w14:textId="77777777" w:rsidR="00183B4B" w:rsidRPr="00F25163" w:rsidRDefault="00183B4B" w:rsidP="004B319E">
            <w:pP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</w:pPr>
          </w:p>
        </w:tc>
        <w:tc>
          <w:tcPr>
            <w:tcW w:w="1914" w:type="dxa"/>
            <w:vAlign w:val="center"/>
          </w:tcPr>
          <w:p w14:paraId="6775D19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2DF6BFE3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6E2C311E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B4B" w:rsidRPr="00F25163" w14:paraId="6C4B394D" w14:textId="77777777" w:rsidTr="004B319E">
        <w:trPr>
          <w:trHeight w:val="20"/>
        </w:trPr>
        <w:tc>
          <w:tcPr>
            <w:tcW w:w="2013" w:type="dxa"/>
          </w:tcPr>
          <w:p w14:paraId="369310E2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42FB8611" w14:textId="77777777" w:rsidR="00183B4B" w:rsidRPr="00F25163" w:rsidRDefault="00183B4B" w:rsidP="004B319E">
            <w:pP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  <w:t>At 0.30 threshold</w:t>
            </w:r>
          </w:p>
        </w:tc>
        <w:tc>
          <w:tcPr>
            <w:tcW w:w="1914" w:type="dxa"/>
            <w:vAlign w:val="center"/>
          </w:tcPr>
          <w:p w14:paraId="46531D75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7D9DDED4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2C7A563D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B4B" w:rsidRPr="00F25163" w14:paraId="4A428D6C" w14:textId="77777777" w:rsidTr="004B319E">
        <w:trPr>
          <w:trHeight w:val="20"/>
        </w:trPr>
        <w:tc>
          <w:tcPr>
            <w:tcW w:w="2013" w:type="dxa"/>
          </w:tcPr>
          <w:p w14:paraId="1CE22254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2A4BC4F6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Sensitivity</w:t>
            </w:r>
          </w:p>
        </w:tc>
        <w:tc>
          <w:tcPr>
            <w:tcW w:w="1914" w:type="dxa"/>
            <w:vAlign w:val="center"/>
          </w:tcPr>
          <w:p w14:paraId="37CFE00B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29%</w:t>
            </w:r>
          </w:p>
        </w:tc>
        <w:tc>
          <w:tcPr>
            <w:tcW w:w="1871" w:type="dxa"/>
            <w:vAlign w:val="center"/>
          </w:tcPr>
          <w:p w14:paraId="3CD2D532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37%</w:t>
            </w:r>
          </w:p>
        </w:tc>
        <w:tc>
          <w:tcPr>
            <w:tcW w:w="1871" w:type="dxa"/>
            <w:vAlign w:val="center"/>
          </w:tcPr>
          <w:p w14:paraId="7F49B8C6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34%</w:t>
            </w:r>
          </w:p>
        </w:tc>
      </w:tr>
      <w:tr w:rsidR="00183B4B" w:rsidRPr="00F25163" w14:paraId="22638609" w14:textId="77777777" w:rsidTr="004B319E">
        <w:trPr>
          <w:trHeight w:val="20"/>
        </w:trPr>
        <w:tc>
          <w:tcPr>
            <w:tcW w:w="2013" w:type="dxa"/>
          </w:tcPr>
          <w:p w14:paraId="76384E0F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69178FE1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Specificity</w:t>
            </w:r>
          </w:p>
        </w:tc>
        <w:tc>
          <w:tcPr>
            <w:tcW w:w="1914" w:type="dxa"/>
            <w:vAlign w:val="center"/>
          </w:tcPr>
          <w:p w14:paraId="47F7A373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95%</w:t>
            </w:r>
          </w:p>
        </w:tc>
        <w:tc>
          <w:tcPr>
            <w:tcW w:w="1871" w:type="dxa"/>
            <w:vAlign w:val="center"/>
          </w:tcPr>
          <w:p w14:paraId="02463E2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95%</w:t>
            </w:r>
          </w:p>
        </w:tc>
        <w:tc>
          <w:tcPr>
            <w:tcW w:w="1871" w:type="dxa"/>
            <w:vAlign w:val="center"/>
          </w:tcPr>
          <w:p w14:paraId="5BCB5407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95%</w:t>
            </w:r>
          </w:p>
        </w:tc>
      </w:tr>
      <w:tr w:rsidR="00183B4B" w:rsidRPr="00F25163" w14:paraId="667020F5" w14:textId="77777777" w:rsidTr="004B319E">
        <w:trPr>
          <w:trHeight w:val="20"/>
        </w:trPr>
        <w:tc>
          <w:tcPr>
            <w:tcW w:w="2013" w:type="dxa"/>
          </w:tcPr>
          <w:p w14:paraId="5F19CA8E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7B7C87C4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Positive predictive value</w:t>
            </w:r>
          </w:p>
        </w:tc>
        <w:tc>
          <w:tcPr>
            <w:tcW w:w="1914" w:type="dxa"/>
            <w:vAlign w:val="center"/>
          </w:tcPr>
          <w:p w14:paraId="737176C4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46%</w:t>
            </w:r>
          </w:p>
        </w:tc>
        <w:tc>
          <w:tcPr>
            <w:tcW w:w="1871" w:type="dxa"/>
            <w:vAlign w:val="center"/>
          </w:tcPr>
          <w:p w14:paraId="62E6341D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48%</w:t>
            </w:r>
          </w:p>
        </w:tc>
        <w:tc>
          <w:tcPr>
            <w:tcW w:w="1871" w:type="dxa"/>
            <w:vAlign w:val="center"/>
          </w:tcPr>
          <w:p w14:paraId="346A2091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49%</w:t>
            </w:r>
          </w:p>
        </w:tc>
      </w:tr>
      <w:tr w:rsidR="00183B4B" w:rsidRPr="00F25163" w14:paraId="4225EAB7" w14:textId="77777777" w:rsidTr="004B319E">
        <w:trPr>
          <w:trHeight w:val="20"/>
        </w:trPr>
        <w:tc>
          <w:tcPr>
            <w:tcW w:w="2013" w:type="dxa"/>
          </w:tcPr>
          <w:p w14:paraId="76AD3F60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6F65470C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Negative predictive value</w:t>
            </w:r>
          </w:p>
        </w:tc>
        <w:tc>
          <w:tcPr>
            <w:tcW w:w="1914" w:type="dxa"/>
            <w:vAlign w:val="center"/>
          </w:tcPr>
          <w:p w14:paraId="1B639D42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91%</w:t>
            </w:r>
          </w:p>
        </w:tc>
        <w:tc>
          <w:tcPr>
            <w:tcW w:w="1871" w:type="dxa"/>
            <w:vAlign w:val="center"/>
          </w:tcPr>
          <w:p w14:paraId="5794B73B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92%</w:t>
            </w:r>
          </w:p>
        </w:tc>
        <w:tc>
          <w:tcPr>
            <w:tcW w:w="1871" w:type="dxa"/>
            <w:vAlign w:val="center"/>
          </w:tcPr>
          <w:p w14:paraId="7F462C7E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91%</w:t>
            </w:r>
          </w:p>
        </w:tc>
      </w:tr>
      <w:tr w:rsidR="00183B4B" w:rsidRPr="00F25163" w14:paraId="633733CA" w14:textId="77777777" w:rsidTr="004B319E">
        <w:trPr>
          <w:trHeight w:val="20"/>
        </w:trPr>
        <w:tc>
          <w:tcPr>
            <w:tcW w:w="2013" w:type="dxa"/>
          </w:tcPr>
          <w:p w14:paraId="43AA3B95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74BC9972" w14:textId="77777777" w:rsidR="00183B4B" w:rsidRPr="00F25163" w:rsidRDefault="00183B4B" w:rsidP="004B319E">
            <w:pP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</w:pPr>
          </w:p>
        </w:tc>
        <w:tc>
          <w:tcPr>
            <w:tcW w:w="1914" w:type="dxa"/>
            <w:vAlign w:val="center"/>
          </w:tcPr>
          <w:p w14:paraId="02578DD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73E972CE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5DE632C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B4B" w:rsidRPr="00F25163" w14:paraId="3D25D2A3" w14:textId="77777777" w:rsidTr="004B319E">
        <w:trPr>
          <w:trHeight w:val="20"/>
        </w:trPr>
        <w:tc>
          <w:tcPr>
            <w:tcW w:w="2013" w:type="dxa"/>
          </w:tcPr>
          <w:p w14:paraId="57CAC65D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1928D2E7" w14:textId="77777777" w:rsidR="00183B4B" w:rsidRPr="00F25163" w:rsidRDefault="00183B4B" w:rsidP="004B319E">
            <w:pP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  <w:t>At 0.50 threshold</w:t>
            </w:r>
          </w:p>
        </w:tc>
        <w:tc>
          <w:tcPr>
            <w:tcW w:w="1914" w:type="dxa"/>
            <w:vAlign w:val="center"/>
          </w:tcPr>
          <w:p w14:paraId="4E2F97B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12DC69B4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2CCFDB8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B4B" w:rsidRPr="00F25163" w14:paraId="7BF259F9" w14:textId="77777777" w:rsidTr="004B319E">
        <w:trPr>
          <w:trHeight w:val="20"/>
        </w:trPr>
        <w:tc>
          <w:tcPr>
            <w:tcW w:w="2013" w:type="dxa"/>
          </w:tcPr>
          <w:p w14:paraId="6F0E9612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1DA02F18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Sensitivity</w:t>
            </w:r>
          </w:p>
        </w:tc>
        <w:tc>
          <w:tcPr>
            <w:tcW w:w="1914" w:type="dxa"/>
            <w:vAlign w:val="center"/>
          </w:tcPr>
          <w:p w14:paraId="253B7D9E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11%</w:t>
            </w:r>
          </w:p>
        </w:tc>
        <w:tc>
          <w:tcPr>
            <w:tcW w:w="1871" w:type="dxa"/>
            <w:vAlign w:val="center"/>
          </w:tcPr>
          <w:p w14:paraId="764EDE54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15%</w:t>
            </w:r>
          </w:p>
        </w:tc>
        <w:tc>
          <w:tcPr>
            <w:tcW w:w="1871" w:type="dxa"/>
            <w:vAlign w:val="center"/>
          </w:tcPr>
          <w:p w14:paraId="4AB424BE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15%</w:t>
            </w:r>
          </w:p>
        </w:tc>
      </w:tr>
      <w:tr w:rsidR="00183B4B" w:rsidRPr="00F25163" w14:paraId="22343800" w14:textId="77777777" w:rsidTr="004B319E">
        <w:trPr>
          <w:trHeight w:val="20"/>
        </w:trPr>
        <w:tc>
          <w:tcPr>
            <w:tcW w:w="2013" w:type="dxa"/>
          </w:tcPr>
          <w:p w14:paraId="1B729434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15AC545A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Specificity</w:t>
            </w:r>
          </w:p>
        </w:tc>
        <w:tc>
          <w:tcPr>
            <w:tcW w:w="1914" w:type="dxa"/>
            <w:vAlign w:val="center"/>
          </w:tcPr>
          <w:p w14:paraId="0F2CC2C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99%</w:t>
            </w:r>
          </w:p>
        </w:tc>
        <w:tc>
          <w:tcPr>
            <w:tcW w:w="1871" w:type="dxa"/>
            <w:vAlign w:val="center"/>
          </w:tcPr>
          <w:p w14:paraId="43395470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99%</w:t>
            </w:r>
          </w:p>
        </w:tc>
        <w:tc>
          <w:tcPr>
            <w:tcW w:w="1871" w:type="dxa"/>
            <w:vAlign w:val="center"/>
          </w:tcPr>
          <w:p w14:paraId="0969281B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99%</w:t>
            </w:r>
          </w:p>
        </w:tc>
      </w:tr>
      <w:tr w:rsidR="00183B4B" w:rsidRPr="00F25163" w14:paraId="1D3D2EDE" w14:textId="77777777" w:rsidTr="004B319E">
        <w:trPr>
          <w:trHeight w:val="20"/>
        </w:trPr>
        <w:tc>
          <w:tcPr>
            <w:tcW w:w="2013" w:type="dxa"/>
          </w:tcPr>
          <w:p w14:paraId="48552793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05DC0880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Positive predictive value</w:t>
            </w:r>
          </w:p>
        </w:tc>
        <w:tc>
          <w:tcPr>
            <w:tcW w:w="1914" w:type="dxa"/>
            <w:vAlign w:val="center"/>
          </w:tcPr>
          <w:p w14:paraId="653EBEA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60%</w:t>
            </w:r>
          </w:p>
        </w:tc>
        <w:tc>
          <w:tcPr>
            <w:tcW w:w="1871" w:type="dxa"/>
            <w:vAlign w:val="center"/>
          </w:tcPr>
          <w:p w14:paraId="33254105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66%</w:t>
            </w:r>
          </w:p>
        </w:tc>
        <w:tc>
          <w:tcPr>
            <w:tcW w:w="1871" w:type="dxa"/>
            <w:vAlign w:val="center"/>
          </w:tcPr>
          <w:p w14:paraId="373C3EAC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61%</w:t>
            </w:r>
          </w:p>
        </w:tc>
      </w:tr>
      <w:tr w:rsidR="00183B4B" w:rsidRPr="00F25163" w14:paraId="124BC7F6" w14:textId="77777777" w:rsidTr="004B319E">
        <w:trPr>
          <w:trHeight w:val="20"/>
        </w:trPr>
        <w:tc>
          <w:tcPr>
            <w:tcW w:w="2013" w:type="dxa"/>
          </w:tcPr>
          <w:p w14:paraId="4F3BC115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426B1294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Negative predictive value</w:t>
            </w:r>
          </w:p>
        </w:tc>
        <w:tc>
          <w:tcPr>
            <w:tcW w:w="1914" w:type="dxa"/>
            <w:vAlign w:val="center"/>
          </w:tcPr>
          <w:p w14:paraId="20B48A57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89%</w:t>
            </w:r>
          </w:p>
        </w:tc>
        <w:tc>
          <w:tcPr>
            <w:tcW w:w="1871" w:type="dxa"/>
            <w:vAlign w:val="center"/>
          </w:tcPr>
          <w:p w14:paraId="492BE586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</w:rPr>
              <w:t>89%</w:t>
            </w:r>
          </w:p>
        </w:tc>
        <w:tc>
          <w:tcPr>
            <w:tcW w:w="1871" w:type="dxa"/>
            <w:vAlign w:val="center"/>
          </w:tcPr>
          <w:p w14:paraId="34112F2E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</w:rPr>
            </w:pPr>
            <w:r w:rsidRPr="00A34DAC"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  <w:t>89%</w:t>
            </w:r>
          </w:p>
        </w:tc>
      </w:tr>
      <w:tr w:rsidR="00183B4B" w:rsidRPr="00F25163" w14:paraId="742D6666" w14:textId="77777777" w:rsidTr="004B319E">
        <w:trPr>
          <w:trHeight w:val="20"/>
        </w:trPr>
        <w:tc>
          <w:tcPr>
            <w:tcW w:w="2013" w:type="dxa"/>
          </w:tcPr>
          <w:p w14:paraId="0042F074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230F3B94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914" w:type="dxa"/>
            <w:vAlign w:val="center"/>
          </w:tcPr>
          <w:p w14:paraId="1A6D6167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713E7CF7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054CF3B0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</w:p>
        </w:tc>
      </w:tr>
      <w:tr w:rsidR="00183B4B" w:rsidRPr="00F25163" w14:paraId="258F97D5" w14:textId="77777777" w:rsidTr="004B319E">
        <w:trPr>
          <w:trHeight w:val="20"/>
        </w:trPr>
        <w:tc>
          <w:tcPr>
            <w:tcW w:w="2013" w:type="dxa"/>
          </w:tcPr>
          <w:p w14:paraId="0CBE517E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7C48FAC1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  <w:t>At 0.</w:t>
            </w:r>
            <w:r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  <w:t>7</w:t>
            </w:r>
            <w:r w:rsidRPr="00F25163">
              <w:rPr>
                <w:rFonts w:ascii="Times New Roman" w:hAnsi="Times New Roman" w:cs="Times New Roman"/>
                <w:i/>
                <w:iCs/>
                <w:color w:val="000000"/>
                <w:kern w:val="24"/>
              </w:rPr>
              <w:t>0 threshold</w:t>
            </w:r>
          </w:p>
        </w:tc>
        <w:tc>
          <w:tcPr>
            <w:tcW w:w="1914" w:type="dxa"/>
            <w:vAlign w:val="center"/>
          </w:tcPr>
          <w:p w14:paraId="16C8AFDB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</w:p>
        </w:tc>
        <w:tc>
          <w:tcPr>
            <w:tcW w:w="1871" w:type="dxa"/>
            <w:vAlign w:val="center"/>
          </w:tcPr>
          <w:p w14:paraId="2C0F3435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1871" w:type="dxa"/>
            <w:vAlign w:val="center"/>
          </w:tcPr>
          <w:p w14:paraId="5E52B250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</w:p>
        </w:tc>
      </w:tr>
      <w:tr w:rsidR="00183B4B" w:rsidRPr="00F25163" w14:paraId="1A62FE12" w14:textId="77777777" w:rsidTr="004B319E">
        <w:trPr>
          <w:trHeight w:val="20"/>
        </w:trPr>
        <w:tc>
          <w:tcPr>
            <w:tcW w:w="2013" w:type="dxa"/>
          </w:tcPr>
          <w:p w14:paraId="10C08805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452EDFCA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Sensitivity</w:t>
            </w:r>
          </w:p>
        </w:tc>
        <w:tc>
          <w:tcPr>
            <w:tcW w:w="1914" w:type="dxa"/>
          </w:tcPr>
          <w:p w14:paraId="324C1629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1871" w:type="dxa"/>
          </w:tcPr>
          <w:p w14:paraId="2BFAEB34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1871" w:type="dxa"/>
          </w:tcPr>
          <w:p w14:paraId="541DE83B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</w:rPr>
              <w:t>5%</w:t>
            </w:r>
          </w:p>
        </w:tc>
      </w:tr>
      <w:tr w:rsidR="00183B4B" w:rsidRPr="00F25163" w14:paraId="389449F8" w14:textId="77777777" w:rsidTr="004B319E">
        <w:trPr>
          <w:trHeight w:val="20"/>
        </w:trPr>
        <w:tc>
          <w:tcPr>
            <w:tcW w:w="2013" w:type="dxa"/>
          </w:tcPr>
          <w:p w14:paraId="62B9BBD3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0A676BD7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Specificity</w:t>
            </w:r>
          </w:p>
        </w:tc>
        <w:tc>
          <w:tcPr>
            <w:tcW w:w="1914" w:type="dxa"/>
          </w:tcPr>
          <w:p w14:paraId="3CA0D6F2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71" w:type="dxa"/>
          </w:tcPr>
          <w:p w14:paraId="0162D277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871" w:type="dxa"/>
          </w:tcPr>
          <w:p w14:paraId="4730DCD2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</w:rPr>
              <w:t>100%</w:t>
            </w:r>
          </w:p>
        </w:tc>
      </w:tr>
      <w:tr w:rsidR="00183B4B" w:rsidRPr="00F25163" w14:paraId="73DF3E5F" w14:textId="77777777" w:rsidTr="004B319E">
        <w:trPr>
          <w:trHeight w:val="20"/>
        </w:trPr>
        <w:tc>
          <w:tcPr>
            <w:tcW w:w="2013" w:type="dxa"/>
          </w:tcPr>
          <w:p w14:paraId="2BE680B1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44E3D8B9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Positive predictive value</w:t>
            </w:r>
          </w:p>
        </w:tc>
        <w:tc>
          <w:tcPr>
            <w:tcW w:w="1914" w:type="dxa"/>
          </w:tcPr>
          <w:p w14:paraId="73FE038D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871" w:type="dxa"/>
          </w:tcPr>
          <w:p w14:paraId="72DB29F6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59%</w:t>
            </w:r>
          </w:p>
        </w:tc>
        <w:tc>
          <w:tcPr>
            <w:tcW w:w="1871" w:type="dxa"/>
          </w:tcPr>
          <w:p w14:paraId="5CE5B861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</w:rPr>
              <w:t>84%</w:t>
            </w:r>
          </w:p>
        </w:tc>
      </w:tr>
      <w:tr w:rsidR="00183B4B" w:rsidRPr="00F25163" w14:paraId="32D6C2BC" w14:textId="77777777" w:rsidTr="004B319E">
        <w:trPr>
          <w:trHeight w:val="20"/>
        </w:trPr>
        <w:tc>
          <w:tcPr>
            <w:tcW w:w="2013" w:type="dxa"/>
          </w:tcPr>
          <w:p w14:paraId="5668BA3F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</w:p>
        </w:tc>
        <w:tc>
          <w:tcPr>
            <w:tcW w:w="6179" w:type="dxa"/>
            <w:vAlign w:val="center"/>
          </w:tcPr>
          <w:p w14:paraId="0ABDE6EB" w14:textId="77777777" w:rsidR="00183B4B" w:rsidRPr="00F25163" w:rsidRDefault="00183B4B" w:rsidP="004B319E">
            <w:pPr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F25163">
              <w:rPr>
                <w:rFonts w:ascii="Times New Roman" w:hAnsi="Times New Roman" w:cs="Times New Roman"/>
                <w:color w:val="000000"/>
                <w:kern w:val="24"/>
              </w:rPr>
              <w:t>Negative predictive value</w:t>
            </w:r>
          </w:p>
        </w:tc>
        <w:tc>
          <w:tcPr>
            <w:tcW w:w="1914" w:type="dxa"/>
          </w:tcPr>
          <w:p w14:paraId="32508BA8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1871" w:type="dxa"/>
          </w:tcPr>
          <w:p w14:paraId="570A6E0B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</w:rPr>
            </w:pPr>
            <w:r w:rsidRPr="00A34DAC"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1871" w:type="dxa"/>
          </w:tcPr>
          <w:p w14:paraId="462C76CF" w14:textId="77777777" w:rsidR="00183B4B" w:rsidRPr="00A34DAC" w:rsidRDefault="00183B4B" w:rsidP="004B319E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lang w:val="en-US"/>
              </w:rPr>
            </w:pPr>
            <w:r w:rsidRPr="00A34DAC">
              <w:rPr>
                <w:rFonts w:ascii="Times New Roman" w:hAnsi="Times New Roman" w:cs="Times New Roman"/>
              </w:rPr>
              <w:t>88%</w:t>
            </w:r>
          </w:p>
        </w:tc>
      </w:tr>
    </w:tbl>
    <w:p w14:paraId="73F97079" w14:textId="48D96F81" w:rsidR="00183B4B" w:rsidRDefault="00183B4B" w:rsidP="00183B4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LASSO: </w:t>
      </w:r>
      <w:r w:rsidRPr="00B23ECB">
        <w:rPr>
          <w:rFonts w:ascii="Times New Roman" w:hAnsi="Times New Roman" w:cs="Times New Roman"/>
          <w:lang w:val="en-US"/>
        </w:rPr>
        <w:t>least absolute shrinkage and selection operator</w:t>
      </w:r>
      <w:r>
        <w:rPr>
          <w:rFonts w:ascii="Times New Roman" w:hAnsi="Times New Roman" w:cs="Times New Roman"/>
          <w:lang w:val="en-US"/>
        </w:rPr>
        <w:t>; OR: odds ratio</w:t>
      </w:r>
    </w:p>
    <w:p w14:paraId="1208A3FF" w14:textId="5E656B54" w:rsidR="00AE25A5" w:rsidRPr="00183B4B" w:rsidRDefault="00AE25A5">
      <w:pPr>
        <w:rPr>
          <w:rFonts w:ascii="Times New Roman" w:hAnsi="Times New Roman" w:cs="Times New Roman"/>
          <w:lang w:val="en-US"/>
        </w:rPr>
      </w:pPr>
    </w:p>
    <w:sectPr w:rsidR="00AE25A5" w:rsidRPr="00183B4B" w:rsidSect="00183B4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4B"/>
    <w:rsid w:val="00183B4B"/>
    <w:rsid w:val="00AE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C7B3D"/>
  <w15:chartTrackingRefBased/>
  <w15:docId w15:val="{C9FC6C3D-19DB-498F-BE43-83E98054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B4B"/>
  </w:style>
  <w:style w:type="paragraph" w:styleId="Heading1">
    <w:name w:val="heading 1"/>
    <w:basedOn w:val="Normal"/>
    <w:next w:val="Normal"/>
    <w:link w:val="Heading1Char"/>
    <w:uiPriority w:val="9"/>
    <w:qFormat/>
    <w:rsid w:val="00183B4B"/>
    <w:pPr>
      <w:keepNext/>
      <w:keepLines/>
      <w:spacing w:after="0" w:line="240" w:lineRule="auto"/>
      <w:outlineLvl w:val="0"/>
    </w:pPr>
    <w:rPr>
      <w:rFonts w:ascii="Times New Roman" w:eastAsiaTheme="majorEastAsia" w:hAnsi="Times New Roman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B4B"/>
    <w:rPr>
      <w:rFonts w:ascii="Times New Roman" w:eastAsiaTheme="majorEastAsia" w:hAnsi="Times New Roman" w:cstheme="majorBidi"/>
      <w:b/>
      <w:szCs w:val="32"/>
    </w:rPr>
  </w:style>
  <w:style w:type="table" w:styleId="TableGridLight">
    <w:name w:val="Grid Table Light"/>
    <w:basedOn w:val="TableNormal"/>
    <w:uiPriority w:val="40"/>
    <w:rsid w:val="00183B4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Ng Hui Xian (NHGHQ)</dc:creator>
  <cp:keywords/>
  <dc:description/>
  <cp:lastModifiedBy>Sheryl Ng Hui Xian (NHGHQ)</cp:lastModifiedBy>
  <cp:revision>1</cp:revision>
  <dcterms:created xsi:type="dcterms:W3CDTF">2024-01-09T02:16:00Z</dcterms:created>
  <dcterms:modified xsi:type="dcterms:W3CDTF">2024-01-09T02:17:00Z</dcterms:modified>
</cp:coreProperties>
</file>