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2B6A8" w14:textId="6AC4BD9F" w:rsidR="00CB3435" w:rsidRDefault="00F04D2E">
      <w:pPr>
        <w:rPr>
          <w:rFonts w:ascii="Times New Roman" w:hAnsi="Times New Roman" w:cs="Times New Roman"/>
          <w:sz w:val="24"/>
          <w:szCs w:val="24"/>
        </w:rPr>
      </w:pPr>
      <w:r w:rsidRPr="00F04D2E">
        <w:rPr>
          <w:rFonts w:ascii="Times New Roman" w:hAnsi="Times New Roman" w:cs="Times New Roman"/>
          <w:sz w:val="24"/>
          <w:szCs w:val="24"/>
        </w:rPr>
        <w:t>Appendix</w:t>
      </w:r>
    </w:p>
    <w:p w14:paraId="397CBF4F" w14:textId="101F84A0" w:rsidR="00F04D2E" w:rsidRDefault="000A1698" w:rsidP="003578A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Definition</w:t>
      </w:r>
      <w:r w:rsidR="00F04D2E" w:rsidRPr="00F40041">
        <w:rPr>
          <w:rFonts w:ascii="Times New Roman" w:hAnsi="Times New Roman" w:cs="Times New Roman"/>
          <w:b/>
          <w:bCs/>
          <w:sz w:val="24"/>
          <w:szCs w:val="24"/>
        </w:rPr>
        <w:t xml:space="preserve"> of variables in </w:t>
      </w:r>
      <w:r w:rsidR="00F40041" w:rsidRPr="00F40041">
        <w:rPr>
          <w:rFonts w:ascii="Times New Roman" w:hAnsi="Times New Roman" w:cs="Times New Roman"/>
          <w:b/>
          <w:bCs/>
          <w:sz w:val="24"/>
          <w:szCs w:val="24"/>
        </w:rPr>
        <w:t>DiMECO study</w:t>
      </w:r>
      <w:r w:rsidR="00F4004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A513F9" w14:textId="055395ED" w:rsidR="00F40041" w:rsidRDefault="00F40041" w:rsidP="00357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041">
        <w:rPr>
          <w:rFonts w:ascii="Times New Roman" w:hAnsi="Times New Roman" w:cs="Times New Roman"/>
          <w:i/>
          <w:iCs/>
          <w:sz w:val="24"/>
          <w:szCs w:val="24"/>
        </w:rPr>
        <w:t>Socioeconomic status:</w:t>
      </w:r>
      <w:r w:rsidRPr="00F40041">
        <w:rPr>
          <w:rFonts w:ascii="Times New Roman" w:hAnsi="Times New Roman" w:cs="Times New Roman"/>
          <w:sz w:val="24"/>
          <w:szCs w:val="24"/>
        </w:rPr>
        <w:t xml:space="preserve"> The patients were classified into three categories according to their annual incomings</w:t>
      </w:r>
      <w:r w:rsidR="00A90CB9">
        <w:rPr>
          <w:rFonts w:ascii="Times New Roman" w:hAnsi="Times New Roman" w:cs="Times New Roman"/>
          <w:sz w:val="24"/>
          <w:szCs w:val="24"/>
        </w:rPr>
        <w:t xml:space="preserve">. </w:t>
      </w:r>
      <w:r w:rsidR="001D3D91">
        <w:rPr>
          <w:rFonts w:ascii="Times New Roman" w:hAnsi="Times New Roman" w:cs="Times New Roman"/>
          <w:sz w:val="24"/>
          <w:szCs w:val="24"/>
        </w:rPr>
        <w:t xml:space="preserve">A score defined for the income </w:t>
      </w:r>
      <w:r w:rsidR="00A90CB9">
        <w:rPr>
          <w:rFonts w:ascii="Times New Roman" w:hAnsi="Times New Roman" w:cs="Times New Roman"/>
          <w:sz w:val="24"/>
          <w:szCs w:val="24"/>
        </w:rPr>
        <w:t xml:space="preserve">(SED score) </w:t>
      </w:r>
      <w:r w:rsidR="001D3D91">
        <w:rPr>
          <w:rFonts w:ascii="Times New Roman" w:hAnsi="Times New Roman" w:cs="Times New Roman"/>
          <w:sz w:val="24"/>
          <w:szCs w:val="24"/>
        </w:rPr>
        <w:t xml:space="preserve">which contains 23 variables was used to classify the </w:t>
      </w:r>
      <w:r w:rsidR="001D3D91" w:rsidRPr="00A90CB9">
        <w:rPr>
          <w:rFonts w:ascii="Times New Roman" w:hAnsi="Times New Roman" w:cs="Times New Roman"/>
          <w:sz w:val="24"/>
          <w:szCs w:val="24"/>
        </w:rPr>
        <w:t>patients into 3 groups</w:t>
      </w:r>
      <w:r w:rsidR="00A90CB9" w:rsidRPr="00A90CB9">
        <w:rPr>
          <w:rFonts w:ascii="Times New Roman" w:hAnsi="Times New Roman" w:cs="Times New Roman"/>
          <w:sz w:val="24"/>
          <w:szCs w:val="24"/>
        </w:rPr>
        <w:t>.</w:t>
      </w:r>
      <w:r w:rsidR="00A90CB9" w:rsidRPr="00A90CB9">
        <w:t xml:space="preserve"> </w:t>
      </w:r>
      <w:proofErr w:type="spellStart"/>
      <w:r w:rsidR="00A90CB9" w:rsidRPr="00A90CB9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A90CB9" w:rsidRPr="00A90CB9">
        <w:rPr>
          <w:rFonts w:ascii="Times New Roman" w:hAnsi="Times New Roman" w:cs="Times New Roman"/>
          <w:sz w:val="24"/>
          <w:szCs w:val="24"/>
        </w:rPr>
        <w:t>: 10.15511/tahd.15.01004</w:t>
      </w:r>
      <w:r w:rsidR="00A90C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71A6B" w14:textId="45025D3F" w:rsidR="00F40041" w:rsidRDefault="00F40041" w:rsidP="00357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041">
        <w:rPr>
          <w:rFonts w:ascii="Times New Roman" w:hAnsi="Times New Roman" w:cs="Times New Roman"/>
          <w:i/>
          <w:iCs/>
          <w:sz w:val="24"/>
          <w:szCs w:val="24"/>
        </w:rPr>
        <w:t>Biomass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B1D23" w:rsidRPr="00BB1D23">
        <w:rPr>
          <w:rFonts w:ascii="Times New Roman" w:hAnsi="Times New Roman" w:cs="Times New Roman"/>
          <w:sz w:val="24"/>
          <w:szCs w:val="24"/>
        </w:rPr>
        <w:t>This refers to past exposure to biomass fuels, such as wood or crop residues, which may be relevant in the context of environmental factors affecting COPD.</w:t>
      </w:r>
    </w:p>
    <w:p w14:paraId="421384F2" w14:textId="2B264E74" w:rsidR="00F40041" w:rsidRDefault="00F40041" w:rsidP="00357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041">
        <w:rPr>
          <w:rFonts w:ascii="Times New Roman" w:hAnsi="Times New Roman" w:cs="Times New Roman"/>
          <w:i/>
          <w:iCs/>
          <w:sz w:val="24"/>
          <w:szCs w:val="24"/>
        </w:rPr>
        <w:t>Comorbidity</w:t>
      </w:r>
      <w:r>
        <w:rPr>
          <w:rFonts w:ascii="Times New Roman" w:hAnsi="Times New Roman" w:cs="Times New Roman"/>
          <w:sz w:val="24"/>
          <w:szCs w:val="24"/>
        </w:rPr>
        <w:t>: This refers to any other diagnosis of a disease apart from COPD that has been evaluated and defined by a medical doctor.</w:t>
      </w:r>
    </w:p>
    <w:p w14:paraId="477A56D4" w14:textId="1A680332" w:rsidR="00F40041" w:rsidRDefault="003578A0" w:rsidP="00357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Caregiver status</w:t>
      </w:r>
      <w:r w:rsidRPr="003578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Stands for a helping person that assists the patient </w:t>
      </w:r>
      <w:r w:rsidR="00BB1D23">
        <w:rPr>
          <w:rFonts w:ascii="Times New Roman" w:hAnsi="Times New Roman" w:cs="Times New Roman"/>
          <w:sz w:val="24"/>
          <w:szCs w:val="24"/>
        </w:rPr>
        <w:t>at home.</w:t>
      </w:r>
    </w:p>
    <w:p w14:paraId="4C393610" w14:textId="441B694D" w:rsidR="003578A0" w:rsidRDefault="00220AB5" w:rsidP="00357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Supplement</w:t>
      </w:r>
      <w:r w:rsidR="003578A0" w:rsidRPr="003578A0">
        <w:rPr>
          <w:rFonts w:ascii="Times New Roman" w:hAnsi="Times New Roman" w:cs="Times New Roman"/>
          <w:sz w:val="24"/>
          <w:szCs w:val="24"/>
        </w:rPr>
        <w:t>:</w:t>
      </w:r>
      <w:r w:rsidR="003578A0">
        <w:rPr>
          <w:rFonts w:ascii="Times New Roman" w:hAnsi="Times New Roman" w:cs="Times New Roman"/>
          <w:sz w:val="24"/>
          <w:szCs w:val="24"/>
        </w:rPr>
        <w:t xml:space="preserve"> Stands for usage of vitamins or minerals that are taken extra by the patient to fortify their immune system and enrich their diet.</w:t>
      </w:r>
    </w:p>
    <w:p w14:paraId="42943904" w14:textId="2F03A13E" w:rsidR="003578A0" w:rsidRDefault="003578A0" w:rsidP="00357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LTOT</w:t>
      </w:r>
      <w:r w:rsidRPr="003578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long term oxygen treatment which stands for oxygen usage of patients by a concentrator in their houses.</w:t>
      </w:r>
    </w:p>
    <w:p w14:paraId="72343E74" w14:textId="377369F1" w:rsidR="003578A0" w:rsidRDefault="003578A0" w:rsidP="00357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NIMV</w:t>
      </w:r>
      <w:r w:rsidRPr="003578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This stands for the non-invasive </w:t>
      </w:r>
      <w:r w:rsidR="00220AB5">
        <w:rPr>
          <w:rFonts w:ascii="Times New Roman" w:hAnsi="Times New Roman" w:cs="Times New Roman"/>
          <w:sz w:val="24"/>
          <w:szCs w:val="24"/>
        </w:rPr>
        <w:t>mechanical</w:t>
      </w:r>
      <w:r>
        <w:rPr>
          <w:rFonts w:ascii="Times New Roman" w:hAnsi="Times New Roman" w:cs="Times New Roman"/>
          <w:sz w:val="24"/>
          <w:szCs w:val="24"/>
        </w:rPr>
        <w:t xml:space="preserve"> ventilation that is provided by portable ventilators that patients use in their houses.</w:t>
      </w:r>
    </w:p>
    <w:p w14:paraId="7FD220DE" w14:textId="6AA3989F" w:rsidR="003578A0" w:rsidRDefault="003578A0" w:rsidP="00357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Nebulizer use</w:t>
      </w:r>
      <w:r w:rsidRPr="003578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This stands for a history of nebulizer usage before the hospitalization.</w:t>
      </w:r>
    </w:p>
    <w:p w14:paraId="67F2F02C" w14:textId="38927D2A" w:rsidR="003578A0" w:rsidRPr="003578A0" w:rsidRDefault="003578A0" w:rsidP="00357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8A0">
        <w:rPr>
          <w:rFonts w:ascii="Times New Roman" w:hAnsi="Times New Roman" w:cs="Times New Roman"/>
          <w:i/>
          <w:iCs/>
          <w:sz w:val="24"/>
          <w:szCs w:val="24"/>
        </w:rPr>
        <w:t>HAD</w:t>
      </w:r>
      <w:r w:rsidR="00220AB5">
        <w:rPr>
          <w:rFonts w:ascii="Times New Roman" w:hAnsi="Times New Roman" w:cs="Times New Roman"/>
          <w:i/>
          <w:iCs/>
          <w:sz w:val="24"/>
          <w:szCs w:val="24"/>
        </w:rPr>
        <w:t xml:space="preserve"> score</w:t>
      </w:r>
      <w:r w:rsidRPr="003578A0">
        <w:rPr>
          <w:rFonts w:ascii="Times New Roman" w:hAnsi="Times New Roman" w:cs="Times New Roman"/>
          <w:sz w:val="24"/>
          <w:szCs w:val="24"/>
        </w:rPr>
        <w:t>: Hospital Anxiety and Depression</w:t>
      </w:r>
      <w:r w:rsidR="00220AB5">
        <w:rPr>
          <w:rFonts w:ascii="Times New Roman" w:hAnsi="Times New Roman" w:cs="Times New Roman"/>
          <w:sz w:val="24"/>
          <w:szCs w:val="24"/>
        </w:rPr>
        <w:t xml:space="preserve"> score</w:t>
      </w:r>
      <w:r w:rsidRPr="003578A0">
        <w:rPr>
          <w:rFonts w:ascii="Times New Roman" w:hAnsi="Times New Roman" w:cs="Times New Roman"/>
          <w:sz w:val="24"/>
          <w:szCs w:val="24"/>
        </w:rPr>
        <w:t xml:space="preserve">, </w:t>
      </w:r>
      <w:r w:rsidRPr="003578A0">
        <w:rPr>
          <w:rFonts w:ascii="Times New Roman" w:hAnsi="Times New Roman" w:cs="Times New Roman"/>
        </w:rPr>
        <w:t>(0-7 normal, 8-10 mild, 11-15 moderate and 16-21 severe)</w:t>
      </w:r>
    </w:p>
    <w:p w14:paraId="28083467" w14:textId="1403D666" w:rsidR="003578A0" w:rsidRPr="003578A0" w:rsidRDefault="003578A0" w:rsidP="00357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8A0">
        <w:rPr>
          <w:rFonts w:ascii="Times New Roman" w:hAnsi="Times New Roman" w:cs="Times New Roman"/>
          <w:i/>
          <w:iCs/>
        </w:rPr>
        <w:t>Stop Bang Questionnaire</w:t>
      </w:r>
      <w:r>
        <w:rPr>
          <w:rFonts w:ascii="Times New Roman" w:hAnsi="Times New Roman" w:cs="Times New Roman"/>
        </w:rPr>
        <w:t xml:space="preserve">: </w:t>
      </w:r>
      <w:r w:rsidRPr="003578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3578A0">
        <w:rPr>
          <w:rFonts w:ascii="Times New Roman" w:hAnsi="Times New Roman" w:cs="Times New Roman"/>
        </w:rPr>
        <w:t>core used to assess the risk for obstructive sleep apnea, 0-2 low risk, 3-4 intermediate and 5-8 high risk</w:t>
      </w:r>
    </w:p>
    <w:p w14:paraId="5269DCEE" w14:textId="65A62431" w:rsidR="003578A0" w:rsidRDefault="003578A0" w:rsidP="00357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8A0">
        <w:rPr>
          <w:rFonts w:ascii="Times New Roman" w:hAnsi="Times New Roman" w:cs="Times New Roman"/>
          <w:i/>
          <w:iCs/>
          <w:sz w:val="24"/>
          <w:szCs w:val="24"/>
        </w:rPr>
        <w:t>Arrhythmia:</w:t>
      </w:r>
      <w:r>
        <w:rPr>
          <w:rFonts w:ascii="Times New Roman" w:hAnsi="Times New Roman" w:cs="Times New Roman"/>
          <w:sz w:val="24"/>
          <w:szCs w:val="24"/>
        </w:rPr>
        <w:t xml:space="preserve"> This term has been used to describe any cardiac rhythm apart from sinus rhythm.</w:t>
      </w:r>
    </w:p>
    <w:p w14:paraId="44ECEB92" w14:textId="75A80584" w:rsidR="003578A0" w:rsidRPr="001D3D91" w:rsidRDefault="00BA34F3" w:rsidP="00357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D27">
        <w:rPr>
          <w:rFonts w:ascii="Times New Roman" w:hAnsi="Times New Roman" w:cs="Times New Roman"/>
          <w:i/>
          <w:iCs/>
          <w:sz w:val="24"/>
          <w:szCs w:val="24"/>
        </w:rPr>
        <w:t>Immunosuppressive treatment:</w:t>
      </w:r>
      <w:r>
        <w:rPr>
          <w:rFonts w:ascii="Times New Roman" w:hAnsi="Times New Roman" w:cs="Times New Roman"/>
          <w:sz w:val="24"/>
          <w:szCs w:val="24"/>
        </w:rPr>
        <w:t xml:space="preserve"> This term was used for any drug which could lead to either cellular o</w:t>
      </w:r>
      <w:r w:rsidR="00220AB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humoral </w:t>
      </w:r>
      <w:r w:rsidR="000A1698">
        <w:rPr>
          <w:rFonts w:ascii="Times New Roman" w:hAnsi="Times New Roman" w:cs="Times New Roman"/>
          <w:sz w:val="24"/>
          <w:szCs w:val="24"/>
        </w:rPr>
        <w:t>immunosuppressants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AB5">
        <w:rPr>
          <w:rFonts w:ascii="Times New Roman" w:hAnsi="Times New Roman" w:cs="Times New Roman"/>
          <w:sz w:val="24"/>
          <w:szCs w:val="24"/>
        </w:rPr>
        <w:t>such as</w:t>
      </w:r>
      <w:r>
        <w:rPr>
          <w:rFonts w:ascii="Times New Roman" w:hAnsi="Times New Roman" w:cs="Times New Roman"/>
          <w:sz w:val="24"/>
          <w:szCs w:val="24"/>
        </w:rPr>
        <w:t xml:space="preserve"> chemotherapeutic</w:t>
      </w:r>
      <w:r w:rsidR="00220AB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 w:rsidR="00220AB5">
        <w:rPr>
          <w:rFonts w:ascii="Times New Roman" w:hAnsi="Times New Roman" w:cs="Times New Roman"/>
          <w:sz w:val="24"/>
          <w:szCs w:val="24"/>
        </w:rPr>
        <w:t>anti-TNF therapies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0AB5">
        <w:rPr>
          <w:rFonts w:ascii="Times New Roman" w:hAnsi="Times New Roman" w:cs="Times New Roman"/>
          <w:sz w:val="24"/>
          <w:szCs w:val="24"/>
        </w:rPr>
        <w:t>Systemic c</w:t>
      </w:r>
      <w:r>
        <w:rPr>
          <w:rFonts w:ascii="Times New Roman" w:hAnsi="Times New Roman" w:cs="Times New Roman"/>
          <w:sz w:val="24"/>
          <w:szCs w:val="24"/>
        </w:rPr>
        <w:t xml:space="preserve">orticosteroids were considered in this category </w:t>
      </w:r>
      <w:r w:rsidR="00220AB5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AB5">
        <w:rPr>
          <w:rFonts w:ascii="Times New Roman" w:hAnsi="Times New Roman" w:cs="Times New Roman"/>
          <w:sz w:val="24"/>
          <w:szCs w:val="24"/>
        </w:rPr>
        <w:t>used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D91">
        <w:rPr>
          <w:rFonts w:ascii="Times New Roman" w:hAnsi="Times New Roman" w:cs="Times New Roman"/>
          <w:sz w:val="24"/>
          <w:szCs w:val="24"/>
        </w:rPr>
        <w:t xml:space="preserve">more than </w:t>
      </w:r>
      <w:r w:rsidR="00BB1D23">
        <w:rPr>
          <w:rFonts w:ascii="Times New Roman" w:hAnsi="Times New Roman" w:cs="Times New Roman"/>
          <w:sz w:val="24"/>
          <w:szCs w:val="24"/>
        </w:rPr>
        <w:t>4</w:t>
      </w:r>
      <w:r w:rsidRPr="001D3D91">
        <w:rPr>
          <w:rFonts w:ascii="Times New Roman" w:hAnsi="Times New Roman" w:cs="Times New Roman"/>
          <w:sz w:val="24"/>
          <w:szCs w:val="24"/>
        </w:rPr>
        <w:t xml:space="preserve"> weeks</w:t>
      </w:r>
      <w:r w:rsidR="00220AB5">
        <w:rPr>
          <w:rFonts w:ascii="Times New Roman" w:hAnsi="Times New Roman" w:cs="Times New Roman"/>
          <w:sz w:val="24"/>
          <w:szCs w:val="24"/>
        </w:rPr>
        <w:t>.</w:t>
      </w:r>
      <w:r w:rsidRPr="001D3D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2DF3B" w14:textId="4E091E22" w:rsidR="00BA34F3" w:rsidRPr="001D3D91" w:rsidRDefault="004640F3" w:rsidP="00357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D91">
        <w:rPr>
          <w:rFonts w:ascii="Times New Roman" w:hAnsi="Times New Roman" w:cs="Times New Roman"/>
          <w:i/>
          <w:iCs/>
          <w:sz w:val="24"/>
          <w:szCs w:val="24"/>
        </w:rPr>
        <w:t>Frequent</w:t>
      </w:r>
      <w:r w:rsidR="00BA34F3" w:rsidRPr="001D3D91">
        <w:rPr>
          <w:rFonts w:ascii="Times New Roman" w:hAnsi="Times New Roman" w:cs="Times New Roman"/>
          <w:i/>
          <w:iCs/>
          <w:sz w:val="24"/>
          <w:szCs w:val="24"/>
        </w:rPr>
        <w:t xml:space="preserve"> usage of antibiotics</w:t>
      </w:r>
      <w:r w:rsidR="00BA34F3" w:rsidRPr="001D3D91">
        <w:rPr>
          <w:rFonts w:ascii="Times New Roman" w:hAnsi="Times New Roman" w:cs="Times New Roman"/>
          <w:sz w:val="24"/>
          <w:szCs w:val="24"/>
        </w:rPr>
        <w:t xml:space="preserve">: </w:t>
      </w:r>
      <w:r w:rsidR="00D10155" w:rsidRPr="001D3D91">
        <w:rPr>
          <w:rFonts w:ascii="Times New Roman" w:hAnsi="Times New Roman" w:cs="Times New Roman"/>
          <w:sz w:val="24"/>
          <w:szCs w:val="24"/>
        </w:rPr>
        <w:t xml:space="preserve">Refers to the need of antibiotic prescription </w:t>
      </w:r>
      <w:r w:rsidR="000A1698">
        <w:rPr>
          <w:rFonts w:ascii="Times New Roman" w:hAnsi="Times New Roman" w:cs="Times New Roman"/>
          <w:sz w:val="24"/>
          <w:szCs w:val="24"/>
        </w:rPr>
        <w:t>for</w:t>
      </w:r>
      <w:r w:rsidR="00D10155" w:rsidRPr="001D3D91">
        <w:rPr>
          <w:rFonts w:ascii="Times New Roman" w:hAnsi="Times New Roman" w:cs="Times New Roman"/>
          <w:sz w:val="24"/>
          <w:szCs w:val="24"/>
        </w:rPr>
        <w:t xml:space="preserve"> more than 3 times annually.</w:t>
      </w:r>
    </w:p>
    <w:p w14:paraId="0C92AA3D" w14:textId="4B93EE8B" w:rsidR="00917B9C" w:rsidRDefault="00917B9C" w:rsidP="00414632">
      <w:pPr>
        <w:pStyle w:val="NormalWeb"/>
        <w:numPr>
          <w:ilvl w:val="0"/>
          <w:numId w:val="1"/>
        </w:numPr>
        <w:spacing w:line="360" w:lineRule="auto"/>
        <w:jc w:val="both"/>
      </w:pPr>
      <w:r w:rsidRPr="00841095">
        <w:rPr>
          <w:rStyle w:val="Strong"/>
          <w:rFonts w:eastAsiaTheme="majorEastAsia"/>
          <w:b w:val="0"/>
          <w:bCs w:val="0"/>
          <w:i/>
          <w:iCs/>
        </w:rPr>
        <w:lastRenderedPageBreak/>
        <w:t>Antibiotic switching:</w:t>
      </w:r>
      <w:r>
        <w:t xml:space="preserve"> Antibiotic modification is guided by the antibiogram when available. However, for patients who do not demonstrate a satisfactory response to the prescribed antibiotic based on clinical, radiological, and laboratory assessments, a broader-spectrum antibiotic is initiated, or an additional antibiotic from a different class is administered. Transitioning from intravenous to oral antibiotics, involving a different antibiotic class, is also regarded as an antibiotic switch. Any change between classes of antibiotics is considered a switch.</w:t>
      </w:r>
    </w:p>
    <w:p w14:paraId="7199AB17" w14:textId="3E3D4228" w:rsidR="00917B9C" w:rsidRDefault="00917B9C" w:rsidP="00414632">
      <w:pPr>
        <w:pStyle w:val="NormalWeb"/>
        <w:numPr>
          <w:ilvl w:val="0"/>
          <w:numId w:val="1"/>
        </w:numPr>
        <w:spacing w:line="360" w:lineRule="auto"/>
        <w:jc w:val="both"/>
      </w:pPr>
      <w:r w:rsidRPr="00841095">
        <w:rPr>
          <w:rStyle w:val="Strong"/>
          <w:rFonts w:eastAsiaTheme="majorEastAsia"/>
          <w:b w:val="0"/>
          <w:bCs w:val="0"/>
          <w:i/>
          <w:iCs/>
        </w:rPr>
        <w:t>Need for additional doses of corticosteroids:</w:t>
      </w:r>
      <w:r>
        <w:t xml:space="preserve"> This refers to any administration of corticosteroids that exceeds the standard recommended dosage of 40 mg of methylprednisolone, administered based on clinical need.</w:t>
      </w:r>
    </w:p>
    <w:p w14:paraId="2F4595C1" w14:textId="78A33306" w:rsidR="00917B9C" w:rsidRDefault="00917B9C" w:rsidP="00414632">
      <w:pPr>
        <w:pStyle w:val="NormalWeb"/>
        <w:numPr>
          <w:ilvl w:val="0"/>
          <w:numId w:val="1"/>
        </w:numPr>
        <w:spacing w:line="360" w:lineRule="auto"/>
        <w:jc w:val="both"/>
      </w:pPr>
      <w:r w:rsidRPr="00841095">
        <w:rPr>
          <w:rStyle w:val="Strong"/>
          <w:rFonts w:eastAsiaTheme="majorEastAsia"/>
          <w:b w:val="0"/>
          <w:bCs w:val="0"/>
          <w:i/>
          <w:iCs/>
        </w:rPr>
        <w:t>Need for theophylline:</w:t>
      </w:r>
      <w:r>
        <w:t xml:space="preserve"> Although current guidelines discourage the use of theophylline in patients with exacerbations due to its side effect profile, its use may be </w:t>
      </w:r>
      <w:r w:rsidR="00414632">
        <w:t>administered</w:t>
      </w:r>
      <w:r>
        <w:t xml:space="preserve"> in patients who </w:t>
      </w:r>
      <w:r w:rsidR="00414632">
        <w:t>do not response standard bronchodilator therapy with appropriate dose and duration</w:t>
      </w:r>
      <w:r>
        <w:t xml:space="preserve">. </w:t>
      </w:r>
    </w:p>
    <w:p w14:paraId="1B8EE575" w14:textId="7C40BE89" w:rsidR="00917B9C" w:rsidRDefault="00917B9C" w:rsidP="00414632">
      <w:pPr>
        <w:pStyle w:val="NormalWeb"/>
        <w:numPr>
          <w:ilvl w:val="0"/>
          <w:numId w:val="1"/>
        </w:numPr>
        <w:spacing w:line="360" w:lineRule="auto"/>
        <w:jc w:val="both"/>
      </w:pPr>
      <w:r w:rsidRPr="00841095">
        <w:rPr>
          <w:rStyle w:val="Strong"/>
          <w:rFonts w:eastAsiaTheme="majorEastAsia"/>
          <w:b w:val="0"/>
          <w:bCs w:val="0"/>
          <w:i/>
          <w:iCs/>
        </w:rPr>
        <w:t>Need for non-invasive ventilation (NIV) at follow-up:</w:t>
      </w:r>
      <w:r>
        <w:t xml:space="preserve"> This variable reflects the clinical scenario in which a patient, initially not requiring NIV upon hospital admission, later requires its initiation due to </w:t>
      </w:r>
      <w:r w:rsidR="00414632">
        <w:t>respiratory failure</w:t>
      </w:r>
      <w:r>
        <w:t>.</w:t>
      </w:r>
    </w:p>
    <w:p w14:paraId="540572E6" w14:textId="31D6C2B4" w:rsidR="00917B9C" w:rsidRDefault="00917B9C" w:rsidP="00414632">
      <w:pPr>
        <w:pStyle w:val="NormalWeb"/>
        <w:numPr>
          <w:ilvl w:val="0"/>
          <w:numId w:val="1"/>
        </w:numPr>
        <w:spacing w:line="360" w:lineRule="auto"/>
        <w:jc w:val="both"/>
      </w:pPr>
      <w:r w:rsidRPr="00841095">
        <w:rPr>
          <w:rStyle w:val="Strong"/>
          <w:rFonts w:eastAsiaTheme="majorEastAsia"/>
          <w:b w:val="0"/>
          <w:bCs w:val="0"/>
          <w:i/>
          <w:iCs/>
        </w:rPr>
        <w:t>Need for nutritional support:</w:t>
      </w:r>
      <w:r>
        <w:t xml:space="preserve"> This variable identifies patients with poor nutritional status, often evidenced by inadequate oral intake </w:t>
      </w:r>
      <w:r w:rsidR="00F371F3">
        <w:t>with body mass index &lt;</w:t>
      </w:r>
      <w:r w:rsidR="00F371F3" w:rsidRPr="00F371F3">
        <w:t xml:space="preserve"> 18</w:t>
      </w:r>
      <w:r w:rsidR="00F371F3">
        <w:t xml:space="preserve"> </w:t>
      </w:r>
      <w:r w:rsidR="00F371F3" w:rsidRPr="00F371F3">
        <w:t>kg/m</w:t>
      </w:r>
      <w:r w:rsidR="00F371F3" w:rsidRPr="00F371F3">
        <w:rPr>
          <w:vertAlign w:val="superscript"/>
        </w:rPr>
        <w:t>2</w:t>
      </w:r>
      <w:r w:rsidR="00F371F3">
        <w:t>.</w:t>
      </w:r>
      <w:r>
        <w:t xml:space="preserve"> These patients require nutritional support, which may be provided orally or via parenteral routes.</w:t>
      </w:r>
    </w:p>
    <w:p w14:paraId="706BE6D0" w14:textId="77777777" w:rsidR="00841095" w:rsidRDefault="00841095" w:rsidP="00841095">
      <w:pPr>
        <w:pStyle w:val="NormalWeb"/>
        <w:numPr>
          <w:ilvl w:val="0"/>
          <w:numId w:val="1"/>
        </w:numPr>
        <w:spacing w:line="360" w:lineRule="auto"/>
        <w:jc w:val="both"/>
      </w:pPr>
      <w:r w:rsidRPr="00841095">
        <w:rPr>
          <w:rStyle w:val="Strong"/>
          <w:rFonts w:eastAsiaTheme="majorEastAsia"/>
          <w:b w:val="0"/>
          <w:bCs w:val="0"/>
          <w:i/>
          <w:iCs/>
        </w:rPr>
        <w:t>P</w:t>
      </w:r>
      <w:r w:rsidR="00917B9C" w:rsidRPr="00841095">
        <w:rPr>
          <w:rStyle w:val="Strong"/>
          <w:rFonts w:eastAsiaTheme="majorEastAsia"/>
          <w:b w:val="0"/>
          <w:bCs w:val="0"/>
          <w:i/>
          <w:iCs/>
        </w:rPr>
        <w:t>hysiotherapy:</w:t>
      </w:r>
      <w:r w:rsidR="00917B9C">
        <w:t xml:space="preserve"> </w:t>
      </w:r>
      <w:r>
        <w:t>It refers to the physiotherapy techniques applied in patients who, despite pharmacological treatment, experience persistent coughing, difficulty in expectorating sputum, and uncontrolled shortness of breath.</w:t>
      </w:r>
    </w:p>
    <w:p w14:paraId="7682AB87" w14:textId="77777777" w:rsidR="00841095" w:rsidRDefault="00841095" w:rsidP="00841095">
      <w:pPr>
        <w:pStyle w:val="NormalWeb"/>
        <w:spacing w:line="360" w:lineRule="auto"/>
        <w:ind w:left="720"/>
        <w:jc w:val="both"/>
      </w:pPr>
    </w:p>
    <w:p w14:paraId="0DFB3E86" w14:textId="77777777" w:rsidR="00841095" w:rsidRDefault="00841095" w:rsidP="00841095">
      <w:pPr>
        <w:pStyle w:val="NormalWeb"/>
        <w:spacing w:line="360" w:lineRule="auto"/>
        <w:ind w:left="720"/>
        <w:jc w:val="both"/>
      </w:pPr>
    </w:p>
    <w:p w14:paraId="7A9A647B" w14:textId="77777777" w:rsidR="00841095" w:rsidRDefault="00841095" w:rsidP="00841095">
      <w:pPr>
        <w:pStyle w:val="NormalWeb"/>
        <w:spacing w:line="360" w:lineRule="auto"/>
        <w:ind w:left="720"/>
        <w:jc w:val="both"/>
      </w:pPr>
    </w:p>
    <w:p w14:paraId="100DBFAB" w14:textId="77777777" w:rsidR="00841095" w:rsidRDefault="00841095" w:rsidP="00841095">
      <w:pPr>
        <w:pStyle w:val="NormalWeb"/>
        <w:spacing w:line="360" w:lineRule="auto"/>
        <w:ind w:left="720"/>
        <w:jc w:val="both"/>
      </w:pPr>
    </w:p>
    <w:p w14:paraId="7A7EB5B2" w14:textId="77777777" w:rsidR="00841095" w:rsidRDefault="00841095" w:rsidP="00841095">
      <w:pPr>
        <w:pStyle w:val="NormalWeb"/>
        <w:spacing w:line="360" w:lineRule="auto"/>
        <w:ind w:left="720"/>
        <w:jc w:val="both"/>
      </w:pPr>
    </w:p>
    <w:p w14:paraId="7015C0A3" w14:textId="6A0D5ECE" w:rsidR="00917B9C" w:rsidRDefault="00917B9C" w:rsidP="00841095">
      <w:pPr>
        <w:pStyle w:val="NormalWeb"/>
        <w:spacing w:line="360" w:lineRule="auto"/>
        <w:ind w:left="720"/>
        <w:jc w:val="both"/>
      </w:pPr>
    </w:p>
    <w:sectPr w:rsidR="00917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874D96"/>
    <w:multiLevelType w:val="hybridMultilevel"/>
    <w:tmpl w:val="8788D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930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2E"/>
    <w:rsid w:val="00062B4F"/>
    <w:rsid w:val="000A1698"/>
    <w:rsid w:val="001D3D91"/>
    <w:rsid w:val="00220AB5"/>
    <w:rsid w:val="003578A0"/>
    <w:rsid w:val="00414632"/>
    <w:rsid w:val="00440B12"/>
    <w:rsid w:val="00455EDC"/>
    <w:rsid w:val="004640F3"/>
    <w:rsid w:val="004A7B34"/>
    <w:rsid w:val="004D4365"/>
    <w:rsid w:val="004E6066"/>
    <w:rsid w:val="00584D27"/>
    <w:rsid w:val="005951E7"/>
    <w:rsid w:val="006833ED"/>
    <w:rsid w:val="00783080"/>
    <w:rsid w:val="00804E95"/>
    <w:rsid w:val="00841095"/>
    <w:rsid w:val="00847DAF"/>
    <w:rsid w:val="008A4D0A"/>
    <w:rsid w:val="00917B9C"/>
    <w:rsid w:val="00A8001F"/>
    <w:rsid w:val="00A90CB9"/>
    <w:rsid w:val="00AA64F5"/>
    <w:rsid w:val="00BA34F3"/>
    <w:rsid w:val="00BB1D23"/>
    <w:rsid w:val="00C61F93"/>
    <w:rsid w:val="00CB3435"/>
    <w:rsid w:val="00CC04C7"/>
    <w:rsid w:val="00CD757A"/>
    <w:rsid w:val="00D10155"/>
    <w:rsid w:val="00E05297"/>
    <w:rsid w:val="00E24FDC"/>
    <w:rsid w:val="00E33705"/>
    <w:rsid w:val="00EA1F87"/>
    <w:rsid w:val="00EC151B"/>
    <w:rsid w:val="00F04D2E"/>
    <w:rsid w:val="00F371F3"/>
    <w:rsid w:val="00F40041"/>
    <w:rsid w:val="00F8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5F9E"/>
  <w15:chartTrackingRefBased/>
  <w15:docId w15:val="{57A0E85A-B006-4F5C-A343-B68CC41C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D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D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D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D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D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17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17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0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6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4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28B73295F2CA742A39F243BCC5B1487" ma:contentTypeVersion="5" ma:contentTypeDescription="Yeni belge oluşturun." ma:contentTypeScope="" ma:versionID="c8d68be4455a1f81ac0633011d73d052">
  <xsd:schema xmlns:xsd="http://www.w3.org/2001/XMLSchema" xmlns:xs="http://www.w3.org/2001/XMLSchema" xmlns:p="http://schemas.microsoft.com/office/2006/metadata/properties" xmlns:ns3="4ad08f33-0af1-4da9-ae16-ce278c1ad54b" targetNamespace="http://schemas.microsoft.com/office/2006/metadata/properties" ma:root="true" ma:fieldsID="b02e26c45cf6d13b87dbda3d5bdb55b6" ns3:_="">
    <xsd:import namespace="4ad08f33-0af1-4da9-ae16-ce278c1ad5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08f33-0af1-4da9-ae16-ce278c1ad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d08f33-0af1-4da9-ae16-ce278c1ad54b" xsi:nil="true"/>
  </documentManagement>
</p:properties>
</file>

<file path=customXml/itemProps1.xml><?xml version="1.0" encoding="utf-8"?>
<ds:datastoreItem xmlns:ds="http://schemas.openxmlformats.org/officeDocument/2006/customXml" ds:itemID="{F09C2DAD-F395-4CA7-B95F-6C02EDC48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08f33-0af1-4da9-ae16-ce278c1ad5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213CFF-CD95-403F-9359-30301639C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9EA151-654B-46FD-9C73-99B7819DE583}">
  <ds:schemaRefs>
    <ds:schemaRef ds:uri="http://schemas.microsoft.com/office/2006/metadata/properties"/>
    <ds:schemaRef ds:uri="http://schemas.microsoft.com/office/infopath/2007/PartnerControls"/>
    <ds:schemaRef ds:uri="4ad08f33-0af1-4da9-ae16-ce278c1ad5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Esendağlı</dc:creator>
  <cp:keywords/>
  <dc:description/>
  <cp:lastModifiedBy>Dorina Esendağlı</cp:lastModifiedBy>
  <cp:revision>2</cp:revision>
  <dcterms:created xsi:type="dcterms:W3CDTF">2024-10-27T20:40:00Z</dcterms:created>
  <dcterms:modified xsi:type="dcterms:W3CDTF">2024-10-27T20:40:00Z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0x010100328B73295F2CA742A39F243BCC5B1487</vt:lpwstr>
  </property>
</Properties>
</file>