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C1BFC" w14:textId="3822497D" w:rsidR="00000000" w:rsidRPr="00F0063C" w:rsidRDefault="006D51C6" w:rsidP="0068458A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  <w:r w:rsidRPr="00F0063C">
        <w:rPr>
          <w:rFonts w:ascii="Times New Roman" w:hAnsi="Times New Roman" w:cs="Times New Roman"/>
          <w:b/>
          <w:bCs/>
          <w:sz w:val="22"/>
        </w:rPr>
        <w:t>Supplementa</w:t>
      </w:r>
      <w:r w:rsidR="003E27E3">
        <w:rPr>
          <w:rFonts w:ascii="Times New Roman" w:hAnsi="Times New Roman" w:cs="Times New Roman" w:hint="eastAsia"/>
          <w:b/>
          <w:bCs/>
          <w:sz w:val="22"/>
        </w:rPr>
        <w:t>ry</w:t>
      </w:r>
      <w:r w:rsidR="003E27E3">
        <w:rPr>
          <w:rFonts w:ascii="Times New Roman" w:hAnsi="Times New Roman" w:cs="Times New Roman"/>
          <w:b/>
          <w:bCs/>
          <w:sz w:val="22"/>
        </w:rPr>
        <w:t xml:space="preserve"> </w:t>
      </w:r>
      <w:r w:rsidR="00485009" w:rsidRPr="00F0063C">
        <w:rPr>
          <w:rFonts w:ascii="Times New Roman" w:hAnsi="Times New Roman" w:cs="Times New Roman"/>
          <w:b/>
          <w:bCs/>
          <w:sz w:val="22"/>
        </w:rPr>
        <w:t>Table</w:t>
      </w:r>
      <w:r w:rsidRPr="00F0063C">
        <w:rPr>
          <w:rFonts w:ascii="Times New Roman" w:hAnsi="Times New Roman" w:cs="Times New Roman"/>
          <w:b/>
          <w:bCs/>
          <w:sz w:val="22"/>
        </w:rPr>
        <w:t xml:space="preserve"> 1. Acceptability and repeatability criteria for maneuvers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6D51C6" w14:paraId="2104BE4F" w14:textId="77777777" w:rsidTr="00071B37">
        <w:tc>
          <w:tcPr>
            <w:tcW w:w="8296" w:type="dxa"/>
            <w:tcBorders>
              <w:top w:val="single" w:sz="4" w:space="0" w:color="auto"/>
            </w:tcBorders>
          </w:tcPr>
          <w:p w14:paraId="06F93221" w14:textId="5EC041EE" w:rsidR="006D51C6" w:rsidRPr="006D51C6" w:rsidRDefault="00071B37" w:rsidP="0068458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C</w:t>
            </w:r>
            <w:r w:rsidR="006D51C6" w:rsidRPr="006D51C6">
              <w:rPr>
                <w:rFonts w:ascii="Times New Roman" w:hAnsi="Times New Roman" w:cs="Times New Roman"/>
                <w:b/>
                <w:bCs/>
                <w:sz w:val="22"/>
              </w:rPr>
              <w:t>riterion</w:t>
            </w:r>
          </w:p>
        </w:tc>
      </w:tr>
      <w:tr w:rsidR="00071B37" w:rsidRPr="00986778" w14:paraId="237CEB4D" w14:textId="77777777" w:rsidTr="00071B37">
        <w:tc>
          <w:tcPr>
            <w:tcW w:w="8296" w:type="dxa"/>
            <w:tcBorders>
              <w:top w:val="single" w:sz="4" w:space="0" w:color="auto"/>
            </w:tcBorders>
          </w:tcPr>
          <w:p w14:paraId="21610EAE" w14:textId="3F686F94" w:rsidR="00071B37" w:rsidRPr="00986778" w:rsidRDefault="00071B37" w:rsidP="0068458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86778">
              <w:rPr>
                <w:rFonts w:ascii="Times New Roman" w:hAnsi="Times New Roman" w:cs="Times New Roman" w:hint="eastAsia"/>
                <w:b/>
                <w:bCs/>
                <w:sz w:val="22"/>
              </w:rPr>
              <w:t>A</w:t>
            </w:r>
            <w:r w:rsidRPr="00986778">
              <w:rPr>
                <w:rFonts w:ascii="Times New Roman" w:hAnsi="Times New Roman" w:cs="Times New Roman"/>
                <w:b/>
                <w:bCs/>
                <w:sz w:val="22"/>
              </w:rPr>
              <w:t xml:space="preserve"> maneuver is considered acceptable if</w:t>
            </w:r>
          </w:p>
        </w:tc>
      </w:tr>
      <w:tr w:rsidR="006D51C6" w14:paraId="47929358" w14:textId="77777777" w:rsidTr="00071B37">
        <w:tc>
          <w:tcPr>
            <w:tcW w:w="8296" w:type="dxa"/>
          </w:tcPr>
          <w:p w14:paraId="4E059784" w14:textId="13CF3CEF" w:rsidR="006D51C6" w:rsidRDefault="006D51C6" w:rsidP="0068458A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2F6726">
              <w:rPr>
                <w:rFonts w:ascii="Times New Roman" w:hAnsi="Times New Roman" w:cs="Times New Roman"/>
                <w:sz w:val="22"/>
              </w:rPr>
              <w:t>It i</w:t>
            </w:r>
            <w:r w:rsidR="00D22B52">
              <w:rPr>
                <w:rFonts w:ascii="Times New Roman" w:hAnsi="Times New Roman" w:cs="Times New Roman"/>
                <w:sz w:val="22"/>
              </w:rPr>
              <w:t>s f</w:t>
            </w:r>
            <w:r>
              <w:rPr>
                <w:rFonts w:ascii="Times New Roman" w:hAnsi="Times New Roman" w:cs="Times New Roman"/>
                <w:sz w:val="22"/>
              </w:rPr>
              <w:t>ree from artefacts:</w:t>
            </w:r>
          </w:p>
        </w:tc>
      </w:tr>
      <w:tr w:rsidR="006D51C6" w14:paraId="6939E859" w14:textId="77777777" w:rsidTr="00071B37">
        <w:tc>
          <w:tcPr>
            <w:tcW w:w="8296" w:type="dxa"/>
          </w:tcPr>
          <w:p w14:paraId="5D2B827D" w14:textId="581807BE" w:rsidR="006D51C6" w:rsidRDefault="006D51C6" w:rsidP="0068458A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 xml:space="preserve">   Cough during the first second of exhalation</w:t>
            </w:r>
          </w:p>
        </w:tc>
      </w:tr>
      <w:tr w:rsidR="006D51C6" w14:paraId="511F177F" w14:textId="77777777" w:rsidTr="00071B37">
        <w:tc>
          <w:tcPr>
            <w:tcW w:w="8296" w:type="dxa"/>
          </w:tcPr>
          <w:p w14:paraId="6D939098" w14:textId="5F921B3F" w:rsidR="006D51C6" w:rsidRDefault="006D51C6" w:rsidP="0068458A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 xml:space="preserve">   Glottis closure that influences the measurement</w:t>
            </w:r>
          </w:p>
        </w:tc>
      </w:tr>
      <w:tr w:rsidR="006D51C6" w14:paraId="7F63168F" w14:textId="77777777" w:rsidTr="00071B37">
        <w:tc>
          <w:tcPr>
            <w:tcW w:w="8296" w:type="dxa"/>
          </w:tcPr>
          <w:p w14:paraId="30D53BC7" w14:textId="7B68AF80" w:rsidR="006D51C6" w:rsidRDefault="006D51C6" w:rsidP="0068458A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 xml:space="preserve">   Early termination or cut-off</w:t>
            </w:r>
          </w:p>
        </w:tc>
      </w:tr>
      <w:tr w:rsidR="006D51C6" w14:paraId="4530A541" w14:textId="77777777" w:rsidTr="00071B37">
        <w:tc>
          <w:tcPr>
            <w:tcW w:w="8296" w:type="dxa"/>
          </w:tcPr>
          <w:p w14:paraId="7CDCFF07" w14:textId="7DD7C1ED" w:rsidR="006D51C6" w:rsidRDefault="006D51C6" w:rsidP="0068458A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 xml:space="preserve">   Effort that is not maximal throughout</w:t>
            </w:r>
          </w:p>
        </w:tc>
      </w:tr>
      <w:tr w:rsidR="006D51C6" w14:paraId="655D1065" w14:textId="77777777" w:rsidTr="00071B37">
        <w:tc>
          <w:tcPr>
            <w:tcW w:w="8296" w:type="dxa"/>
          </w:tcPr>
          <w:p w14:paraId="4822427A" w14:textId="0DA423F4" w:rsidR="006D51C6" w:rsidRDefault="006D51C6" w:rsidP="0068458A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 xml:space="preserve">   Leak</w:t>
            </w:r>
          </w:p>
        </w:tc>
      </w:tr>
      <w:tr w:rsidR="006D51C6" w14:paraId="3756B9D7" w14:textId="77777777" w:rsidTr="00071B37">
        <w:tc>
          <w:tcPr>
            <w:tcW w:w="8296" w:type="dxa"/>
          </w:tcPr>
          <w:p w14:paraId="4E6943B1" w14:textId="58A1509D" w:rsidR="006D51C6" w:rsidRDefault="006D51C6" w:rsidP="0068458A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 xml:space="preserve">   Obstructed mouthpiece</w:t>
            </w:r>
          </w:p>
        </w:tc>
      </w:tr>
      <w:tr w:rsidR="006D51C6" w14:paraId="3DD8F0C9" w14:textId="77777777" w:rsidTr="00071B37">
        <w:tc>
          <w:tcPr>
            <w:tcW w:w="8296" w:type="dxa"/>
          </w:tcPr>
          <w:p w14:paraId="3E00C02A" w14:textId="334BB3AA" w:rsidR="006D51C6" w:rsidRDefault="006D51C6" w:rsidP="0068458A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2F6726">
              <w:rPr>
                <w:rFonts w:ascii="Times New Roman" w:hAnsi="Times New Roman" w:cs="Times New Roman"/>
                <w:sz w:val="22"/>
              </w:rPr>
              <w:t>It h</w:t>
            </w:r>
            <w:r>
              <w:rPr>
                <w:rFonts w:ascii="Times New Roman" w:hAnsi="Times New Roman" w:cs="Times New Roman"/>
                <w:sz w:val="22"/>
              </w:rPr>
              <w:t>a</w:t>
            </w:r>
            <w:r w:rsidR="00D22B52">
              <w:rPr>
                <w:rFonts w:ascii="Times New Roman" w:hAnsi="Times New Roman" w:cs="Times New Roman"/>
                <w:sz w:val="22"/>
              </w:rPr>
              <w:t>s</w:t>
            </w:r>
            <w:r>
              <w:rPr>
                <w:rFonts w:ascii="Times New Roman" w:hAnsi="Times New Roman" w:cs="Times New Roman"/>
                <w:sz w:val="22"/>
              </w:rPr>
              <w:t xml:space="preserve"> good starts:</w:t>
            </w:r>
          </w:p>
        </w:tc>
      </w:tr>
      <w:tr w:rsidR="006D51C6" w14:paraId="54F1784B" w14:textId="77777777" w:rsidTr="00071B37">
        <w:tc>
          <w:tcPr>
            <w:tcW w:w="8296" w:type="dxa"/>
          </w:tcPr>
          <w:p w14:paraId="4EC0C925" w14:textId="1EA280C4" w:rsidR="006D51C6" w:rsidRDefault="006D51C6" w:rsidP="0068458A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 xml:space="preserve">   Extrapolated volume &lt; 5% of FVC or 0.15</w:t>
            </w:r>
            <w:r w:rsidR="00BF71B9"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>L, whichever is greater</w:t>
            </w:r>
          </w:p>
        </w:tc>
      </w:tr>
      <w:tr w:rsidR="006D51C6" w14:paraId="28071E1D" w14:textId="77777777" w:rsidTr="00071B37">
        <w:tc>
          <w:tcPr>
            <w:tcW w:w="8296" w:type="dxa"/>
          </w:tcPr>
          <w:p w14:paraId="23D7C757" w14:textId="5610B773" w:rsidR="006D51C6" w:rsidRDefault="006D51C6" w:rsidP="0068458A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2F6726">
              <w:rPr>
                <w:rFonts w:ascii="Times New Roman" w:hAnsi="Times New Roman" w:cs="Times New Roman"/>
                <w:sz w:val="22"/>
              </w:rPr>
              <w:t>It s</w:t>
            </w:r>
            <w:r>
              <w:rPr>
                <w:rFonts w:ascii="Times New Roman" w:hAnsi="Times New Roman" w:cs="Times New Roman"/>
                <w:sz w:val="22"/>
              </w:rPr>
              <w:t>how</w:t>
            </w:r>
            <w:r w:rsidR="00D22B52">
              <w:rPr>
                <w:rFonts w:ascii="Times New Roman" w:hAnsi="Times New Roman" w:cs="Times New Roman"/>
                <w:sz w:val="22"/>
              </w:rPr>
              <w:t>s</w:t>
            </w:r>
            <w:r>
              <w:rPr>
                <w:rFonts w:ascii="Times New Roman" w:hAnsi="Times New Roman" w:cs="Times New Roman"/>
                <w:sz w:val="22"/>
              </w:rPr>
              <w:t xml:space="preserve"> satisfactory exhalation</w:t>
            </w:r>
            <w:r w:rsidR="00D22B52">
              <w:rPr>
                <w:rFonts w:ascii="Times New Roman" w:hAnsi="Times New Roman" w:cs="Times New Roman"/>
                <w:sz w:val="22"/>
              </w:rPr>
              <w:t>:</w:t>
            </w:r>
          </w:p>
        </w:tc>
      </w:tr>
      <w:tr w:rsidR="006D51C6" w14:paraId="47F61263" w14:textId="77777777" w:rsidTr="00071B37">
        <w:tc>
          <w:tcPr>
            <w:tcW w:w="8296" w:type="dxa"/>
          </w:tcPr>
          <w:p w14:paraId="1007B5E8" w14:textId="5B32B465" w:rsidR="006D51C6" w:rsidRDefault="006D51C6" w:rsidP="0068458A">
            <w:pPr>
              <w:spacing w:line="360" w:lineRule="auto"/>
              <w:ind w:firstLine="45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Duration of </w:t>
            </w:r>
            <w:r w:rsidR="002F6726">
              <w:rPr>
                <w:rFonts w:ascii="Times New Roman" w:hAnsi="Times New Roman" w:cs="Times New Roman"/>
                <w:sz w:val="22"/>
              </w:rPr>
              <w:t>≥</w:t>
            </w:r>
            <w:r w:rsidR="00BF71B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2F6726">
              <w:rPr>
                <w:rFonts w:ascii="Times New Roman" w:hAnsi="Times New Roman" w:cs="Times New Roman"/>
                <w:sz w:val="22"/>
              </w:rPr>
              <w:t>6</w:t>
            </w:r>
            <w:r w:rsidR="002F6726">
              <w:rPr>
                <w:rFonts w:ascii="Times New Roman" w:hAnsi="Times New Roman" w:cs="Times New Roman" w:hint="eastAsia"/>
                <w:sz w:val="22"/>
              </w:rPr>
              <w:t>s</w:t>
            </w:r>
            <w:r w:rsidR="002F6726">
              <w:rPr>
                <w:rFonts w:ascii="Times New Roman" w:hAnsi="Times New Roman" w:cs="Times New Roman"/>
                <w:sz w:val="22"/>
              </w:rPr>
              <w:t xml:space="preserve"> (3s for children) or plateau in the volume-time curve or</w:t>
            </w:r>
          </w:p>
          <w:p w14:paraId="14E59E49" w14:textId="46C7F34B" w:rsidR="002F6726" w:rsidRPr="002F6726" w:rsidRDefault="002F6726" w:rsidP="0068458A">
            <w:pPr>
              <w:spacing w:line="360" w:lineRule="auto"/>
              <w:ind w:firstLine="45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 If the subject cannot or should not continue to exhale</w:t>
            </w:r>
          </w:p>
        </w:tc>
      </w:tr>
      <w:tr w:rsidR="002F6726" w:rsidRPr="00BF71B9" w14:paraId="3FF1ADA3" w14:textId="77777777" w:rsidTr="00071B37">
        <w:tc>
          <w:tcPr>
            <w:tcW w:w="8296" w:type="dxa"/>
          </w:tcPr>
          <w:p w14:paraId="2125BDDE" w14:textId="5A5A9FAD" w:rsidR="002F6726" w:rsidRPr="00BF71B9" w:rsidRDefault="002F6726" w:rsidP="0068458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BF71B9">
              <w:rPr>
                <w:rFonts w:ascii="Times New Roman" w:hAnsi="Times New Roman" w:cs="Times New Roman"/>
                <w:b/>
                <w:bCs/>
                <w:sz w:val="22"/>
              </w:rPr>
              <w:t>Maneuvers are considered repeatable if</w:t>
            </w:r>
          </w:p>
        </w:tc>
      </w:tr>
      <w:tr w:rsidR="002F6726" w14:paraId="0C127772" w14:textId="77777777" w:rsidTr="00BF71B9">
        <w:tc>
          <w:tcPr>
            <w:tcW w:w="8296" w:type="dxa"/>
          </w:tcPr>
          <w:p w14:paraId="34DFE2F4" w14:textId="362C66F3" w:rsidR="002F6726" w:rsidRDefault="002F6726" w:rsidP="0068458A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 xml:space="preserve"> The two largest values of FVC are within 0.150</w:t>
            </w:r>
            <w:r w:rsidR="00BF71B9"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>L of each other</w:t>
            </w:r>
          </w:p>
        </w:tc>
      </w:tr>
      <w:tr w:rsidR="002F6726" w14:paraId="1D86F009" w14:textId="77777777" w:rsidTr="00BF71B9">
        <w:tc>
          <w:tcPr>
            <w:tcW w:w="8296" w:type="dxa"/>
            <w:tcBorders>
              <w:bottom w:val="single" w:sz="4" w:space="0" w:color="auto"/>
            </w:tcBorders>
          </w:tcPr>
          <w:p w14:paraId="47E0FE41" w14:textId="215395B2" w:rsidR="002F6726" w:rsidRDefault="002F6726" w:rsidP="0068458A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 xml:space="preserve"> The two largest values of FEV</w:t>
            </w:r>
            <w:r w:rsidRPr="00BF71B9">
              <w:rPr>
                <w:rFonts w:ascii="Times New Roman" w:hAnsi="Times New Roman" w:cs="Times New Roman"/>
                <w:sz w:val="22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 xml:space="preserve"> are within 0.150</w:t>
            </w:r>
            <w:r w:rsidR="00BF71B9"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>L of each other</w:t>
            </w:r>
          </w:p>
        </w:tc>
      </w:tr>
    </w:tbl>
    <w:p w14:paraId="3FF764E4" w14:textId="00E89791" w:rsidR="00230AFE" w:rsidRDefault="00BF71B9" w:rsidP="0068458A">
      <w:pPr>
        <w:spacing w:line="360" w:lineRule="auto"/>
        <w:rPr>
          <w:rFonts w:ascii="Times New Roman" w:hAnsi="Times New Roman" w:cs="Times New Roman"/>
          <w:sz w:val="22"/>
        </w:rPr>
      </w:pPr>
      <w:r w:rsidRPr="00BF71B9">
        <w:rPr>
          <w:rFonts w:ascii="Times New Roman" w:hAnsi="Times New Roman" w:cs="Times New Roman"/>
          <w:sz w:val="22"/>
        </w:rPr>
        <w:t>FVC: forced vital capacity; FEV</w:t>
      </w:r>
      <w:r w:rsidRPr="00371146">
        <w:rPr>
          <w:rFonts w:ascii="Times New Roman" w:hAnsi="Times New Roman" w:cs="Times New Roman"/>
          <w:sz w:val="22"/>
          <w:vertAlign w:val="subscript"/>
        </w:rPr>
        <w:t>1</w:t>
      </w:r>
      <w:r w:rsidRPr="00BF71B9">
        <w:rPr>
          <w:rFonts w:ascii="Times New Roman" w:hAnsi="Times New Roman" w:cs="Times New Roman"/>
          <w:sz w:val="22"/>
        </w:rPr>
        <w:t>: forced expiratory volume in one second.</w:t>
      </w:r>
      <w:r w:rsidR="00230AFE">
        <w:rPr>
          <w:rFonts w:ascii="Times New Roman" w:hAnsi="Times New Roman" w:cs="Times New Roman"/>
          <w:sz w:val="22"/>
        </w:rPr>
        <w:t xml:space="preserve"> Adapted from Miller et al </w:t>
      </w:r>
      <w:r w:rsidR="00230AFE">
        <w:rPr>
          <w:rFonts w:ascii="Times New Roman" w:hAnsi="Times New Roman" w:cs="Times New Roman"/>
          <w:sz w:val="22"/>
        </w:rPr>
        <w:fldChar w:fldCharType="begin"/>
      </w:r>
      <w:r w:rsidR="00230AFE">
        <w:rPr>
          <w:rFonts w:ascii="Times New Roman" w:hAnsi="Times New Roman" w:cs="Times New Roman"/>
          <w:sz w:val="22"/>
        </w:rPr>
        <w:instrText xml:space="preserve"> ADDIN EN.CITE &lt;EndNote&gt;&lt;Cite&gt;&lt;Author&gt;Miller&lt;/Author&gt;&lt;Year&gt;2005&lt;/Year&gt;&lt;RecNum&gt;23&lt;/RecNum&gt;&lt;DisplayText&gt;(1)&lt;/DisplayText&gt;&lt;record&gt;&lt;rec-number&gt;23&lt;/rec-number&gt;&lt;foreign-keys&gt;&lt;key app="EN" db-id="tveevp9foxsxaoevfs3v0zxfd2xv9e5vd2pt" timestamp="1692778930"&gt;23&lt;/key&gt;&lt;/foreign-keys&gt;&lt;ref-type name="Journal Article"&gt;17&lt;/ref-type&gt;&lt;contributors&gt;&lt;authors&gt;&lt;author&gt;Miller, M. R.&lt;/author&gt;&lt;author&gt;Hankinson, J.&lt;/author&gt;&lt;author&gt;Brusasco, V.&lt;/author&gt;&lt;author&gt;Burgos, F.&lt;/author&gt;&lt;author&gt;Casaburi, R.&lt;/author&gt;&lt;author&gt;Coates, A.&lt;/author&gt;&lt;author&gt;Crapo, R.&lt;/author&gt;&lt;author&gt;Enright, P.&lt;/author&gt;&lt;author&gt;van der Grinten, C. P.&lt;/author&gt;&lt;author&gt;Gustafsson, P.&lt;/author&gt;&lt;author&gt;Jensen, R.&lt;/author&gt;&lt;author&gt;Johnson, D. C.&lt;/author&gt;&lt;author&gt;MacIntyre, N.&lt;/author&gt;&lt;author&gt;McKay, R.&lt;/author&gt;&lt;author&gt;Navajas, D.&lt;/author&gt;&lt;author&gt;Pedersen, O. F.&lt;/author&gt;&lt;author&gt;Pellegrino, R.&lt;/author&gt;&lt;author&gt;Viegi, G.&lt;/author&gt;&lt;author&gt;Wanger, J.&lt;/author&gt;&lt;/authors&gt;&lt;/contributors&gt;&lt;auth-address&gt;University Hospital Birmingham NHS Trust, Birmingham, UK.&lt;/auth-address&gt;&lt;titles&gt;&lt;title&gt;Standardisation of spirometry&lt;/title&gt;&lt;secondary-title&gt;Eur Respir J&lt;/secondary-title&gt;&lt;/titles&gt;&lt;periodical&gt;&lt;full-title&gt;Eur Respir J&lt;/full-title&gt;&lt;/periodical&gt;&lt;pages&gt;319-38&lt;/pages&gt;&lt;volume&gt;26&lt;/volume&gt;&lt;number&gt;2&lt;/number&gt;&lt;edition&gt;2005/08/02&lt;/edition&gt;&lt;keywords&gt;&lt;keyword&gt;Humans&lt;/keyword&gt;&lt;keyword&gt;Maximal Voluntary Ventilation&lt;/keyword&gt;&lt;keyword&gt;Peak Expiratory Flow Rate&lt;/keyword&gt;&lt;keyword&gt;Spirometry/instrumentation/methods/*standards&lt;/keyword&gt;&lt;keyword&gt;Vital Capacity&lt;/keyword&gt;&lt;/keywords&gt;&lt;dates&gt;&lt;year&gt;2005&lt;/year&gt;&lt;pub-dates&gt;&lt;date&gt;Aug&lt;/date&gt;&lt;/pub-dates&gt;&lt;/dates&gt;&lt;isbn&gt;0903-1936 (Print)&amp;#xD;0903-1936&lt;/isbn&gt;&lt;accession-num&gt;16055882&lt;/accession-num&gt;&lt;urls&gt;&lt;/urls&gt;&lt;electronic-resource-num&gt;10.1183/09031936.05.00034805&lt;/electronic-resource-num&gt;&lt;remote-database-provider&gt;NLM&lt;/remote-database-provider&gt;&lt;language&gt;eng&lt;/language&gt;&lt;/record&gt;&lt;/Cite&gt;&lt;/EndNote&gt;</w:instrText>
      </w:r>
      <w:r w:rsidR="00230AFE">
        <w:rPr>
          <w:rFonts w:ascii="Times New Roman" w:hAnsi="Times New Roman" w:cs="Times New Roman"/>
          <w:sz w:val="22"/>
        </w:rPr>
        <w:fldChar w:fldCharType="separate"/>
      </w:r>
      <w:r w:rsidR="00230AFE">
        <w:rPr>
          <w:rFonts w:ascii="Times New Roman" w:hAnsi="Times New Roman" w:cs="Times New Roman"/>
          <w:noProof/>
          <w:sz w:val="22"/>
        </w:rPr>
        <w:t>(1)</w:t>
      </w:r>
      <w:r w:rsidR="00230AFE">
        <w:rPr>
          <w:rFonts w:ascii="Times New Roman" w:hAnsi="Times New Roman" w:cs="Times New Roman"/>
          <w:sz w:val="22"/>
        </w:rPr>
        <w:fldChar w:fldCharType="end"/>
      </w:r>
      <w:r w:rsidR="00230AFE">
        <w:rPr>
          <w:rFonts w:ascii="Times New Roman" w:hAnsi="Times New Roman" w:cs="Times New Roman"/>
          <w:sz w:val="22"/>
        </w:rPr>
        <w:t>.</w:t>
      </w:r>
    </w:p>
    <w:p w14:paraId="07B44BE1" w14:textId="77777777" w:rsidR="00230AFE" w:rsidRDefault="00230AFE" w:rsidP="0068458A">
      <w:pPr>
        <w:spacing w:line="360" w:lineRule="auto"/>
        <w:rPr>
          <w:rFonts w:ascii="Times New Roman" w:hAnsi="Times New Roman" w:cs="Times New Roman"/>
          <w:sz w:val="22"/>
        </w:rPr>
      </w:pPr>
    </w:p>
    <w:p w14:paraId="63197ADF" w14:textId="63FBD678" w:rsidR="00230AFE" w:rsidRPr="00230AFE" w:rsidRDefault="00230AFE" w:rsidP="0068458A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  <w:r w:rsidRPr="00230AFE">
        <w:rPr>
          <w:rFonts w:ascii="Times New Roman" w:hAnsi="Times New Roman" w:cs="Times New Roman" w:hint="eastAsia"/>
          <w:b/>
          <w:bCs/>
          <w:sz w:val="22"/>
        </w:rPr>
        <w:t>R</w:t>
      </w:r>
      <w:r w:rsidRPr="00230AFE">
        <w:rPr>
          <w:rFonts w:ascii="Times New Roman" w:hAnsi="Times New Roman" w:cs="Times New Roman"/>
          <w:b/>
          <w:bCs/>
          <w:sz w:val="22"/>
        </w:rPr>
        <w:t>eference</w:t>
      </w:r>
      <w:r w:rsidR="00371146">
        <w:rPr>
          <w:rFonts w:ascii="Times New Roman" w:hAnsi="Times New Roman" w:cs="Times New Roman"/>
          <w:b/>
          <w:bCs/>
          <w:sz w:val="22"/>
        </w:rPr>
        <w:t>s</w:t>
      </w:r>
      <w:r w:rsidR="003C4B8B" w:rsidRPr="00230AFE">
        <w:rPr>
          <w:rFonts w:ascii="Times New Roman" w:hAnsi="Times New Roman" w:cs="Times New Roman"/>
          <w:b/>
          <w:bCs/>
          <w:sz w:val="22"/>
        </w:rPr>
        <w:t>:</w:t>
      </w:r>
    </w:p>
    <w:p w14:paraId="1DBB265D" w14:textId="77777777" w:rsidR="00230AFE" w:rsidRPr="00230AFE" w:rsidRDefault="00230AFE" w:rsidP="0068458A">
      <w:pPr>
        <w:pStyle w:val="EndNoteBibliography"/>
        <w:spacing w:line="360" w:lineRule="auto"/>
        <w:rPr>
          <w:rFonts w:ascii="Times New Roman" w:hAnsi="Times New Roman" w:cs="Times New Roman"/>
          <w:sz w:val="22"/>
        </w:rPr>
      </w:pPr>
      <w:r w:rsidRPr="00230AFE">
        <w:rPr>
          <w:rFonts w:ascii="Times New Roman" w:hAnsi="Times New Roman" w:cs="Times New Roman"/>
          <w:sz w:val="22"/>
        </w:rPr>
        <w:fldChar w:fldCharType="begin"/>
      </w:r>
      <w:r w:rsidRPr="00230AFE">
        <w:rPr>
          <w:rFonts w:ascii="Times New Roman" w:hAnsi="Times New Roman" w:cs="Times New Roman"/>
          <w:sz w:val="22"/>
        </w:rPr>
        <w:instrText xml:space="preserve"> ADDIN EN.REFLIST </w:instrText>
      </w:r>
      <w:r w:rsidRPr="00230AFE">
        <w:rPr>
          <w:rFonts w:ascii="Times New Roman" w:hAnsi="Times New Roman" w:cs="Times New Roman"/>
          <w:sz w:val="22"/>
        </w:rPr>
        <w:fldChar w:fldCharType="separate"/>
      </w:r>
      <w:r w:rsidRPr="00230AFE">
        <w:rPr>
          <w:rFonts w:ascii="Times New Roman" w:hAnsi="Times New Roman" w:cs="Times New Roman"/>
          <w:sz w:val="22"/>
        </w:rPr>
        <w:t>1.</w:t>
      </w:r>
      <w:r w:rsidRPr="00230AFE">
        <w:rPr>
          <w:rFonts w:ascii="Times New Roman" w:hAnsi="Times New Roman" w:cs="Times New Roman"/>
          <w:sz w:val="22"/>
        </w:rPr>
        <w:tab/>
        <w:t>Miller MR, Hankinson J, Brusasco V, Burgos F, Casaburi R, Coates A, et al. Standardisation of spirometry. Eur Respir J. 2005;26(2):319-38.</w:t>
      </w:r>
    </w:p>
    <w:p w14:paraId="6FCD6AD3" w14:textId="6676FF0C" w:rsidR="00230AFE" w:rsidRPr="006D51C6" w:rsidRDefault="00230AFE" w:rsidP="0068458A">
      <w:pPr>
        <w:spacing w:line="360" w:lineRule="auto"/>
        <w:rPr>
          <w:rFonts w:ascii="Times New Roman" w:hAnsi="Times New Roman" w:cs="Times New Roman"/>
          <w:sz w:val="22"/>
        </w:rPr>
      </w:pPr>
      <w:r w:rsidRPr="00230AFE">
        <w:rPr>
          <w:rFonts w:ascii="Times New Roman" w:hAnsi="Times New Roman" w:cs="Times New Roman"/>
          <w:sz w:val="22"/>
        </w:rPr>
        <w:fldChar w:fldCharType="end"/>
      </w:r>
    </w:p>
    <w:sectPr w:rsidR="00230AFE" w:rsidRPr="006D51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E4C434" w14:textId="77777777" w:rsidR="00AD6D79" w:rsidRDefault="00AD6D79" w:rsidP="006D51C6">
      <w:r>
        <w:separator/>
      </w:r>
    </w:p>
  </w:endnote>
  <w:endnote w:type="continuationSeparator" w:id="0">
    <w:p w14:paraId="6EBF0829" w14:textId="77777777" w:rsidR="00AD6D79" w:rsidRDefault="00AD6D79" w:rsidP="006D5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258A75" w14:textId="77777777" w:rsidR="00AD6D79" w:rsidRDefault="00AD6D79" w:rsidP="006D51C6">
      <w:r>
        <w:separator/>
      </w:r>
    </w:p>
  </w:footnote>
  <w:footnote w:type="continuationSeparator" w:id="0">
    <w:p w14:paraId="1015C729" w14:textId="77777777" w:rsidR="00AD6D79" w:rsidRDefault="00AD6D79" w:rsidP="006D51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Copy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veevp9foxsxaoevfs3v0zxfd2xv9e5vd2pt&quot;&gt;ref&lt;record-ids&gt;&lt;item&gt;23&lt;/item&gt;&lt;/record-ids&gt;&lt;/item&gt;&lt;/Libraries&gt;"/>
  </w:docVars>
  <w:rsids>
    <w:rsidRoot w:val="00294914"/>
    <w:rsid w:val="00071B37"/>
    <w:rsid w:val="00230AFE"/>
    <w:rsid w:val="00294914"/>
    <w:rsid w:val="002F6726"/>
    <w:rsid w:val="00371146"/>
    <w:rsid w:val="003C4B8B"/>
    <w:rsid w:val="003E27E3"/>
    <w:rsid w:val="00485009"/>
    <w:rsid w:val="004D3A65"/>
    <w:rsid w:val="005E29E8"/>
    <w:rsid w:val="00623D14"/>
    <w:rsid w:val="0068458A"/>
    <w:rsid w:val="00694002"/>
    <w:rsid w:val="006D51C6"/>
    <w:rsid w:val="00816383"/>
    <w:rsid w:val="009752B8"/>
    <w:rsid w:val="00986778"/>
    <w:rsid w:val="00A9491F"/>
    <w:rsid w:val="00AD6D79"/>
    <w:rsid w:val="00BF71B9"/>
    <w:rsid w:val="00D22B52"/>
    <w:rsid w:val="00EA0045"/>
    <w:rsid w:val="00F00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08A8F0"/>
  <w15:chartTrackingRefBased/>
  <w15:docId w15:val="{C2CA282A-D625-44BE-9B60-B0CBE2E65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51C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D51C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D51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D51C6"/>
    <w:rPr>
      <w:sz w:val="18"/>
      <w:szCs w:val="18"/>
    </w:rPr>
  </w:style>
  <w:style w:type="table" w:styleId="a7">
    <w:name w:val="Table Grid"/>
    <w:basedOn w:val="a1"/>
    <w:uiPriority w:val="39"/>
    <w:rsid w:val="006D51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"/>
    <w:link w:val="EndNoteBibliographyTitle0"/>
    <w:rsid w:val="00230AFE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230AFE"/>
    <w:rPr>
      <w:rFonts w:ascii="Calibri" w:hAnsi="Calibri" w:cs="Calibri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230AFE"/>
    <w:rPr>
      <w:rFonts w:ascii="Calibri" w:hAnsi="Calibri" w:cs="Calibri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230AFE"/>
    <w:rPr>
      <w:rFonts w:ascii="Calibri" w:hAnsi="Calibri" w:cs="Calibri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439</Words>
  <Characters>2506</Characters>
  <Application>Microsoft Office Word</Application>
  <DocSecurity>0</DocSecurity>
  <Lines>20</Lines>
  <Paragraphs>5</Paragraphs>
  <ScaleCrop>false</ScaleCrop>
  <Company>Mect.it</Company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饶文涛Wyatt</dc:creator>
  <cp:keywords/>
  <dc:description/>
  <cp:lastModifiedBy>Rowe Daniel</cp:lastModifiedBy>
  <cp:revision>13</cp:revision>
  <dcterms:created xsi:type="dcterms:W3CDTF">2023-09-18T09:56:00Z</dcterms:created>
  <dcterms:modified xsi:type="dcterms:W3CDTF">2023-11-15T12:55:00Z</dcterms:modified>
</cp:coreProperties>
</file>