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BE2E6" w14:textId="77777777" w:rsidR="009135AA" w:rsidRPr="000D202A" w:rsidRDefault="009135AA" w:rsidP="009135AA">
      <w:pPr>
        <w:spacing w:line="278" w:lineRule="auto"/>
        <w:jc w:val="both"/>
        <w:rPr>
          <w:rFonts w:ascii="Aptos" w:eastAsia="Aptos" w:hAnsi="Aptos" w:cs="Times New Roman"/>
          <w:kern w:val="2"/>
          <w:sz w:val="24"/>
          <w:szCs w:val="24"/>
          <w:u w:val="single"/>
          <w:lang w:val="da-DK"/>
          <w14:ligatures w14:val="standardContextual"/>
        </w:rPr>
      </w:pPr>
      <w:r w:rsidRPr="000D202A">
        <w:rPr>
          <w:rFonts w:ascii="Aptos" w:eastAsia="Aptos" w:hAnsi="Aptos" w:cs="Times New Roman"/>
          <w:b/>
          <w:bCs/>
          <w:kern w:val="2"/>
          <w:sz w:val="24"/>
          <w:szCs w:val="24"/>
          <w:u w:val="single"/>
          <w:lang w:val="da-DK"/>
          <w14:ligatures w14:val="standardContextual"/>
        </w:rPr>
        <w:t>Additional File 1:</w:t>
      </w:r>
    </w:p>
    <w:p w14:paraId="77BC646C" w14:textId="044BDFC8" w:rsidR="009135AA" w:rsidRPr="000D202A" w:rsidRDefault="009135AA" w:rsidP="009135AA">
      <w:pPr>
        <w:spacing w:line="278" w:lineRule="auto"/>
        <w:jc w:val="both"/>
        <w:rPr>
          <w:rFonts w:ascii="Aptos" w:eastAsia="Aptos" w:hAnsi="Aptos" w:cs="Times New Roman"/>
          <w:kern w:val="2"/>
          <w:sz w:val="24"/>
          <w:szCs w:val="24"/>
          <w:lang w:val="da-DK"/>
          <w14:ligatures w14:val="standardContextual"/>
        </w:rPr>
      </w:pPr>
      <w:r w:rsidRPr="000D202A">
        <w:rPr>
          <w:rFonts w:ascii="Aptos" w:eastAsia="Aptos" w:hAnsi="Aptos" w:cs="Times New Roman"/>
          <w:b/>
          <w:bCs/>
          <w:kern w:val="2"/>
          <w:sz w:val="24"/>
          <w:szCs w:val="24"/>
          <w:lang w:val="da-DK"/>
          <w14:ligatures w14:val="standardContextual"/>
        </w:rPr>
        <w:t>Table 1: Definition and categorization of study variables</w:t>
      </w:r>
    </w:p>
    <w:tbl>
      <w:tblPr>
        <w:tblW w:w="935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66"/>
        <w:gridCol w:w="6990"/>
      </w:tblGrid>
      <w:tr w:rsidR="009135AA" w:rsidRPr="000D202A" w14:paraId="6E4AF995"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657F65"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b/>
                <w:bCs/>
                <w:kern w:val="2"/>
                <w:sz w:val="24"/>
                <w:szCs w:val="24"/>
                <w:lang w:val="en-US"/>
                <w14:ligatures w14:val="standardContextual"/>
              </w:rPr>
              <w:t>Variable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D4F86A" w14:textId="77777777" w:rsidR="009135AA" w:rsidRPr="000D202A" w:rsidRDefault="009135AA" w:rsidP="009135AA">
            <w:pPr>
              <w:spacing w:line="278" w:lineRule="auto"/>
              <w:jc w:val="both"/>
              <w:rPr>
                <w:rFonts w:ascii="Aptos" w:eastAsia="Aptos" w:hAnsi="Aptos" w:cs="Times New Roman"/>
                <w:kern w:val="2"/>
                <w:sz w:val="24"/>
                <w:szCs w:val="24"/>
                <w:lang w:val="da-DK"/>
                <w14:ligatures w14:val="standardContextual"/>
              </w:rPr>
            </w:pPr>
            <w:r w:rsidRPr="000D202A">
              <w:rPr>
                <w:rFonts w:ascii="Aptos" w:eastAsia="Aptos" w:hAnsi="Aptos" w:cs="Times New Roman"/>
                <w:b/>
                <w:bCs/>
                <w:kern w:val="2"/>
                <w:sz w:val="24"/>
                <w:szCs w:val="24"/>
                <w:lang w:val="da-DK"/>
                <w14:ligatures w14:val="standardContextual"/>
              </w:rPr>
              <w:t>Definition and reference class for statistical modeling</w:t>
            </w:r>
            <w:r w:rsidRPr="000D202A">
              <w:rPr>
                <w:rFonts w:ascii="Aptos" w:eastAsia="Aptos" w:hAnsi="Aptos" w:cs="Times New Roman"/>
                <w:kern w:val="2"/>
                <w:sz w:val="24"/>
                <w:szCs w:val="24"/>
                <w:lang w:val="da-DK"/>
                <w14:ligatures w14:val="standardContextual"/>
              </w:rPr>
              <w:t> </w:t>
            </w:r>
          </w:p>
        </w:tc>
      </w:tr>
      <w:tr w:rsidR="009135AA" w:rsidRPr="000D202A" w14:paraId="230402CB"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55CBBA"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b/>
                <w:bCs/>
                <w:kern w:val="2"/>
                <w:sz w:val="24"/>
                <w:szCs w:val="24"/>
                <w:lang w:val="en-US"/>
                <w14:ligatures w14:val="standardContextual"/>
              </w:rPr>
              <w:t>Primary Diagnosis: Pneumonia</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758F7C" w14:textId="77777777" w:rsidR="009135AA" w:rsidRPr="000D202A" w:rsidRDefault="009135AA" w:rsidP="009135AA">
            <w:pPr>
              <w:spacing w:line="278" w:lineRule="auto"/>
              <w:jc w:val="both"/>
              <w:rPr>
                <w:rFonts w:ascii="Aptos" w:eastAsia="Aptos" w:hAnsi="Aptos" w:cs="Times New Roman"/>
                <w:kern w:val="2"/>
                <w:sz w:val="24"/>
                <w:szCs w:val="24"/>
                <w:lang w:val="da-DK"/>
                <w14:ligatures w14:val="standardContextual"/>
              </w:rPr>
            </w:pPr>
            <w:r w:rsidRPr="000D202A">
              <w:rPr>
                <w:rFonts w:ascii="Aptos" w:eastAsia="Aptos" w:hAnsi="Aptos" w:cs="Times New Roman"/>
                <w:kern w:val="2"/>
                <w:sz w:val="24"/>
                <w:szCs w:val="24"/>
                <w:lang w:val="da-DK"/>
                <w14:ligatures w14:val="standardContextual"/>
              </w:rPr>
              <w:t>Disease identified as the one that, after patient evaluation, is considered responsible for the patient's hospital admission for treatment. </w:t>
            </w:r>
          </w:p>
          <w:p w14:paraId="0C0E7DFD" w14:textId="339FAAE8"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480-486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J12-J18.9, B25.0, A37.91, A22.1, B44.0 and A48.1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tc>
      </w:tr>
      <w:tr w:rsidR="009135AA" w:rsidRPr="000D202A" w14:paraId="7388A9E0"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EBDBD8"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b/>
                <w:bCs/>
                <w:kern w:val="2"/>
                <w:sz w:val="24"/>
                <w:szCs w:val="24"/>
                <w:lang w:val="en-US"/>
                <w14:ligatures w14:val="standardContextual"/>
              </w:rPr>
              <w:t>Host factors</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5DCCDA"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Intrinsic factors that influence an individual’s susceptibility to disease.</w:t>
            </w:r>
            <w:r w:rsidRPr="000D202A">
              <w:rPr>
                <w:rFonts w:ascii="Aptos" w:eastAsia="Aptos" w:hAnsi="Aptos" w:cs="Times New Roman"/>
                <w:kern w:val="2"/>
                <w:sz w:val="24"/>
                <w:szCs w:val="24"/>
                <w14:ligatures w14:val="standardContextual"/>
              </w:rPr>
              <w:t> </w:t>
            </w:r>
          </w:p>
        </w:tc>
      </w:tr>
      <w:tr w:rsidR="007E75CB" w:rsidRPr="000D202A" w14:paraId="76E74EB2" w14:textId="77777777" w:rsidTr="00973B2D">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C4C59E" w14:textId="77777777" w:rsidR="007E75CB" w:rsidRPr="000D202A" w:rsidRDefault="007E75CB" w:rsidP="00973B2D">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Gender</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DE0728" w14:textId="77777777" w:rsidR="007E75CB" w:rsidRPr="000D202A" w:rsidRDefault="007E75CB" w:rsidP="00973B2D">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Gender was defined based on physical characteristics, including reproductive anatomy, as male, female, or undetermined, and subsequently categorized (1 Male, 2 Female, 3 Indeterminate).</w:t>
            </w:r>
            <w:r w:rsidRPr="000D202A">
              <w:rPr>
                <w:rFonts w:ascii="Aptos" w:eastAsia="Aptos" w:hAnsi="Aptos" w:cs="Times New Roman"/>
                <w:kern w:val="2"/>
                <w:sz w:val="24"/>
                <w:szCs w:val="24"/>
                <w14:ligatures w14:val="standardContextual"/>
              </w:rPr>
              <w:t> </w:t>
            </w:r>
          </w:p>
          <w:p w14:paraId="47C54B51" w14:textId="77777777" w:rsidR="007E75CB" w:rsidRPr="000D202A" w:rsidRDefault="007E75CB" w:rsidP="00973B2D">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Male as reference.</w:t>
            </w:r>
            <w:r w:rsidRPr="000D202A">
              <w:rPr>
                <w:rFonts w:ascii="Aptos" w:eastAsia="Aptos" w:hAnsi="Aptos" w:cs="Times New Roman"/>
                <w:kern w:val="2"/>
                <w:sz w:val="24"/>
                <w:szCs w:val="24"/>
                <w14:ligatures w14:val="standardContextual"/>
              </w:rPr>
              <w:t> </w:t>
            </w:r>
          </w:p>
        </w:tc>
      </w:tr>
      <w:tr w:rsidR="009135AA" w:rsidRPr="000D202A" w14:paraId="776DAB95"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E9D8AE"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Age Group</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2A710B"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The patient’s chronological age was recorded in years at the time of hospital admission in the National Hospital Discharge Database and subsequently categorized into groups (&lt;1, 1-4, 5-14, 15-24, 25-44, 45-64, 65-74, 75-84, 85-94, ≥95), following the categorization established by the Portuguese Directorate-General of Health, the public health authority under the Ministry of Health, operating with administrative autonomy.</w:t>
            </w:r>
            <w:r w:rsidRPr="000D202A">
              <w:rPr>
                <w:rFonts w:ascii="Aptos" w:eastAsia="Aptos" w:hAnsi="Aptos" w:cs="Times New Roman"/>
                <w:kern w:val="2"/>
                <w:sz w:val="24"/>
                <w:szCs w:val="24"/>
                <w14:ligatures w14:val="standardContextual"/>
              </w:rPr>
              <w:t> </w:t>
            </w:r>
          </w:p>
          <w:p w14:paraId="013F60B5"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Reference category: &lt;1.</w:t>
            </w:r>
            <w:r w:rsidRPr="000D202A">
              <w:rPr>
                <w:rFonts w:ascii="Aptos" w:eastAsia="Aptos" w:hAnsi="Aptos" w:cs="Times New Roman"/>
                <w:kern w:val="2"/>
                <w:sz w:val="24"/>
                <w:szCs w:val="24"/>
                <w14:ligatures w14:val="standardContextual"/>
              </w:rPr>
              <w:t> </w:t>
            </w:r>
          </w:p>
        </w:tc>
      </w:tr>
      <w:tr w:rsidR="002F369B" w:rsidRPr="000D202A" w14:paraId="3CB28655"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tcPr>
          <w:p w14:paraId="5399D77B" w14:textId="6AAD7451" w:rsidR="002F369B" w:rsidRPr="000D202A" w:rsidRDefault="007E75CB" w:rsidP="009135AA">
            <w:pPr>
              <w:spacing w:line="278" w:lineRule="auto"/>
              <w:jc w:val="both"/>
              <w:rPr>
                <w:rFonts w:ascii="Aptos" w:eastAsia="Aptos" w:hAnsi="Aptos" w:cs="Times New Roman"/>
                <w:kern w:val="2"/>
                <w:sz w:val="24"/>
                <w:szCs w:val="24"/>
                <w:lang w:val="en-US"/>
                <w14:ligatures w14:val="standardContextual"/>
              </w:rPr>
            </w:pPr>
            <w:r w:rsidRPr="000D202A">
              <w:rPr>
                <w:rFonts w:ascii="Aptos" w:eastAsia="Aptos" w:hAnsi="Aptos" w:cs="Times New Roman"/>
                <w:b/>
                <w:bCs/>
                <w:kern w:val="2"/>
                <w:sz w:val="24"/>
                <w:szCs w:val="24"/>
                <w:lang w:val="en-US"/>
                <w14:ligatures w14:val="standardContextual"/>
              </w:rPr>
              <w:t>Charlson Comorbidity Index (CCI)</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tcPr>
          <w:p w14:paraId="4FEC70DC" w14:textId="7EC724DB" w:rsidR="002F369B" w:rsidRPr="000D202A" w:rsidRDefault="007E75CB" w:rsidP="009135AA">
            <w:pPr>
              <w:spacing w:line="278" w:lineRule="auto"/>
              <w:jc w:val="both"/>
              <w:rPr>
                <w:rFonts w:ascii="Aptos" w:eastAsia="Aptos" w:hAnsi="Aptos" w:cs="Times New Roman"/>
                <w:kern w:val="2"/>
                <w:sz w:val="24"/>
                <w:szCs w:val="24"/>
                <w:lang w:val="en-US"/>
                <w14:ligatures w14:val="standardContextual"/>
              </w:rPr>
            </w:pPr>
            <w:r w:rsidRPr="000D202A">
              <w:rPr>
                <w:rFonts w:ascii="Aptos" w:eastAsia="Aptos" w:hAnsi="Aptos" w:cs="Times New Roman"/>
                <w:kern w:val="2"/>
                <w:sz w:val="24"/>
                <w:szCs w:val="24"/>
                <w:lang w:val="en-US"/>
                <w14:ligatures w14:val="standardContextual"/>
              </w:rPr>
              <w:t xml:space="preserve">The CCI was calculated for each hospitalization episode </w:t>
            </w:r>
            <w:r w:rsidR="00A82F7F" w:rsidRPr="000D202A">
              <w:rPr>
                <w:rFonts w:ascii="Aptos" w:eastAsia="Aptos" w:hAnsi="Aptos" w:cs="Times New Roman"/>
                <w:kern w:val="2"/>
                <w:sz w:val="24"/>
                <w:szCs w:val="24"/>
                <w:lang w:val="en-US"/>
                <w14:ligatures w14:val="standardContextual"/>
              </w:rPr>
              <w:t>quantifying</w:t>
            </w:r>
            <w:r w:rsidRPr="000D202A">
              <w:rPr>
                <w:rFonts w:ascii="Aptos" w:eastAsia="Aptos" w:hAnsi="Aptos" w:cs="Times New Roman"/>
                <w:kern w:val="2"/>
                <w:sz w:val="24"/>
                <w:szCs w:val="24"/>
                <w:lang w:val="en-US"/>
                <w14:ligatures w14:val="standardContextual"/>
              </w:rPr>
              <w:t xml:space="preserve"> comorbid conditions based on ICD-coded diagnoses. The CCI assigns weighted scores to various comorbidities, reflecting their impact on mortality risk. </w:t>
            </w:r>
            <w:r w:rsidRPr="000D202A">
              <w:rPr>
                <w:rFonts w:ascii="Aptos" w:eastAsia="Aptos" w:hAnsi="Aptos" w:cs="Times New Roman"/>
                <w:kern w:val="2"/>
                <w:sz w:val="24"/>
                <w:szCs w:val="24"/>
                <w:lang w:val="da-DK"/>
                <w14:ligatures w14:val="standardContextual"/>
              </w:rPr>
              <w:t xml:space="preserve">The continuous CCI scores were categorized into three risk groups: Low risk (CCI score of 0), Moderate risk (CCI scores of 1–2), and High risk (CCI scores of ≥3). </w:t>
            </w:r>
            <w:r w:rsidR="00A93BEE" w:rsidRPr="000D202A">
              <w:rPr>
                <w:rFonts w:ascii="Aptos" w:eastAsia="Aptos" w:hAnsi="Aptos" w:cs="Times New Roman"/>
                <w:kern w:val="2"/>
                <w:sz w:val="24"/>
                <w:szCs w:val="24"/>
                <w:lang w:val="da-DK"/>
                <w14:ligatures w14:val="standardContextual"/>
              </w:rPr>
              <w:t xml:space="preserve">Reference category : </w:t>
            </w:r>
            <w:r w:rsidRPr="000D202A">
              <w:rPr>
                <w:rFonts w:ascii="Aptos" w:eastAsia="Aptos" w:hAnsi="Aptos" w:cs="Times New Roman"/>
                <w:kern w:val="2"/>
                <w:sz w:val="24"/>
                <w:szCs w:val="24"/>
                <w:lang w:val="da-DK"/>
                <w14:ligatures w14:val="standardContextual"/>
              </w:rPr>
              <w:t>Low risk.</w:t>
            </w:r>
          </w:p>
        </w:tc>
      </w:tr>
      <w:tr w:rsidR="009135AA" w:rsidRPr="000D202A" w14:paraId="360486AF"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CDCD64"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b/>
                <w:bCs/>
                <w:kern w:val="2"/>
                <w:sz w:val="24"/>
                <w:szCs w:val="24"/>
                <w:lang w:val="en-US"/>
                <w14:ligatures w14:val="standardContextual"/>
              </w:rPr>
              <w:t>Secondary Diagnoses</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4D7815"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Diseases that were identified as additional diagnoses assigned during hospitalization beyond the primary diagnosis. </w:t>
            </w:r>
            <w:r w:rsidRPr="000D202A">
              <w:rPr>
                <w:rFonts w:ascii="Aptos" w:eastAsia="Aptos" w:hAnsi="Aptos" w:cs="Times New Roman"/>
                <w:kern w:val="2"/>
                <w:sz w:val="24"/>
                <w:szCs w:val="24"/>
                <w14:ligatures w14:val="standardContextual"/>
              </w:rPr>
              <w:t> </w:t>
            </w:r>
          </w:p>
        </w:tc>
      </w:tr>
      <w:tr w:rsidR="009135AA" w:rsidRPr="000D202A" w14:paraId="0FBBC387"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AFC53C"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lastRenderedPageBreak/>
              <w:t>Cancer</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hideMark/>
          </w:tcPr>
          <w:p w14:paraId="002E6A97" w14:textId="48D637C8"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140-209.79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C00-C97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xml:space="preserve">) in the National Hospital Discharge Database. Dummy variable: 0 Absent, 1 Present. </w:t>
            </w:r>
            <w:proofErr w:type="spellStart"/>
            <w:r w:rsidRPr="000D202A">
              <w:rPr>
                <w:rFonts w:ascii="Aptos" w:eastAsia="Aptos" w:hAnsi="Aptos" w:cs="Times New Roman"/>
                <w:kern w:val="2"/>
                <w:sz w:val="24"/>
                <w:szCs w:val="24"/>
                <w14:ligatures w14:val="standardContextual"/>
              </w:rPr>
              <w:t>Absent</w:t>
            </w:r>
            <w:proofErr w:type="spellEnd"/>
            <w:r w:rsidRPr="000D202A">
              <w:rPr>
                <w:rFonts w:ascii="Aptos" w:eastAsia="Aptos" w:hAnsi="Aptos" w:cs="Times New Roman"/>
                <w:kern w:val="2"/>
                <w:sz w:val="24"/>
                <w:szCs w:val="24"/>
                <w14:ligatures w14:val="standardContextual"/>
              </w:rPr>
              <w:t xml:space="preserve"> as </w:t>
            </w:r>
            <w:proofErr w:type="spellStart"/>
            <w:r w:rsidRPr="000D202A">
              <w:rPr>
                <w:rFonts w:ascii="Aptos" w:eastAsia="Aptos" w:hAnsi="Aptos" w:cs="Times New Roman"/>
                <w:kern w:val="2"/>
                <w:sz w:val="24"/>
                <w:szCs w:val="24"/>
                <w14:ligatures w14:val="standardContextual"/>
              </w:rPr>
              <w:t>reference</w:t>
            </w:r>
            <w:proofErr w:type="spellEnd"/>
            <w:r w:rsidRPr="000D202A">
              <w:rPr>
                <w:rFonts w:ascii="Aptos" w:eastAsia="Aptos" w:hAnsi="Aptos" w:cs="Times New Roman"/>
                <w:kern w:val="2"/>
                <w:sz w:val="24"/>
                <w:szCs w:val="24"/>
                <w14:ligatures w14:val="standardContextual"/>
              </w:rPr>
              <w:t>. </w:t>
            </w:r>
          </w:p>
        </w:tc>
      </w:tr>
      <w:tr w:rsidR="009135AA" w:rsidRPr="000D202A" w14:paraId="1295DBFB"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48CD04"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Lung Cancer</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EDD26C" w14:textId="3638C0B4"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1622-1629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C34-C3492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4EAE5F96"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947DCD" w:rsidRPr="000D202A" w14:paraId="3DB3BACB" w14:textId="77777777" w:rsidTr="00A0292F">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EE1C1A" w14:textId="77777777" w:rsidR="00947DCD" w:rsidRPr="000D202A" w:rsidRDefault="00947DCD" w:rsidP="00A029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Asthma</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B8D5A2" w14:textId="19E35378" w:rsidR="00947DCD" w:rsidRPr="000D202A" w:rsidRDefault="00947DCD" w:rsidP="00A029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493–493.92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J45-J45998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1BE86692" w14:textId="77777777" w:rsidR="00947DCD" w:rsidRPr="000D202A" w:rsidRDefault="00947DCD" w:rsidP="00A029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947DCD" w:rsidRPr="000D202A" w14:paraId="1C6FAC05" w14:textId="77777777" w:rsidTr="00A0292F">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11C9B9" w14:textId="77777777" w:rsidR="00947DCD" w:rsidRPr="000D202A" w:rsidRDefault="00947DCD" w:rsidP="00A029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COPD</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749F17" w14:textId="1C700E7C" w:rsidR="00947DCD" w:rsidRPr="000D202A" w:rsidRDefault="00947DCD" w:rsidP="00A029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490-492.8, 496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J40–J449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310809E0" w14:textId="77777777" w:rsidR="00947DCD" w:rsidRPr="000D202A" w:rsidRDefault="00947DCD" w:rsidP="00A029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9135AA" w:rsidRPr="000D202A" w14:paraId="3E6076F8"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24E189"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Acute Respiratory Failure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ED04D6" w14:textId="1A9BCB10"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518.81-518.82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J96.0–J96.02, J80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are present.</w:t>
            </w:r>
            <w:r w:rsidRPr="000D202A">
              <w:rPr>
                <w:rFonts w:ascii="Aptos" w:eastAsia="Aptos" w:hAnsi="Aptos" w:cs="Times New Roman"/>
                <w:kern w:val="2"/>
                <w:sz w:val="24"/>
                <w:szCs w:val="24"/>
                <w14:ligatures w14:val="standardContextual"/>
              </w:rPr>
              <w:t> </w:t>
            </w:r>
          </w:p>
          <w:p w14:paraId="06DF44D6"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947DCD" w:rsidRPr="000D202A" w14:paraId="29CB00BA" w14:textId="77777777" w:rsidTr="00154133">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A8753B" w14:textId="77777777" w:rsidR="00947DCD" w:rsidRPr="000D202A" w:rsidRDefault="00947DCD" w:rsidP="00154133">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Hypertensive Disease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A61641" w14:textId="0AFCE640" w:rsidR="00947DCD" w:rsidRPr="000D202A" w:rsidRDefault="00947DCD" w:rsidP="00154133">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401–405.99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I10–I15.9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2BB06979" w14:textId="77777777" w:rsidR="00947DCD" w:rsidRPr="000D202A" w:rsidRDefault="00947DCD" w:rsidP="00154133">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D16772" w:rsidRPr="000D202A" w14:paraId="6DFD63EE" w14:textId="77777777" w:rsidTr="00EB0D2F">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24F227" w14:textId="77777777"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Ischemic Heart Disease</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A866E" w14:textId="2FF87C20"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410–414.9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I20-I259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0CB3EFA6" w14:textId="77777777"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D16772" w:rsidRPr="000D202A" w14:paraId="61AFB81B" w14:textId="77777777" w:rsidTr="00EB0D2F">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EF9D3E" w14:textId="77777777"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Heart Failure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70300E" w14:textId="2EC809A1"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428–428.9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I50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0DF095CE" w14:textId="77777777"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D16772" w:rsidRPr="000D202A" w14:paraId="4C20BAA0" w14:textId="77777777" w:rsidTr="00EB0D2F">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36CD75" w14:textId="77777777"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Cerebrovascular Disease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74DFB1" w14:textId="158C08DD"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430-438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I60-I69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60B64923" w14:textId="77777777" w:rsidR="00D16772" w:rsidRPr="000D202A" w:rsidRDefault="00D16772" w:rsidP="00EB0D2F">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9135AA" w:rsidRPr="000D202A" w14:paraId="7AEA7BED"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D8CEC2"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Diabetes Mellitus</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80BC9E" w14:textId="0CFFBBE5"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250- 250.92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E10–E14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5BD0F8ED"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lastRenderedPageBreak/>
              <w:t>Dummy variable: 0 Absent, 1 Present. Absent as reference.</w:t>
            </w:r>
            <w:r w:rsidRPr="000D202A">
              <w:rPr>
                <w:rFonts w:ascii="Aptos" w:eastAsia="Aptos" w:hAnsi="Aptos" w:cs="Times New Roman"/>
                <w:kern w:val="2"/>
                <w:sz w:val="24"/>
                <w:szCs w:val="24"/>
                <w14:ligatures w14:val="standardContextual"/>
              </w:rPr>
              <w:t> </w:t>
            </w:r>
          </w:p>
        </w:tc>
      </w:tr>
      <w:tr w:rsidR="00D16772" w:rsidRPr="000D202A" w14:paraId="5623C64D" w14:textId="77777777" w:rsidTr="00EC5A79">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8863BC" w14:textId="77777777" w:rsidR="00D16772" w:rsidRPr="000D202A" w:rsidRDefault="00D16772" w:rsidP="00EC5A79">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lastRenderedPageBreak/>
              <w:t>Overweight/Obesity</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66D6D8" w14:textId="4064313D" w:rsidR="00D16772" w:rsidRPr="000D202A" w:rsidRDefault="00D16772" w:rsidP="00EC5A79">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278–278.8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E65–E68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114D1B7A" w14:textId="77777777" w:rsidR="00D16772" w:rsidRPr="000D202A" w:rsidRDefault="00D16772" w:rsidP="00EC5A79">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9135AA" w:rsidRPr="000D202A" w14:paraId="20DDF8C5"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3D503C"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Chronic Renal Failure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3BFC2B" w14:textId="36B873FD"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584-586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N17–N19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4545C687"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9135AA" w:rsidRPr="000D202A" w14:paraId="4731C435"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9D5B3B"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Dementia</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C1D314" w14:textId="74BBEB23"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290–2909, 291.2, 292.82, 294.1–294.21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F00–F04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27CB8ECB"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9135AA" w:rsidRPr="000D202A" w14:paraId="091B7309"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410383"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Liver Disease/Viral Hepatitis</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0A5C2" w14:textId="5D5D0592"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570–5739, 070–0709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K70–K77.8, B15–B19.9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2D53F645"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Dummy variable: 0 Absent, 1 Present. </w:t>
            </w:r>
            <w:r w:rsidRPr="000D202A">
              <w:rPr>
                <w:rFonts w:ascii="Aptos" w:eastAsia="Aptos" w:hAnsi="Aptos" w:cs="Times New Roman"/>
                <w:kern w:val="2"/>
                <w:sz w:val="24"/>
                <w:szCs w:val="24"/>
                <w:lang w:val="da-DK"/>
                <w14:ligatures w14:val="standardContextual"/>
              </w:rPr>
              <w:t>Absent as reference.</w:t>
            </w:r>
            <w:r w:rsidRPr="000D202A">
              <w:rPr>
                <w:rFonts w:ascii="Aptos" w:eastAsia="Aptos" w:hAnsi="Aptos" w:cs="Times New Roman"/>
                <w:kern w:val="2"/>
                <w:sz w:val="24"/>
                <w:szCs w:val="24"/>
                <w14:ligatures w14:val="standardContextual"/>
              </w:rPr>
              <w:t> </w:t>
            </w:r>
          </w:p>
        </w:tc>
      </w:tr>
      <w:tr w:rsidR="00423EA8" w:rsidRPr="000D202A" w14:paraId="58768BED" w14:textId="77777777" w:rsidTr="00646040">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E62718"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b/>
                <w:bCs/>
                <w:kern w:val="2"/>
                <w:sz w:val="24"/>
                <w:szCs w:val="24"/>
                <w:lang w:val="en-US"/>
                <w14:ligatures w14:val="standardContextual"/>
              </w:rPr>
              <w:t>Procedures performed</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76891A" w14:textId="77777777" w:rsidR="00423EA8" w:rsidRPr="000D202A" w:rsidRDefault="00423EA8" w:rsidP="00646040">
            <w:pPr>
              <w:spacing w:line="278" w:lineRule="auto"/>
              <w:jc w:val="both"/>
              <w:rPr>
                <w:rFonts w:ascii="Aptos" w:eastAsia="Aptos" w:hAnsi="Aptos" w:cs="Times New Roman"/>
                <w:kern w:val="2"/>
                <w:sz w:val="24"/>
                <w:szCs w:val="24"/>
                <w:lang w:val="da-DK"/>
                <w14:ligatures w14:val="standardContextual"/>
              </w:rPr>
            </w:pPr>
            <w:r w:rsidRPr="000D202A">
              <w:rPr>
                <w:rFonts w:ascii="Aptos" w:eastAsia="Aptos" w:hAnsi="Aptos" w:cs="Times New Roman"/>
                <w:kern w:val="2"/>
                <w:sz w:val="24"/>
                <w:szCs w:val="24"/>
                <w:lang w:val="da-DK"/>
                <w14:ligatures w14:val="standardContextual"/>
              </w:rPr>
              <w:t>Defined as procedures performed on the patient during the episode by specialized personnel, including medical, nursing, or technical staff. </w:t>
            </w:r>
          </w:p>
        </w:tc>
      </w:tr>
      <w:tr w:rsidR="00423EA8" w:rsidRPr="000D202A" w14:paraId="32057CEF" w14:textId="77777777" w:rsidTr="00646040">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E2E900"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Non-invasive Ventilation</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118009" w14:textId="55559A92"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93.90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5A09357, 5A09457, 5A09557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6C69CDB5"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423EA8" w:rsidRPr="000D202A" w14:paraId="1CE26DEB" w14:textId="77777777" w:rsidTr="00646040">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96B11F"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Mechanical Ventilation</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15B301" w14:textId="3A2744B1"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96.7–96.72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5A1935Z, 5A1945Z, 5A1955Z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5A80DE71"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423EA8" w:rsidRPr="000D202A" w14:paraId="2823A30B" w14:textId="77777777" w:rsidTr="00646040">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9F942F"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Hemodialysis</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049150" w14:textId="3191A74C"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Defined as the presence of codes 3995 (</w:t>
            </w:r>
            <w:r w:rsidR="009E3EBD" w:rsidRPr="000D202A">
              <w:rPr>
                <w:rFonts w:ascii="Aptos" w:eastAsia="Aptos" w:hAnsi="Aptos" w:cs="Times New Roman"/>
                <w:kern w:val="2"/>
                <w:sz w:val="24"/>
                <w:szCs w:val="24"/>
                <w:lang w:val="en-US"/>
                <w14:ligatures w14:val="standardContextual"/>
              </w:rPr>
              <w:t>ICD-9-CM</w:t>
            </w:r>
            <w:r w:rsidRPr="000D202A">
              <w:rPr>
                <w:rFonts w:ascii="Aptos" w:eastAsia="Aptos" w:hAnsi="Aptos" w:cs="Times New Roman"/>
                <w:kern w:val="2"/>
                <w:sz w:val="24"/>
                <w:szCs w:val="24"/>
                <w:lang w:val="en-US"/>
                <w14:ligatures w14:val="standardContextual"/>
              </w:rPr>
              <w:t>) or 5A1D00Z–5A1D90Z (</w:t>
            </w:r>
            <w:r w:rsidR="009E3EBD" w:rsidRPr="000D202A">
              <w:rPr>
                <w:rFonts w:ascii="Aptos" w:eastAsia="Aptos" w:hAnsi="Aptos" w:cs="Times New Roman"/>
                <w:kern w:val="2"/>
                <w:sz w:val="24"/>
                <w:szCs w:val="24"/>
                <w:lang w:val="en-US"/>
                <w14:ligatures w14:val="standardContextual"/>
              </w:rPr>
              <w:t>ICD-10-CM/PCS</w:t>
            </w:r>
            <w:r w:rsidRPr="000D202A">
              <w:rPr>
                <w:rFonts w:ascii="Aptos" w:eastAsia="Aptos" w:hAnsi="Aptos" w:cs="Times New Roman"/>
                <w:kern w:val="2"/>
                <w:sz w:val="24"/>
                <w:szCs w:val="24"/>
                <w:lang w:val="en-US"/>
                <w14:ligatures w14:val="standardContextual"/>
              </w:rPr>
              <w:t>) in the National Hospital Discharge Database.</w:t>
            </w:r>
            <w:r w:rsidRPr="000D202A">
              <w:rPr>
                <w:rFonts w:ascii="Aptos" w:eastAsia="Aptos" w:hAnsi="Aptos" w:cs="Times New Roman"/>
                <w:kern w:val="2"/>
                <w:sz w:val="24"/>
                <w:szCs w:val="24"/>
                <w14:ligatures w14:val="standardContextual"/>
              </w:rPr>
              <w:t> </w:t>
            </w:r>
          </w:p>
          <w:p w14:paraId="3847736B" w14:textId="77777777" w:rsidR="00423EA8" w:rsidRPr="000D202A" w:rsidRDefault="00423EA8" w:rsidP="00646040">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da-DK"/>
                <w14:ligatures w14:val="standardContextual"/>
              </w:rPr>
              <w:t>Dummy variable: 0 Absent, 1 Present. Absent as reference.</w:t>
            </w:r>
            <w:r w:rsidRPr="000D202A">
              <w:rPr>
                <w:rFonts w:ascii="Aptos" w:eastAsia="Aptos" w:hAnsi="Aptos" w:cs="Times New Roman"/>
                <w:kern w:val="2"/>
                <w:sz w:val="24"/>
                <w:szCs w:val="24"/>
                <w14:ligatures w14:val="standardContextual"/>
              </w:rPr>
              <w:t> </w:t>
            </w:r>
          </w:p>
        </w:tc>
      </w:tr>
      <w:tr w:rsidR="009135AA" w:rsidRPr="000D202A" w14:paraId="2A260E6A"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2ED27B"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b/>
                <w:bCs/>
                <w:kern w:val="2"/>
                <w:sz w:val="24"/>
                <w:szCs w:val="24"/>
                <w:lang w:val="en-US"/>
                <w14:ligatures w14:val="standardContextual"/>
              </w:rPr>
              <w:t>Environmental Factors</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4D93A6" w14:textId="77777777" w:rsidR="009135AA" w:rsidRPr="000D202A" w:rsidRDefault="009135AA" w:rsidP="009135AA">
            <w:pPr>
              <w:spacing w:line="278" w:lineRule="auto"/>
              <w:jc w:val="both"/>
              <w:rPr>
                <w:rFonts w:ascii="Aptos" w:eastAsia="Aptos" w:hAnsi="Aptos" w:cs="Times New Roman"/>
                <w:kern w:val="2"/>
                <w:sz w:val="24"/>
                <w:szCs w:val="24"/>
                <w:lang w:val="da-DK"/>
                <w14:ligatures w14:val="standardContextual"/>
              </w:rPr>
            </w:pPr>
            <w:r w:rsidRPr="000D202A">
              <w:rPr>
                <w:rFonts w:ascii="Aptos" w:eastAsia="Aptos" w:hAnsi="Aptos" w:cs="Times New Roman"/>
                <w:kern w:val="2"/>
                <w:sz w:val="24"/>
                <w:szCs w:val="24"/>
                <w:lang w:val="da-DK"/>
                <w14:ligatures w14:val="standardContextual"/>
              </w:rPr>
              <w:t>Extrinsic factors that can affect the health of individuals and populations. </w:t>
            </w:r>
          </w:p>
        </w:tc>
      </w:tr>
      <w:tr w:rsidR="00F2101C" w:rsidRPr="000D202A" w14:paraId="0B6834E9" w14:textId="77777777" w:rsidTr="00D95D81">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BA1A4E" w14:textId="77777777" w:rsidR="00F2101C" w:rsidRPr="000D202A" w:rsidRDefault="00F2101C" w:rsidP="00D95D81">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lastRenderedPageBreak/>
              <w:t>Triennium</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90004D" w14:textId="77777777" w:rsidR="00F2101C" w:rsidRPr="000D202A" w:rsidRDefault="00F2101C" w:rsidP="00D95D81">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Triennium was determined by categorizing hospital admissions according to the date of admission into three-year periods for the data from 2010 to 2018 in the National Hospital Discharge Database. The categories created were 2010-2012, 2013-2015, and 2016-2018, with 2010-2012 as the reference.”</w:t>
            </w:r>
            <w:r w:rsidRPr="000D202A">
              <w:rPr>
                <w:rFonts w:ascii="Aptos" w:eastAsia="Aptos" w:hAnsi="Aptos" w:cs="Times New Roman"/>
                <w:kern w:val="2"/>
                <w:sz w:val="24"/>
                <w:szCs w:val="24"/>
                <w14:ligatures w14:val="standardContextual"/>
              </w:rPr>
              <w:t> </w:t>
            </w:r>
          </w:p>
        </w:tc>
      </w:tr>
      <w:tr w:rsidR="00F2101C" w:rsidRPr="000D202A" w14:paraId="11058FBC" w14:textId="77777777" w:rsidTr="00D95D81">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C28531" w14:textId="77777777" w:rsidR="00F2101C" w:rsidRPr="000D202A" w:rsidRDefault="00F2101C" w:rsidP="00D95D81">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Seasonality</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7C8BA2" w14:textId="77777777" w:rsidR="00F2101C" w:rsidRPr="000D202A" w:rsidRDefault="00F2101C" w:rsidP="00D95D81">
            <w:pPr>
              <w:spacing w:line="278" w:lineRule="auto"/>
              <w:jc w:val="both"/>
              <w:rPr>
                <w:rFonts w:ascii="Aptos" w:eastAsia="Aptos" w:hAnsi="Aptos" w:cs="Times New Roman"/>
                <w:kern w:val="2"/>
                <w:sz w:val="24"/>
                <w:szCs w:val="24"/>
                <w:lang w:val="da-DK"/>
                <w14:ligatures w14:val="standardContextual"/>
              </w:rPr>
            </w:pPr>
            <w:r w:rsidRPr="000D202A">
              <w:rPr>
                <w:rFonts w:ascii="Aptos" w:eastAsia="Aptos" w:hAnsi="Aptos" w:cs="Times New Roman"/>
                <w:kern w:val="2"/>
                <w:sz w:val="24"/>
                <w:szCs w:val="24"/>
                <w:lang w:val="da-DK"/>
                <w14:ligatures w14:val="standardContextual"/>
              </w:rPr>
              <w:t>Seasonality was determined by categorizing hospital admissions according to the date of admission into four seasonal periods: January–March, April–June, July–September, and October–December in the National Hospital Discharge Database, with April–June as the reference. </w:t>
            </w:r>
          </w:p>
        </w:tc>
      </w:tr>
      <w:tr w:rsidR="009135AA" w:rsidRPr="000D202A" w14:paraId="3D849492"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694328"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Early School Leaving Rate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424B65" w14:textId="77777777" w:rsidR="009135AA" w:rsidRPr="000D202A" w:rsidRDefault="009135AA" w:rsidP="009135AA">
            <w:pPr>
              <w:spacing w:line="278" w:lineRule="auto"/>
              <w:jc w:val="both"/>
              <w:rPr>
                <w:rFonts w:ascii="Aptos" w:eastAsia="Aptos" w:hAnsi="Aptos" w:cs="Times New Roman"/>
                <w:kern w:val="2"/>
                <w:sz w:val="24"/>
                <w:szCs w:val="24"/>
                <w:lang w:val="en-US"/>
                <w14:ligatures w14:val="standardContextual"/>
              </w:rPr>
            </w:pPr>
            <w:r w:rsidRPr="000D202A">
              <w:rPr>
                <w:rFonts w:ascii="Aptos" w:eastAsia="Aptos" w:hAnsi="Aptos" w:cs="Times New Roman"/>
                <w:kern w:val="2"/>
                <w:sz w:val="24"/>
                <w:szCs w:val="24"/>
                <w:lang w:val="en-US"/>
                <w14:ligatures w14:val="standardContextual"/>
              </w:rPr>
              <w:t>The early school leaving rate from the 2011 Portuguese census (Statistics Portugal) at the parish level, matched to each patient's parish of residence from the National Hospital Discharge Database, was used as a proxy for community socioeconomic level. The early school leaving rate reflects the percentage of 18–24-year-olds who left school without completing secondary education and are not in training or education. </w:t>
            </w:r>
          </w:p>
          <w:p w14:paraId="275330D1"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proofErr w:type="spellStart"/>
            <w:r w:rsidRPr="000D202A">
              <w:rPr>
                <w:rFonts w:ascii="Aptos" w:eastAsia="Aptos" w:hAnsi="Aptos" w:cs="Times New Roman"/>
                <w:kern w:val="2"/>
                <w:sz w:val="24"/>
                <w:szCs w:val="24"/>
                <w14:ligatures w14:val="standardContextual"/>
              </w:rPr>
              <w:t>Continuous</w:t>
            </w:r>
            <w:proofErr w:type="spellEnd"/>
            <w:r w:rsidRPr="000D202A">
              <w:rPr>
                <w:rFonts w:ascii="Aptos" w:eastAsia="Aptos" w:hAnsi="Aptos" w:cs="Times New Roman"/>
                <w:kern w:val="2"/>
                <w:sz w:val="24"/>
                <w:szCs w:val="24"/>
                <w14:ligatures w14:val="standardContextual"/>
              </w:rPr>
              <w:t xml:space="preserve"> </w:t>
            </w:r>
            <w:proofErr w:type="spellStart"/>
            <w:r w:rsidRPr="000D202A">
              <w:rPr>
                <w:rFonts w:ascii="Aptos" w:eastAsia="Aptos" w:hAnsi="Aptos" w:cs="Times New Roman"/>
                <w:kern w:val="2"/>
                <w:sz w:val="24"/>
                <w:szCs w:val="24"/>
                <w14:ligatures w14:val="standardContextual"/>
              </w:rPr>
              <w:t>variable</w:t>
            </w:r>
            <w:proofErr w:type="spellEnd"/>
            <w:r w:rsidRPr="000D202A">
              <w:rPr>
                <w:rFonts w:ascii="Aptos" w:eastAsia="Aptos" w:hAnsi="Aptos" w:cs="Times New Roman"/>
                <w:kern w:val="2"/>
                <w:sz w:val="24"/>
                <w:szCs w:val="24"/>
                <w14:ligatures w14:val="standardContextual"/>
              </w:rPr>
              <w:t>. </w:t>
            </w:r>
          </w:p>
        </w:tc>
      </w:tr>
      <w:tr w:rsidR="009135AA" w:rsidRPr="000D202A" w14:paraId="30630284"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448C4B"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Unemployment Rate</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C6D843"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The unemployment rate from the 2011 Portuguese census (Statistics Portugal) at the parish level, matched to each patient's parish of residence from the National Hospital Discharge Database, was used as a proxy for community socioeconomic level.</w:t>
            </w:r>
            <w:r w:rsidRPr="000D202A">
              <w:rPr>
                <w:rFonts w:ascii="Aptos" w:eastAsia="Aptos" w:hAnsi="Aptos" w:cs="Times New Roman"/>
                <w:kern w:val="2"/>
                <w:sz w:val="24"/>
                <w:szCs w:val="24"/>
                <w14:ligatures w14:val="standardContextual"/>
              </w:rPr>
              <w:t> </w:t>
            </w:r>
          </w:p>
          <w:p w14:paraId="796352F6"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The unemployment rate measures the unemployed population per 100 active individuals.</w:t>
            </w:r>
            <w:r w:rsidRPr="000D202A">
              <w:rPr>
                <w:rFonts w:ascii="Aptos" w:eastAsia="Aptos" w:hAnsi="Aptos" w:cs="Times New Roman"/>
                <w:kern w:val="2"/>
                <w:sz w:val="24"/>
                <w:szCs w:val="24"/>
                <w14:ligatures w14:val="standardContextual"/>
              </w:rPr>
              <w:t> </w:t>
            </w:r>
          </w:p>
          <w:p w14:paraId="7272924A"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proofErr w:type="spellStart"/>
            <w:r w:rsidRPr="000D202A">
              <w:rPr>
                <w:rFonts w:ascii="Aptos" w:eastAsia="Aptos" w:hAnsi="Aptos" w:cs="Times New Roman"/>
                <w:kern w:val="2"/>
                <w:sz w:val="24"/>
                <w:szCs w:val="24"/>
                <w14:ligatures w14:val="standardContextual"/>
              </w:rPr>
              <w:t>Continuous</w:t>
            </w:r>
            <w:proofErr w:type="spellEnd"/>
            <w:r w:rsidRPr="000D202A">
              <w:rPr>
                <w:rFonts w:ascii="Aptos" w:eastAsia="Aptos" w:hAnsi="Aptos" w:cs="Times New Roman"/>
                <w:kern w:val="2"/>
                <w:sz w:val="24"/>
                <w:szCs w:val="24"/>
                <w14:ligatures w14:val="standardContextual"/>
              </w:rPr>
              <w:t xml:space="preserve"> </w:t>
            </w:r>
            <w:proofErr w:type="spellStart"/>
            <w:r w:rsidRPr="000D202A">
              <w:rPr>
                <w:rFonts w:ascii="Aptos" w:eastAsia="Aptos" w:hAnsi="Aptos" w:cs="Times New Roman"/>
                <w:kern w:val="2"/>
                <w:sz w:val="24"/>
                <w:szCs w:val="24"/>
                <w14:ligatures w14:val="standardContextual"/>
              </w:rPr>
              <w:t>variable</w:t>
            </w:r>
            <w:proofErr w:type="spellEnd"/>
            <w:r w:rsidRPr="000D202A">
              <w:rPr>
                <w:rFonts w:ascii="Aptos" w:eastAsia="Aptos" w:hAnsi="Aptos" w:cs="Times New Roman"/>
                <w:kern w:val="2"/>
                <w:sz w:val="24"/>
                <w:szCs w:val="24"/>
                <w14:ligatures w14:val="standardContextual"/>
              </w:rPr>
              <w:t>. </w:t>
            </w:r>
          </w:p>
        </w:tc>
      </w:tr>
      <w:tr w:rsidR="009135AA" w:rsidRPr="000D202A" w14:paraId="3EAB9040"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60D5BD" w14:textId="4355D301"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Hospital </w:t>
            </w:r>
            <w:r w:rsidR="006A5A57" w:rsidRPr="000D202A">
              <w:rPr>
                <w:rFonts w:ascii="Aptos" w:eastAsia="Aptos" w:hAnsi="Aptos" w:cs="Times New Roman"/>
                <w:kern w:val="2"/>
                <w:sz w:val="24"/>
                <w:szCs w:val="24"/>
                <w:lang w:val="en-US"/>
                <w14:ligatures w14:val="standardContextual"/>
              </w:rPr>
              <w:t>S</w:t>
            </w:r>
            <w:r w:rsidR="00E57BB0" w:rsidRPr="000D202A">
              <w:rPr>
                <w:rFonts w:ascii="Aptos" w:eastAsia="Aptos" w:hAnsi="Aptos" w:cs="Times New Roman"/>
                <w:kern w:val="2"/>
                <w:sz w:val="24"/>
                <w:szCs w:val="24"/>
                <w:lang w:val="en-US"/>
                <w14:ligatures w14:val="standardContextual"/>
              </w:rPr>
              <w:t>ervi</w:t>
            </w:r>
            <w:r w:rsidR="006A5A57" w:rsidRPr="000D202A">
              <w:rPr>
                <w:rFonts w:ascii="Aptos" w:eastAsia="Aptos" w:hAnsi="Aptos" w:cs="Times New Roman"/>
                <w:kern w:val="2"/>
                <w:sz w:val="24"/>
                <w:szCs w:val="24"/>
                <w:lang w:val="en-US"/>
                <w14:ligatures w14:val="standardContextual"/>
              </w:rPr>
              <w:t>c</w:t>
            </w:r>
            <w:r w:rsidR="00E57BB0" w:rsidRPr="000D202A">
              <w:rPr>
                <w:rFonts w:ascii="Aptos" w:eastAsia="Aptos" w:hAnsi="Aptos" w:cs="Times New Roman"/>
                <w:kern w:val="2"/>
                <w:sz w:val="24"/>
                <w:szCs w:val="24"/>
                <w:lang w:val="en-US"/>
                <w14:ligatures w14:val="standardContextual"/>
              </w:rPr>
              <w:t>e</w:t>
            </w:r>
            <w:r w:rsidR="006A5A57" w:rsidRPr="000D202A">
              <w:rPr>
                <w:rFonts w:ascii="Aptos" w:eastAsia="Aptos" w:hAnsi="Aptos" w:cs="Times New Roman"/>
                <w:kern w:val="2"/>
                <w:sz w:val="24"/>
                <w:szCs w:val="24"/>
                <w:lang w:val="en-US"/>
                <w14:ligatures w14:val="standardContextual"/>
              </w:rPr>
              <w:t xml:space="preserve"> </w:t>
            </w:r>
            <w:r w:rsidRPr="000D202A">
              <w:rPr>
                <w:rFonts w:ascii="Aptos" w:eastAsia="Aptos" w:hAnsi="Aptos" w:cs="Times New Roman"/>
                <w:kern w:val="2"/>
                <w:sz w:val="24"/>
                <w:szCs w:val="24"/>
                <w:lang w:val="en-US"/>
                <w14:ligatures w14:val="standardContextual"/>
              </w:rPr>
              <w:t>Differentiation</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F492AC" w14:textId="1CD0233A"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 xml:space="preserve">Hospital </w:t>
            </w:r>
            <w:r w:rsidR="006A5A57" w:rsidRPr="000D202A">
              <w:rPr>
                <w:rFonts w:ascii="Aptos" w:eastAsia="Aptos" w:hAnsi="Aptos" w:cs="Times New Roman"/>
                <w:kern w:val="2"/>
                <w:sz w:val="24"/>
                <w:szCs w:val="24"/>
                <w:lang w:val="en-US"/>
                <w14:ligatures w14:val="standardContextual"/>
              </w:rPr>
              <w:t xml:space="preserve">service </w:t>
            </w:r>
            <w:r w:rsidRPr="000D202A">
              <w:rPr>
                <w:rFonts w:ascii="Aptos" w:eastAsia="Aptos" w:hAnsi="Aptos" w:cs="Times New Roman"/>
                <w:kern w:val="2"/>
                <w:sz w:val="24"/>
                <w:szCs w:val="24"/>
                <w:lang w:val="en-US"/>
                <w14:ligatures w14:val="standardContextual"/>
              </w:rPr>
              <w:t>differentiation categorizes healthcare facilities into three levels — Level I, Level II, and Level III — reflecting an increasing order of care complexity and patient capacity and ensuring the efficient and accessible delivery of care, tailored to clinical complexity and the needs of the population. </w:t>
            </w:r>
            <w:r w:rsidRPr="000D202A">
              <w:rPr>
                <w:rFonts w:ascii="Aptos" w:eastAsia="Aptos" w:hAnsi="Aptos" w:cs="Times New Roman"/>
                <w:kern w:val="2"/>
                <w:sz w:val="24"/>
                <w:szCs w:val="24"/>
                <w14:ligatures w14:val="standardContextual"/>
              </w:rPr>
              <w:t> </w:t>
            </w:r>
          </w:p>
        </w:tc>
      </w:tr>
      <w:tr w:rsidR="009135AA" w:rsidRPr="009135AA" w14:paraId="774460A8" w14:textId="77777777" w:rsidTr="00235F15">
        <w:trPr>
          <w:trHeight w:val="300"/>
        </w:trPr>
        <w:tc>
          <w:tcPr>
            <w:tcW w:w="236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C9B0D4" w14:textId="77777777" w:rsidR="009135AA" w:rsidRPr="000D202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Post-discharge destination - Death</w:t>
            </w:r>
            <w:r w:rsidRPr="000D202A">
              <w:rPr>
                <w:rFonts w:ascii="Aptos" w:eastAsia="Aptos" w:hAnsi="Aptos" w:cs="Times New Roman"/>
                <w:kern w:val="2"/>
                <w:sz w:val="24"/>
                <w:szCs w:val="24"/>
                <w14:ligatures w14:val="standardContextual"/>
              </w:rPr>
              <w:t> </w:t>
            </w:r>
          </w:p>
        </w:tc>
        <w:tc>
          <w:tcPr>
            <w:tcW w:w="69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919D18" w14:textId="77777777" w:rsidR="009135AA" w:rsidRPr="009135AA" w:rsidRDefault="009135AA" w:rsidP="009135AA">
            <w:pPr>
              <w:spacing w:line="278" w:lineRule="auto"/>
              <w:jc w:val="both"/>
              <w:rPr>
                <w:rFonts w:ascii="Aptos" w:eastAsia="Aptos" w:hAnsi="Aptos" w:cs="Times New Roman"/>
                <w:kern w:val="2"/>
                <w:sz w:val="24"/>
                <w:szCs w:val="24"/>
                <w14:ligatures w14:val="standardContextual"/>
              </w:rPr>
            </w:pPr>
            <w:r w:rsidRPr="000D202A">
              <w:rPr>
                <w:rFonts w:ascii="Aptos" w:eastAsia="Aptos" w:hAnsi="Aptos" w:cs="Times New Roman"/>
                <w:kern w:val="2"/>
                <w:sz w:val="24"/>
                <w:szCs w:val="24"/>
                <w:lang w:val="en-US"/>
                <w14:ligatures w14:val="standardContextual"/>
              </w:rPr>
              <w:t>Post-discharge destination - Death was defined based on the patient’s discharge destination code (hospital discharge vs. deceased) present in the National Hospital Discharge Database. Two categories were created: hospital discharge and death.</w:t>
            </w:r>
            <w:r w:rsidRPr="009135AA">
              <w:rPr>
                <w:rFonts w:ascii="Aptos" w:eastAsia="Aptos" w:hAnsi="Aptos" w:cs="Times New Roman"/>
                <w:kern w:val="2"/>
                <w:sz w:val="24"/>
                <w:szCs w:val="24"/>
                <w14:ligatures w14:val="standardContextual"/>
              </w:rPr>
              <w:t> </w:t>
            </w:r>
          </w:p>
        </w:tc>
      </w:tr>
    </w:tbl>
    <w:p w14:paraId="153CFD0D" w14:textId="77777777" w:rsidR="009135AA" w:rsidRPr="009135AA" w:rsidRDefault="009135AA" w:rsidP="009135AA">
      <w:pPr>
        <w:spacing w:line="278" w:lineRule="auto"/>
        <w:jc w:val="both"/>
        <w:rPr>
          <w:rFonts w:ascii="Aptos" w:eastAsia="Aptos" w:hAnsi="Aptos" w:cs="Times New Roman"/>
          <w:kern w:val="2"/>
          <w:sz w:val="24"/>
          <w:szCs w:val="24"/>
          <w14:ligatures w14:val="standardContextual"/>
        </w:rPr>
      </w:pPr>
      <w:r w:rsidRPr="009135AA">
        <w:rPr>
          <w:rFonts w:ascii="Aptos" w:eastAsia="Aptos" w:hAnsi="Aptos" w:cs="Times New Roman"/>
          <w:kern w:val="2"/>
          <w:sz w:val="24"/>
          <w:szCs w:val="24"/>
          <w14:ligatures w14:val="standardContextual"/>
        </w:rPr>
        <w:t> </w:t>
      </w:r>
    </w:p>
    <w:p w14:paraId="5821D651" w14:textId="77777777" w:rsidR="002F53AE" w:rsidRDefault="002F53AE"/>
    <w:sectPr w:rsidR="002F53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A6"/>
    <w:rsid w:val="00027F75"/>
    <w:rsid w:val="000D202A"/>
    <w:rsid w:val="002010CF"/>
    <w:rsid w:val="00235F15"/>
    <w:rsid w:val="002701A6"/>
    <w:rsid w:val="002F369B"/>
    <w:rsid w:val="002F53AE"/>
    <w:rsid w:val="00423EA8"/>
    <w:rsid w:val="004636C3"/>
    <w:rsid w:val="006A5A57"/>
    <w:rsid w:val="0072424E"/>
    <w:rsid w:val="007E75CB"/>
    <w:rsid w:val="009135AA"/>
    <w:rsid w:val="00947DCD"/>
    <w:rsid w:val="009E3EBD"/>
    <w:rsid w:val="00A06C77"/>
    <w:rsid w:val="00A1344C"/>
    <w:rsid w:val="00A82F7F"/>
    <w:rsid w:val="00A93BEE"/>
    <w:rsid w:val="00BA7960"/>
    <w:rsid w:val="00D16772"/>
    <w:rsid w:val="00D52459"/>
    <w:rsid w:val="00E57BB0"/>
    <w:rsid w:val="00EC6CFF"/>
    <w:rsid w:val="00F2101C"/>
    <w:rsid w:val="00F4667E"/>
    <w:rsid w:val="00FE3B8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3BC6"/>
  <w15:chartTrackingRefBased/>
  <w15:docId w15:val="{A11CEFD9-4EBA-4DDC-B6CE-FA6F9782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270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270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2701A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2701A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2701A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2701A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2701A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2701A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2701A6"/>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701A6"/>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2701A6"/>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2701A6"/>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2701A6"/>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2701A6"/>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2701A6"/>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2701A6"/>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2701A6"/>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2701A6"/>
    <w:rPr>
      <w:rFonts w:eastAsiaTheme="majorEastAsia" w:cstheme="majorBidi"/>
      <w:color w:val="272727" w:themeColor="text1" w:themeTint="D8"/>
    </w:rPr>
  </w:style>
  <w:style w:type="paragraph" w:styleId="Ttulo">
    <w:name w:val="Title"/>
    <w:basedOn w:val="Normal"/>
    <w:next w:val="Normal"/>
    <w:link w:val="TtuloCarter"/>
    <w:uiPriority w:val="10"/>
    <w:qFormat/>
    <w:rsid w:val="00270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2701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2701A6"/>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2701A6"/>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2701A6"/>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2701A6"/>
    <w:rPr>
      <w:i/>
      <w:iCs/>
      <w:color w:val="404040" w:themeColor="text1" w:themeTint="BF"/>
    </w:rPr>
  </w:style>
  <w:style w:type="paragraph" w:styleId="PargrafodaLista">
    <w:name w:val="List Paragraph"/>
    <w:basedOn w:val="Normal"/>
    <w:uiPriority w:val="34"/>
    <w:qFormat/>
    <w:rsid w:val="002701A6"/>
    <w:pPr>
      <w:ind w:left="720"/>
      <w:contextualSpacing/>
    </w:pPr>
  </w:style>
  <w:style w:type="character" w:styleId="nfaseIntensa">
    <w:name w:val="Intense Emphasis"/>
    <w:basedOn w:val="Tipodeletrapredefinidodopargrafo"/>
    <w:uiPriority w:val="21"/>
    <w:qFormat/>
    <w:rsid w:val="002701A6"/>
    <w:rPr>
      <w:i/>
      <w:iCs/>
      <w:color w:val="2F5496" w:themeColor="accent1" w:themeShade="BF"/>
    </w:rPr>
  </w:style>
  <w:style w:type="paragraph" w:styleId="CitaoIntensa">
    <w:name w:val="Intense Quote"/>
    <w:basedOn w:val="Normal"/>
    <w:next w:val="Normal"/>
    <w:link w:val="CitaoIntensaCarter"/>
    <w:uiPriority w:val="30"/>
    <w:qFormat/>
    <w:rsid w:val="00270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2701A6"/>
    <w:rPr>
      <w:i/>
      <w:iCs/>
      <w:color w:val="2F5496" w:themeColor="accent1" w:themeShade="BF"/>
    </w:rPr>
  </w:style>
  <w:style w:type="character" w:styleId="RefernciaIntensa">
    <w:name w:val="Intense Reference"/>
    <w:basedOn w:val="Tipodeletrapredefinidodopargrafo"/>
    <w:uiPriority w:val="32"/>
    <w:qFormat/>
    <w:rsid w:val="002701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1211</Words>
  <Characters>6542</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Ezequiel Antonio Marques Pessoa</dc:creator>
  <cp:keywords/>
  <dc:description/>
  <cp:lastModifiedBy>Ezequiel Antonio Marques Pessoa</cp:lastModifiedBy>
  <cp:revision>21</cp:revision>
  <dcterms:created xsi:type="dcterms:W3CDTF">2024-12-15T17:56:00Z</dcterms:created>
  <dcterms:modified xsi:type="dcterms:W3CDTF">2025-03-21T16:57:00Z</dcterms:modified>
</cp:coreProperties>
</file>