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media/image15.svg" ContentType="image/svg+xml"/>
  <Override PartName="/word/media/image2.svg" ContentType="image/svg+xml"/>
  <Override PartName="/word/media/image26.svg" ContentType="image/svg+xml"/>
  <Override PartName="/word/media/image4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CA876"/>
    <w:p w14:paraId="71F6E68C">
      <w:r>
        <w:drawing>
          <wp:inline distT="0" distB="0" distL="0" distR="0">
            <wp:extent cx="5395595" cy="3562350"/>
            <wp:effectExtent l="0" t="0" r="1905" b="6350"/>
            <wp:docPr id="783656792" name="图形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656792" name="图形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559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E0B44">
      <w:pPr>
        <w:rPr>
          <w:rFonts w:hint="eastAsia"/>
        </w:rPr>
      </w:pPr>
      <w:r>
        <w:rPr>
          <w:rFonts w:hint="eastAsia"/>
          <w:b/>
          <w:bCs/>
        </w:rPr>
        <w:t>Fig S1.</w:t>
      </w:r>
      <w:r>
        <w:rPr>
          <w:rFonts w:hint="eastAsia"/>
        </w:rPr>
        <w:t xml:space="preserve"> Forest plot for subgroup analysis of CVAESI</w:t>
      </w:r>
    </w:p>
    <w:p w14:paraId="2DD5EF6B">
      <w:r>
        <w:drawing>
          <wp:inline distT="0" distB="0" distL="0" distR="0">
            <wp:extent cx="5343525" cy="3710305"/>
            <wp:effectExtent l="0" t="0" r="3175" b="10795"/>
            <wp:docPr id="1574178769" name="图形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178769" name="图形 5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71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6B4E5">
      <w:r>
        <w:rPr>
          <w:rFonts w:hint="eastAsia"/>
          <w:b/>
          <w:bCs/>
        </w:rPr>
        <w:t>Fig S2.</w:t>
      </w:r>
      <w:r>
        <w:rPr>
          <w:rFonts w:hint="eastAsia"/>
        </w:rPr>
        <w:t xml:space="preserve"> Forest plot for subgroup analysis of serious CVAESI.</w:t>
      </w:r>
    </w:p>
    <w:p w14:paraId="6DAD4658">
      <w:pPr>
        <w:rPr>
          <w:rFonts w:hint="eastAsia"/>
        </w:rPr>
      </w:pPr>
    </w:p>
    <w:p w14:paraId="166D54E5">
      <w:pPr>
        <w:rPr>
          <w:rFonts w:hint="eastAsia"/>
          <w:b/>
          <w:bCs/>
        </w:rPr>
      </w:pPr>
      <w:r>
        <w:rPr>
          <w:rFonts w:hint="eastAsia"/>
          <w:b/>
          <w:bCs/>
        </w:rPr>
        <w:t>(A)</w:t>
      </w:r>
    </w:p>
    <w:p w14:paraId="58C5CCAD">
      <w:r>
        <w:drawing>
          <wp:inline distT="0" distB="0" distL="0" distR="0">
            <wp:extent cx="4330700" cy="2869565"/>
            <wp:effectExtent l="0" t="0" r="0" b="698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9065" cy="2895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E30CA">
      <w:pPr>
        <w:rPr>
          <w:b/>
          <w:bCs/>
        </w:rPr>
      </w:pPr>
      <w:r>
        <w:rPr>
          <w:rFonts w:hint="eastAsia"/>
          <w:b/>
          <w:bCs/>
        </w:rPr>
        <w:t>(B)</w:t>
      </w:r>
    </w:p>
    <w:p w14:paraId="357BAFA6">
      <w:r>
        <w:drawing>
          <wp:inline distT="0" distB="0" distL="0" distR="0">
            <wp:extent cx="4356100" cy="3405505"/>
            <wp:effectExtent l="0" t="0" r="6350" b="444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75603" cy="3421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902D0">
      <w:pPr>
        <w:rPr>
          <w:rFonts w:hint="eastAsia"/>
        </w:rPr>
      </w:pPr>
      <w:r>
        <w:rPr>
          <w:rFonts w:hint="eastAsia"/>
          <w:b/>
          <w:bCs/>
        </w:rPr>
        <w:t xml:space="preserve">Fig S3. </w:t>
      </w:r>
      <w:r>
        <w:rPr>
          <w:rFonts w:hint="eastAsia"/>
        </w:rPr>
        <w:t>Sensitivity analysis for all-cause mortality. (A) Single inhaler triple therapy VS ICS/LABA, (B) Single inhaler triple therapy VS LAMA/LABA.</w:t>
      </w:r>
    </w:p>
    <w:p w14:paraId="5C2FFC6C"/>
    <w:p w14:paraId="68542589"/>
    <w:p w14:paraId="128D53FF"/>
    <w:p w14:paraId="6246B7A6">
      <w:pPr>
        <w:rPr>
          <w:rFonts w:hint="eastAsia"/>
          <w:b/>
          <w:bCs/>
        </w:rPr>
      </w:pPr>
      <w:r>
        <w:rPr>
          <w:rFonts w:hint="eastAsia"/>
          <w:b/>
          <w:bCs/>
        </w:rPr>
        <w:t>(A)</w:t>
      </w:r>
    </w:p>
    <w:p w14:paraId="12686F7C">
      <w:pPr>
        <w:rPr>
          <w:rFonts w:hint="eastAsia"/>
        </w:rPr>
      </w:pPr>
      <w:r>
        <w:drawing>
          <wp:inline distT="0" distB="0" distL="0" distR="0">
            <wp:extent cx="4386580" cy="3094990"/>
            <wp:effectExtent l="0" t="0" r="7620" b="381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86580" cy="3098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D309F">
      <w:pPr>
        <w:rPr>
          <w:rFonts w:hint="eastAsia"/>
          <w:b/>
          <w:bCs/>
        </w:rPr>
      </w:pPr>
      <w:r>
        <w:rPr>
          <w:rFonts w:hint="eastAsia"/>
          <w:b/>
          <w:bCs/>
        </w:rPr>
        <w:t>(B)</w:t>
      </w:r>
    </w:p>
    <w:p w14:paraId="702FF40D">
      <w:pPr>
        <w:rPr>
          <w:rFonts w:hint="eastAsia"/>
        </w:rPr>
      </w:pPr>
      <w:r>
        <w:drawing>
          <wp:inline distT="0" distB="0" distL="0" distR="0">
            <wp:extent cx="4368800" cy="3096260"/>
            <wp:effectExtent l="0" t="0" r="0" b="254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68800" cy="310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9883C">
      <w:pPr>
        <w:rPr>
          <w:rFonts w:hint="eastAsia"/>
        </w:rPr>
      </w:pPr>
      <w:r>
        <w:rPr>
          <w:rFonts w:hint="eastAsia"/>
          <w:b/>
          <w:bCs/>
        </w:rPr>
        <w:t xml:space="preserve">Fig S4. </w:t>
      </w:r>
      <w:r>
        <w:rPr>
          <w:rFonts w:hint="eastAsia"/>
        </w:rPr>
        <w:t>Sensitivity analysis for exacerbations. (A) Single inhaler triple therapy VS ICS/LABA, (B) Single inhaler triple therapy VS LAMA/LABA.</w:t>
      </w:r>
    </w:p>
    <w:p w14:paraId="5975D261"/>
    <w:p w14:paraId="127CC9A9"/>
    <w:p w14:paraId="558C36F1">
      <w:pPr>
        <w:rPr>
          <w:rFonts w:hint="eastAsia"/>
        </w:rPr>
      </w:pPr>
    </w:p>
    <w:p w14:paraId="5289BB3A">
      <w:pPr>
        <w:rPr>
          <w:rFonts w:hint="eastAsia"/>
          <w:b/>
          <w:bCs/>
        </w:rPr>
      </w:pPr>
      <w:r>
        <w:rPr>
          <w:rFonts w:hint="eastAsia"/>
          <w:b/>
          <w:bCs/>
        </w:rPr>
        <w:t>(A)</w:t>
      </w:r>
    </w:p>
    <w:p w14:paraId="20C9A052">
      <w:pPr>
        <w:rPr>
          <w:rFonts w:hint="eastAsia"/>
        </w:rPr>
      </w:pPr>
      <w:r>
        <w:drawing>
          <wp:inline distT="0" distB="0" distL="0" distR="0">
            <wp:extent cx="4576445" cy="3232150"/>
            <wp:effectExtent l="0" t="0" r="8255" b="6350"/>
            <wp:docPr id="18926348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634893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6445" cy="323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E8A58">
      <w:pPr>
        <w:rPr>
          <w:rFonts w:hint="eastAsia"/>
          <w:b/>
          <w:bCs/>
        </w:rPr>
      </w:pPr>
      <w:r>
        <w:rPr>
          <w:rFonts w:hint="eastAsia"/>
          <w:b/>
          <w:bCs/>
        </w:rPr>
        <w:t>(B)</w:t>
      </w:r>
    </w:p>
    <w:p w14:paraId="083BE114">
      <w:pPr>
        <w:rPr>
          <w:rFonts w:hint="eastAsia"/>
        </w:rPr>
      </w:pPr>
      <w:r>
        <w:drawing>
          <wp:inline distT="0" distB="0" distL="0" distR="0">
            <wp:extent cx="4578985" cy="3148965"/>
            <wp:effectExtent l="0" t="0" r="5715" b="635"/>
            <wp:docPr id="4349613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961343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8985" cy="3154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72F4B">
      <w:pPr>
        <w:rPr>
          <w:rFonts w:hint="eastAsia"/>
        </w:rPr>
      </w:pPr>
      <w:r>
        <w:rPr>
          <w:rFonts w:hint="eastAsia"/>
          <w:b/>
          <w:bCs/>
        </w:rPr>
        <w:t>Fig S5.</w:t>
      </w:r>
      <w:r>
        <w:rPr>
          <w:rFonts w:hint="eastAsia"/>
        </w:rPr>
        <w:t xml:space="preserve"> Sensitivity analysis for CVAESI. (A) Single inhaler triple therapy VS ICS/LABA, (B) Single inhaler triple therapy VS LAMA/LABA.</w:t>
      </w:r>
    </w:p>
    <w:p w14:paraId="252FB49E"/>
    <w:p w14:paraId="490A710B"/>
    <w:p w14:paraId="73D3C072"/>
    <w:p w14:paraId="7151AA3B">
      <w:pPr>
        <w:rPr>
          <w:rFonts w:hint="eastAsia"/>
          <w:b/>
          <w:bCs/>
        </w:rPr>
      </w:pPr>
      <w:r>
        <w:rPr>
          <w:rFonts w:hint="eastAsia"/>
          <w:b/>
          <w:bCs/>
        </w:rPr>
        <w:t>(A)</w:t>
      </w:r>
    </w:p>
    <w:p w14:paraId="163C7D2F">
      <w:pPr>
        <w:rPr>
          <w:rFonts w:hint="eastAsia"/>
        </w:rPr>
      </w:pPr>
      <w:r>
        <w:drawing>
          <wp:inline distT="0" distB="0" distL="0" distR="0">
            <wp:extent cx="4537710" cy="3416300"/>
            <wp:effectExtent l="0" t="0" r="8890" b="0"/>
            <wp:docPr id="16286806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680624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37710" cy="342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8AD89">
      <w:pPr>
        <w:rPr>
          <w:rFonts w:hint="eastAsia"/>
          <w:b/>
          <w:bCs/>
        </w:rPr>
      </w:pPr>
      <w:r>
        <w:rPr>
          <w:rFonts w:hint="eastAsia"/>
          <w:b/>
          <w:bCs/>
        </w:rPr>
        <w:t>(B)</w:t>
      </w:r>
    </w:p>
    <w:p w14:paraId="41C34455">
      <w:pPr>
        <w:rPr>
          <w:rFonts w:hint="eastAsia"/>
        </w:rPr>
      </w:pPr>
      <w:r>
        <w:drawing>
          <wp:inline distT="0" distB="0" distL="0" distR="0">
            <wp:extent cx="4520565" cy="3326130"/>
            <wp:effectExtent l="0" t="0" r="635" b="1270"/>
            <wp:docPr id="21248991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899193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20565" cy="332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B0961">
      <w:r>
        <w:rPr>
          <w:rFonts w:hint="eastAsia"/>
          <w:b/>
          <w:bCs/>
        </w:rPr>
        <w:t xml:space="preserve">Fig S6. </w:t>
      </w:r>
      <w:r>
        <w:rPr>
          <w:rFonts w:hint="eastAsia"/>
        </w:rPr>
        <w:t xml:space="preserve">Sensitivity analysis for serious CVAESI. (A) Single inhaler triple therapy VS ICS/LABA, (B) Single inhaler triple therapy VS LAMA/LABA. </w:t>
      </w:r>
    </w:p>
    <w:p w14:paraId="6919D039">
      <w:pPr>
        <w:rPr>
          <w:rFonts w:hint="eastAsia"/>
        </w:rPr>
      </w:pPr>
    </w:p>
    <w:p w14:paraId="631D6A52">
      <w:pPr>
        <w:rPr>
          <w:rFonts w:hint="eastAsia"/>
        </w:rPr>
      </w:pPr>
      <w:r>
        <w:drawing>
          <wp:inline distT="0" distB="0" distL="0" distR="0">
            <wp:extent cx="4498975" cy="3130550"/>
            <wp:effectExtent l="0" t="0" r="9525" b="6350"/>
            <wp:docPr id="681458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45816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98975" cy="3132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9B6BD">
      <w:pPr>
        <w:rPr>
          <w:rFonts w:hint="eastAsia"/>
        </w:rPr>
      </w:pPr>
      <w:r>
        <w:rPr>
          <w:rFonts w:hint="eastAsia"/>
          <w:b/>
          <w:bCs/>
        </w:rPr>
        <w:t xml:space="preserve">Fig S7. </w:t>
      </w:r>
      <w:r>
        <w:rPr>
          <w:rFonts w:hint="eastAsia"/>
        </w:rPr>
        <w:t>Sensitivity analysis for fatal serious CVAESI.</w:t>
      </w:r>
    </w:p>
    <w:p w14:paraId="01F8D81C"/>
    <w:p w14:paraId="60931EC9">
      <w:r>
        <w:drawing>
          <wp:inline distT="0" distB="0" distL="0" distR="0">
            <wp:extent cx="4418965" cy="3374390"/>
            <wp:effectExtent l="0" t="0" r="635" b="3810"/>
            <wp:docPr id="1" name="图片 1" descr="Death 漏斗图 Funnel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eath 漏斗图 Funnel plot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8965" cy="3377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D64BC">
      <w:pPr>
        <w:rPr>
          <w:rFonts w:hint="eastAsia"/>
        </w:rPr>
      </w:pPr>
      <w:r>
        <w:rPr>
          <w:rFonts w:hint="eastAsia"/>
          <w:b/>
          <w:bCs/>
        </w:rPr>
        <w:t>Fig S</w:t>
      </w:r>
      <w:r>
        <w:rPr>
          <w:rFonts w:hint="eastAsia"/>
          <w:b/>
          <w:bCs/>
          <w:lang w:val="en-US" w:eastAsia="zh-CN"/>
        </w:rPr>
        <w:t>8</w:t>
      </w:r>
      <w:r>
        <w:rPr>
          <w:rFonts w:hint="eastAsia"/>
          <w:b/>
          <w:bCs/>
        </w:rPr>
        <w:t xml:space="preserve">. </w:t>
      </w:r>
      <w:r>
        <w:rPr>
          <w:rFonts w:hint="eastAsia"/>
        </w:rPr>
        <w:t>Funnel plots for mortality.</w:t>
      </w:r>
    </w:p>
    <w:p w14:paraId="48AB6DD2">
      <w:pPr>
        <w:rPr>
          <w:rFonts w:hint="eastAsia"/>
        </w:rPr>
      </w:pPr>
    </w:p>
    <w:p w14:paraId="63B6AA1A">
      <w:pPr>
        <w:rPr>
          <w:rFonts w:hint="eastAsia"/>
        </w:rPr>
      </w:pPr>
    </w:p>
    <w:p w14:paraId="634FA02C">
      <w:pPr>
        <w:rPr>
          <w:rFonts w:hint="eastAsia"/>
        </w:rPr>
      </w:pPr>
    </w:p>
    <w:p w14:paraId="46E7B2B9">
      <w:r>
        <w:drawing>
          <wp:inline distT="0" distB="0" distL="114300" distR="114300">
            <wp:extent cx="4705985" cy="3461385"/>
            <wp:effectExtent l="0" t="0" r="5715" b="571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05985" cy="346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AC2ED"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</w:rPr>
        <w:t>Fig S</w:t>
      </w:r>
      <w:r>
        <w:rPr>
          <w:rFonts w:hint="eastAsia"/>
          <w:b/>
          <w:bCs/>
          <w:lang w:val="en-US" w:eastAsia="zh-CN"/>
        </w:rPr>
        <w:t>9</w:t>
      </w:r>
      <w:r>
        <w:rPr>
          <w:rFonts w:hint="eastAsia"/>
          <w:b/>
          <w:bCs/>
        </w:rPr>
        <w:t xml:space="preserve">. </w:t>
      </w:r>
      <w:r>
        <w:rPr>
          <w:rFonts w:hint="eastAsia"/>
        </w:rPr>
        <w:t>Egger's publication bias plot for mortality</w:t>
      </w:r>
      <w:r>
        <w:rPr>
          <w:rFonts w:hint="eastAsia"/>
          <w:lang w:val="en-US" w:eastAsia="zh-CN"/>
        </w:rPr>
        <w:t xml:space="preserve"> (Single inhaler triple therapy vs ICS/LABA) .</w:t>
      </w:r>
    </w:p>
    <w:p w14:paraId="18DF45E7">
      <w:pPr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4672965" cy="3378200"/>
            <wp:effectExtent l="0" t="0" r="635" b="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72965" cy="337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F423F">
      <w:pPr>
        <w:rPr>
          <w:rFonts w:hint="eastAsia"/>
        </w:rPr>
      </w:pPr>
      <w:r>
        <w:rPr>
          <w:rFonts w:hint="eastAsia"/>
          <w:b/>
          <w:bCs/>
        </w:rPr>
        <w:t>Fig S</w:t>
      </w:r>
      <w:r>
        <w:rPr>
          <w:rFonts w:hint="eastAsia"/>
          <w:b/>
          <w:bCs/>
          <w:lang w:val="en-US" w:eastAsia="zh-CN"/>
        </w:rPr>
        <w:t>10</w:t>
      </w:r>
      <w:r>
        <w:rPr>
          <w:rFonts w:hint="eastAsia"/>
          <w:b/>
          <w:bCs/>
        </w:rPr>
        <w:t xml:space="preserve">. </w:t>
      </w:r>
      <w:r>
        <w:rPr>
          <w:rFonts w:hint="eastAsia"/>
        </w:rPr>
        <w:t xml:space="preserve">Begg's funnel plot for mortality (Single inhaler triple therapy vs </w:t>
      </w:r>
      <w:r>
        <w:rPr>
          <w:rFonts w:hint="eastAsia"/>
          <w:lang w:val="en-US" w:eastAsia="zh-CN"/>
        </w:rPr>
        <w:t>LAMA</w:t>
      </w:r>
      <w:r>
        <w:rPr>
          <w:rFonts w:hint="eastAsia"/>
        </w:rPr>
        <w:t>/LABA) .</w:t>
      </w:r>
    </w:p>
    <w:p w14:paraId="50A47435">
      <w:pPr>
        <w:rPr>
          <w:rFonts w:hint="eastAsia"/>
        </w:rPr>
      </w:pPr>
    </w:p>
    <w:p w14:paraId="1F05E96A">
      <w:pPr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  <w:lang w:eastAsia="zh-CN"/>
        </w:rPr>
        <w:t>）</w:t>
      </w:r>
    </w:p>
    <w:p w14:paraId="45059C78">
      <w:pPr>
        <w:rPr>
          <w:rFonts w:hint="eastAsia"/>
          <w:lang w:eastAsia="zh-CN"/>
        </w:rPr>
      </w:pPr>
      <w:r>
        <w:drawing>
          <wp:inline distT="0" distB="0" distL="114300" distR="114300">
            <wp:extent cx="4588510" cy="3195320"/>
            <wp:effectExtent l="0" t="0" r="8890" b="508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88510" cy="319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B0A3A">
      <w:pPr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B</w:t>
      </w:r>
      <w:r>
        <w:rPr>
          <w:rFonts w:hint="eastAsia"/>
          <w:b/>
          <w:bCs/>
          <w:lang w:eastAsia="zh-CN"/>
        </w:rPr>
        <w:t>）</w:t>
      </w:r>
    </w:p>
    <w:p w14:paraId="55FA4BA3">
      <w:r>
        <w:drawing>
          <wp:inline distT="0" distB="0" distL="114300" distR="114300">
            <wp:extent cx="4575175" cy="3174365"/>
            <wp:effectExtent l="0" t="0" r="9525" b="6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5175" cy="317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F4C95">
      <w:pPr>
        <w:rPr>
          <w:rFonts w:hint="eastAsia"/>
          <w:lang w:val="en-US" w:eastAsia="zh-CN"/>
        </w:rPr>
      </w:pPr>
      <w:r>
        <w:rPr>
          <w:rFonts w:hint="eastAsia"/>
          <w:b/>
          <w:bCs/>
        </w:rPr>
        <w:t>Fig S1</w:t>
      </w:r>
      <w:r>
        <w:rPr>
          <w:rFonts w:hint="eastAsia"/>
          <w:b/>
          <w:bCs/>
          <w:lang w:val="en-US" w:eastAsia="zh-CN"/>
        </w:rPr>
        <w:t>1</w:t>
      </w:r>
      <w:r>
        <w:rPr>
          <w:rFonts w:hint="eastAsia"/>
          <w:b/>
          <w:bCs/>
        </w:rPr>
        <w:t xml:space="preserve">. </w:t>
      </w:r>
      <w:r>
        <w:rPr>
          <w:rFonts w:hint="eastAsia"/>
        </w:rPr>
        <w:t>Begg's funnel plot for exacerbations</w:t>
      </w:r>
      <w:r>
        <w:rPr>
          <w:rFonts w:hint="eastAsia"/>
          <w:lang w:val="en-US" w:eastAsia="zh-CN"/>
        </w:rPr>
        <w:t>. (A)</w:t>
      </w:r>
      <w:r>
        <w:rPr>
          <w:rFonts w:hint="eastAsia"/>
        </w:rPr>
        <w:t xml:space="preserve"> (Single inhaler triple therapy vs </w:t>
      </w:r>
      <w:r>
        <w:rPr>
          <w:rFonts w:hint="eastAsia"/>
          <w:lang w:val="en-US" w:eastAsia="zh-CN"/>
        </w:rPr>
        <w:t>ICS</w:t>
      </w:r>
      <w:r>
        <w:rPr>
          <w:rFonts w:hint="eastAsia"/>
        </w:rPr>
        <w:t>/LABA)</w:t>
      </w:r>
      <w:r>
        <w:rPr>
          <w:rFonts w:hint="eastAsia"/>
          <w:lang w:val="en-US" w:eastAsia="zh-CN"/>
        </w:rPr>
        <w:t xml:space="preserve">  and (B) (Single inhaler triple therapy vs LAMA/LABA).</w:t>
      </w:r>
    </w:p>
    <w:p w14:paraId="6C8F1626">
      <w:pPr>
        <w:rPr>
          <w:rFonts w:hint="eastAsia"/>
          <w:lang w:val="en-US" w:eastAsia="zh-CN"/>
        </w:rPr>
      </w:pPr>
    </w:p>
    <w:p w14:paraId="24EB35FC">
      <w:pPr>
        <w:jc w:val="left"/>
        <w:rPr>
          <w:b/>
          <w:bCs/>
        </w:rPr>
      </w:pPr>
    </w:p>
    <w:p w14:paraId="3A19F9E9">
      <w:pPr>
        <w:jc w:val="left"/>
        <w:rPr>
          <w:b/>
          <w:bCs/>
        </w:rPr>
      </w:pPr>
    </w:p>
    <w:p w14:paraId="553855F8">
      <w:pPr>
        <w:jc w:val="left"/>
        <w:rPr>
          <w:b/>
          <w:bCs/>
        </w:rPr>
      </w:pPr>
    </w:p>
    <w:p w14:paraId="760D1561">
      <w:pPr>
        <w:jc w:val="left"/>
      </w:pPr>
      <w:r>
        <w:drawing>
          <wp:inline distT="0" distB="0" distL="114300" distR="114300">
            <wp:extent cx="4792345" cy="5935980"/>
            <wp:effectExtent l="0" t="0" r="8255" b="762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792345" cy="593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B832E">
      <w:pPr>
        <w:jc w:val="both"/>
        <w:rPr>
          <w:rFonts w:hint="eastAsia"/>
          <w:lang w:val="en-US" w:eastAsia="zh-CN"/>
        </w:rPr>
      </w:pPr>
      <w:r>
        <w:rPr>
          <w:rFonts w:hint="eastAsia"/>
          <w:b/>
          <w:bCs/>
        </w:rPr>
        <w:t xml:space="preserve"> Fig S1</w:t>
      </w:r>
      <w:r>
        <w:rPr>
          <w:rFonts w:hint="eastAsia"/>
          <w:b/>
          <w:bCs/>
          <w:lang w:val="en-US" w:eastAsia="zh-CN"/>
        </w:rPr>
        <w:t>2</w:t>
      </w:r>
      <w:r>
        <w:rPr>
          <w:rFonts w:hint="eastAsia"/>
          <w:b/>
          <w:bCs/>
        </w:rPr>
        <w:t>.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</w:rPr>
        <w:t xml:space="preserve">The funnel plot and </w:t>
      </w:r>
      <w:r>
        <w:rPr>
          <w:rFonts w:hint="eastAsia"/>
          <w:lang w:val="en-US" w:eastAsia="zh-CN"/>
        </w:rPr>
        <w:t>Egger's</w:t>
      </w:r>
      <w:r>
        <w:rPr>
          <w:rFonts w:hint="eastAsia"/>
        </w:rPr>
        <w:t xml:space="preserve"> publication bias plot for fatal serious CVAESI</w:t>
      </w:r>
      <w:r>
        <w:rPr>
          <w:rFonts w:hint="eastAsia"/>
          <w:lang w:val="en-US" w:eastAsia="zh-CN"/>
        </w:rPr>
        <w:t>.</w:t>
      </w:r>
    </w:p>
    <w:p w14:paraId="30D03995">
      <w:pPr>
        <w:jc w:val="both"/>
        <w:rPr>
          <w:rFonts w:hint="eastAsia"/>
          <w:lang w:val="en-US" w:eastAsia="zh-CN"/>
        </w:rPr>
      </w:pPr>
    </w:p>
    <w:p w14:paraId="0A2300C9">
      <w:pPr>
        <w:jc w:val="both"/>
        <w:rPr>
          <w:rFonts w:hint="eastAsia"/>
          <w:lang w:val="en-US" w:eastAsia="zh-CN"/>
        </w:rPr>
      </w:pPr>
    </w:p>
    <w:p w14:paraId="7860658F">
      <w:pPr>
        <w:jc w:val="both"/>
        <w:rPr>
          <w:rFonts w:hint="eastAsia"/>
          <w:lang w:val="en-US" w:eastAsia="zh-CN"/>
        </w:rPr>
      </w:pPr>
    </w:p>
    <w:p w14:paraId="27ACEC6D">
      <w:pPr>
        <w:jc w:val="both"/>
        <w:rPr>
          <w:rFonts w:hint="eastAsia"/>
          <w:lang w:val="en-US" w:eastAsia="zh-CN"/>
        </w:rPr>
      </w:pPr>
    </w:p>
    <w:p w14:paraId="7DB9165F">
      <w:pPr>
        <w:jc w:val="both"/>
        <w:rPr>
          <w:rFonts w:hint="eastAsia"/>
          <w:lang w:val="en-US" w:eastAsia="zh-CN"/>
        </w:rPr>
      </w:pPr>
    </w:p>
    <w:p w14:paraId="2239FBFB">
      <w:pPr>
        <w:jc w:val="both"/>
        <w:rPr>
          <w:rFonts w:hint="eastAsia"/>
          <w:lang w:val="en-US" w:eastAsia="zh-CN"/>
        </w:rPr>
      </w:pPr>
    </w:p>
    <w:p w14:paraId="420766F4">
      <w:pPr>
        <w:jc w:val="both"/>
        <w:rPr>
          <w:rFonts w:hint="eastAsia"/>
          <w:lang w:val="en-US" w:eastAsia="zh-CN"/>
        </w:rPr>
      </w:pPr>
    </w:p>
    <w:p w14:paraId="0D4E4223">
      <w:pPr>
        <w:jc w:val="both"/>
        <w:rPr>
          <w:rFonts w:hint="eastAsia"/>
          <w:lang w:val="en-US" w:eastAsia="zh-CN"/>
        </w:rPr>
      </w:pPr>
    </w:p>
    <w:p w14:paraId="507A900D">
      <w:pPr>
        <w:jc w:val="both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(A)</w:t>
      </w:r>
    </w:p>
    <w:p w14:paraId="5E374DA6">
      <w:pPr>
        <w:jc w:val="both"/>
      </w:pPr>
      <w:r>
        <w:drawing>
          <wp:inline distT="0" distB="0" distL="114300" distR="114300">
            <wp:extent cx="4400550" cy="2858770"/>
            <wp:effectExtent l="0" t="0" r="6350" b="1143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85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DC4C6">
      <w:p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(B)</w:t>
      </w:r>
    </w:p>
    <w:p w14:paraId="548D5E14">
      <w:pPr>
        <w:jc w:val="both"/>
      </w:pPr>
      <w:r>
        <w:drawing>
          <wp:inline distT="0" distB="0" distL="114300" distR="114300">
            <wp:extent cx="4393565" cy="2813050"/>
            <wp:effectExtent l="0" t="0" r="635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93565" cy="281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91F70">
      <w:pPr>
        <w:jc w:val="both"/>
        <w:rPr>
          <w:rFonts w:hint="default"/>
          <w:lang w:val="en-US" w:eastAsia="zh-CN"/>
        </w:rPr>
      </w:pPr>
      <w:r>
        <w:rPr>
          <w:rFonts w:hint="default"/>
          <w:b/>
          <w:bCs/>
          <w:lang w:val="en-US" w:eastAsia="zh-CN"/>
        </w:rPr>
        <w:t>Fig S1</w:t>
      </w:r>
      <w:r>
        <w:rPr>
          <w:rFonts w:hint="eastAsia"/>
          <w:b/>
          <w:bCs/>
          <w:lang w:val="en-US" w:eastAsia="zh-CN"/>
        </w:rPr>
        <w:t>3</w:t>
      </w:r>
      <w:r>
        <w:rPr>
          <w:rFonts w:hint="default"/>
          <w:b/>
          <w:bCs/>
          <w:lang w:val="en-US" w:eastAsia="zh-CN"/>
        </w:rPr>
        <w:t>.</w:t>
      </w:r>
      <w:r>
        <w:rPr>
          <w:rFonts w:hint="default"/>
          <w:lang w:val="en-US" w:eastAsia="zh-CN"/>
        </w:rPr>
        <w:t xml:space="preserve"> Begg's funnel plot for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serious CVAESI. (A) (Single inhaler triple therapy vs ICS/LABA)  and (B) (Single inhaler triple therapy vs LAMA/LABA).</w:t>
      </w:r>
    </w:p>
    <w:p w14:paraId="5A4D41EB">
      <w:pPr>
        <w:jc w:val="both"/>
        <w:rPr>
          <w:rFonts w:hint="default"/>
          <w:lang w:val="en-US" w:eastAsia="zh-CN"/>
        </w:rPr>
      </w:pPr>
    </w:p>
    <w:p w14:paraId="6C6C6907">
      <w:pPr>
        <w:jc w:val="both"/>
        <w:rPr>
          <w:rFonts w:hint="default"/>
          <w:lang w:val="en-US" w:eastAsia="zh-CN"/>
        </w:rPr>
      </w:pPr>
    </w:p>
    <w:p w14:paraId="7C3320A9">
      <w:pPr>
        <w:jc w:val="both"/>
        <w:rPr>
          <w:rFonts w:hint="default"/>
          <w:lang w:val="en-US" w:eastAsia="zh-CN"/>
        </w:rPr>
      </w:pPr>
    </w:p>
    <w:p w14:paraId="6CF8D639">
      <w:pPr>
        <w:jc w:val="both"/>
        <w:rPr>
          <w:rFonts w:hint="default"/>
          <w:lang w:val="en-US" w:eastAsia="zh-CN"/>
        </w:rPr>
      </w:pPr>
    </w:p>
    <w:p w14:paraId="70E2D567">
      <w:p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（A）</w:t>
      </w:r>
    </w:p>
    <w:p w14:paraId="0B66D2B3">
      <w:pPr>
        <w:jc w:val="both"/>
      </w:pPr>
      <w:r>
        <w:drawing>
          <wp:inline distT="0" distB="0" distL="114300" distR="114300">
            <wp:extent cx="4632325" cy="3023235"/>
            <wp:effectExtent l="0" t="0" r="317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632325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3C78A">
      <w:pPr>
        <w:jc w:val="both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B</w:t>
      </w:r>
      <w:r>
        <w:rPr>
          <w:rFonts w:hint="eastAsia"/>
          <w:b/>
          <w:bCs/>
          <w:lang w:eastAsia="zh-CN"/>
        </w:rPr>
        <w:t>）</w:t>
      </w:r>
    </w:p>
    <w:p w14:paraId="54CBD336">
      <w:pPr>
        <w:jc w:val="both"/>
      </w:pPr>
      <w:r>
        <w:drawing>
          <wp:inline distT="0" distB="0" distL="114300" distR="114300">
            <wp:extent cx="4629785" cy="3009265"/>
            <wp:effectExtent l="0" t="0" r="5715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629785" cy="300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E0565">
      <w:pPr>
        <w:jc w:val="both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Fig S14. </w:t>
      </w:r>
      <w:r>
        <w:rPr>
          <w:rFonts w:hint="eastAsia"/>
          <w:lang w:val="en-US" w:eastAsia="zh-CN"/>
        </w:rPr>
        <w:t>Begg's funnel plot for CVAESI. (A) (Single inhaler triple therapy vs ICS/LABA)  and (B) (Single inhaler triple therapy vs LAMA/LABA).</w:t>
      </w:r>
    </w:p>
    <w:p w14:paraId="45BC2F5C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400040" cy="3348990"/>
            <wp:effectExtent l="0" t="0" r="10160" b="3810"/>
            <wp:docPr id="4" name="图片 4" descr="补充材料图 Forest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补充材料图 Forest plot"/>
                    <pic:cNvPicPr>
                      <a:picLocks noChangeAspect="1"/>
                    </pic:cNvPicPr>
                  </pic:nvPicPr>
                  <pic:blipFill>
                    <a:blip r:embed="rId30">
                      <a:extLst>
                        <a:ext uri="{96DAC541-7B7A-43D3-8B79-37D633B846F1}">
                          <asvg:svgBlip xmlns:asvg="http://schemas.microsoft.com/office/drawing/2016/SVG/main" r:embed="rId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4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51AD3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Fig S15.</w:t>
      </w:r>
      <w:r>
        <w:rPr>
          <w:rFonts w:hint="eastAsia"/>
          <w:lang w:val="en-US" w:eastAsia="zh-CN"/>
        </w:rPr>
        <w:t xml:space="preserve"> Forest plot for subgroup analysis of mortality.</w:t>
      </w:r>
    </w:p>
    <w:p w14:paraId="475FF877">
      <w:pPr>
        <w:rPr>
          <w:rFonts w:hint="eastAsia"/>
          <w:lang w:val="en-US" w:eastAsia="zh-CN"/>
        </w:rPr>
      </w:pPr>
    </w:p>
    <w:p w14:paraId="5FD853FA">
      <w:r>
        <w:drawing>
          <wp:inline distT="0" distB="0" distL="114300" distR="114300">
            <wp:extent cx="5273675" cy="3629025"/>
            <wp:effectExtent l="0" t="0" r="9525" b="317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39F05">
      <w:pPr>
        <w:rPr>
          <w:rFonts w:hint="default" w:eastAsiaTheme="minorEastAsia"/>
          <w:b w:val="0"/>
          <w:bCs w:val="0"/>
          <w:lang w:val="en-US" w:eastAsia="zh-CN"/>
        </w:rPr>
      </w:pPr>
      <w:r>
        <w:rPr>
          <w:rFonts w:hint="default" w:eastAsiaTheme="minorEastAsia"/>
          <w:b/>
          <w:bCs/>
          <w:lang w:val="en-US" w:eastAsia="zh-CN"/>
        </w:rPr>
        <w:t>Fig S1</w:t>
      </w:r>
      <w:r>
        <w:rPr>
          <w:rFonts w:hint="eastAsia"/>
          <w:b/>
          <w:bCs/>
          <w:lang w:val="en-US" w:eastAsia="zh-CN"/>
        </w:rPr>
        <w:t>6</w:t>
      </w:r>
      <w:r>
        <w:rPr>
          <w:rFonts w:hint="default" w:eastAsiaTheme="minorEastAsia"/>
          <w:b/>
          <w:bCs/>
          <w:lang w:val="en-US" w:eastAsia="zh-CN"/>
        </w:rPr>
        <w:t xml:space="preserve">. </w:t>
      </w:r>
      <w:r>
        <w:rPr>
          <w:rFonts w:hint="default" w:eastAsiaTheme="minorEastAsia"/>
          <w:b w:val="0"/>
          <w:bCs w:val="0"/>
          <w:lang w:val="en-US" w:eastAsia="zh-CN"/>
        </w:rPr>
        <w:t xml:space="preserve">Sensitivity analysis of all-cause mortality (follow-up </w:t>
      </w:r>
      <w:r>
        <w:rPr>
          <w:rFonts w:hint="eastAsia"/>
          <w:b w:val="0"/>
          <w:bCs w:val="0"/>
          <w:lang w:val="en-US" w:eastAsia="zh-CN"/>
        </w:rPr>
        <w:t>&gt;</w:t>
      </w:r>
      <w:r>
        <w:rPr>
          <w:rFonts w:hint="default" w:eastAsiaTheme="minorEastAsia"/>
          <w:b w:val="0"/>
          <w:bCs w:val="0"/>
          <w:lang w:val="en-US" w:eastAsia="zh-CN"/>
        </w:rPr>
        <w:t xml:space="preserve"> 6 months)</w:t>
      </w:r>
    </w:p>
    <w:p w14:paraId="4D607694">
      <w:pPr>
        <w:rPr>
          <w:rFonts w:hint="default" w:eastAsiaTheme="minorEastAsia"/>
          <w:lang w:val="en-US" w:eastAsia="zh-CN"/>
        </w:rPr>
      </w:pPr>
    </w:p>
    <w:p w14:paraId="1596D278">
      <w:pPr>
        <w:rPr>
          <w:rFonts w:hint="default" w:eastAsiaTheme="minorEastAsia"/>
          <w:lang w:val="en-US" w:eastAsia="zh-CN"/>
        </w:rPr>
      </w:pPr>
    </w:p>
    <w:p w14:paraId="7363DEF8">
      <w:r>
        <w:drawing>
          <wp:inline distT="0" distB="0" distL="114300" distR="114300">
            <wp:extent cx="5272405" cy="3592830"/>
            <wp:effectExtent l="0" t="0" r="10795" b="1270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9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F709A"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/>
          <w:b/>
          <w:bCs/>
          <w:lang w:val="en-US" w:eastAsia="zh-CN"/>
        </w:rPr>
        <w:t>Fig S1</w:t>
      </w:r>
      <w:r>
        <w:rPr>
          <w:rFonts w:hint="eastAsia"/>
          <w:b/>
          <w:bCs/>
          <w:lang w:val="en-US" w:eastAsia="zh-CN"/>
        </w:rPr>
        <w:t>7</w:t>
      </w:r>
      <w:r>
        <w:rPr>
          <w:rFonts w:hint="default"/>
          <w:b/>
          <w:bCs/>
          <w:lang w:val="en-US" w:eastAsia="zh-CN"/>
        </w:rPr>
        <w:t xml:space="preserve">. </w:t>
      </w:r>
      <w:r>
        <w:rPr>
          <w:rFonts w:hint="default"/>
          <w:lang w:val="en-US" w:eastAsia="zh-CN"/>
        </w:rPr>
        <w:t>Sensitivity analysis of all-cause mortality (follow-up ≤6 months)</w:t>
      </w:r>
      <w:bookmarkStart w:id="0" w:name="_GoBack"/>
      <w:bookmarkEnd w:id="0"/>
    </w:p>
    <w:p w14:paraId="72B7B82D">
      <w:p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Table 3. Search strategy </w:t>
      </w:r>
    </w:p>
    <w:tbl>
      <w:tblPr>
        <w:tblStyle w:val="14"/>
        <w:tblW w:w="0" w:type="auto"/>
        <w:tblInd w:w="0" w:type="dxa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567"/>
        <w:gridCol w:w="851"/>
        <w:gridCol w:w="11348"/>
      </w:tblGrid>
      <w:tr w14:paraId="41F8FB3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129" w:type="dxa"/>
            <w:tcBorders>
              <w:bottom w:val="single" w:color="000000" w:themeColor="text1" w:sz="12" w:space="0"/>
              <w:tl2br w:val="nil"/>
              <w:tr2bl w:val="nil"/>
            </w:tcBorders>
          </w:tcPr>
          <w:p w14:paraId="6A784BBE">
            <w:pPr>
              <w:spacing w:after="0" w:line="240" w:lineRule="auto"/>
              <w:rPr>
                <w:rFonts w:hint="default"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</w:rPr>
              <w:t>Database</w:t>
            </w:r>
          </w:p>
        </w:tc>
        <w:tc>
          <w:tcPr>
            <w:tcW w:w="567" w:type="dxa"/>
            <w:tcBorders>
              <w:bottom w:val="single" w:color="000000" w:themeColor="text1" w:sz="12" w:space="0"/>
              <w:tl2br w:val="nil"/>
              <w:tr2bl w:val="nil"/>
            </w:tcBorders>
          </w:tcPr>
          <w:p w14:paraId="5431A4DA">
            <w:pPr>
              <w:spacing w:after="0" w:line="240" w:lineRule="auto"/>
              <w:rPr>
                <w:rFonts w:hint="default"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bottom w:val="single" w:color="000000" w:themeColor="text1" w:sz="12" w:space="0"/>
              <w:tl2br w:val="nil"/>
              <w:tr2bl w:val="nil"/>
            </w:tcBorders>
          </w:tcPr>
          <w:p w14:paraId="3884BDFB">
            <w:pPr>
              <w:spacing w:after="0" w:line="240" w:lineRule="auto"/>
              <w:rPr>
                <w:rFonts w:hint="default"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</w:rPr>
              <w:t>PICOS</w:t>
            </w:r>
          </w:p>
        </w:tc>
        <w:tc>
          <w:tcPr>
            <w:tcW w:w="11348" w:type="dxa"/>
            <w:tcBorders>
              <w:bottom w:val="single" w:color="000000" w:themeColor="text1" w:sz="12" w:space="0"/>
              <w:tl2br w:val="nil"/>
              <w:tr2bl w:val="nil"/>
            </w:tcBorders>
          </w:tcPr>
          <w:p w14:paraId="12582250">
            <w:pPr>
              <w:spacing w:after="0" w:line="240" w:lineRule="auto"/>
              <w:rPr>
                <w:rFonts w:hint="default"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</w:rPr>
              <w:t>Strategy</w:t>
            </w:r>
          </w:p>
        </w:tc>
      </w:tr>
      <w:tr w14:paraId="3204DBD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single" w:color="000000" w:themeColor="text1" w:sz="12" w:space="0"/>
            </w:tcBorders>
          </w:tcPr>
          <w:p w14:paraId="2A17DDEC">
            <w:pPr>
              <w:spacing w:after="0" w:line="240" w:lineRule="auto"/>
              <w:rPr>
                <w:b/>
                <w:bCs/>
              </w:rPr>
            </w:pPr>
            <w:r>
              <w:rPr>
                <w:rFonts w:hint="default" w:ascii="Calibri" w:hAnsi="Calibri" w:cs="Calibri"/>
                <w:b/>
                <w:bCs/>
              </w:rPr>
              <w:t>PubMed</w:t>
            </w:r>
          </w:p>
        </w:tc>
        <w:tc>
          <w:tcPr>
            <w:tcW w:w="567" w:type="dxa"/>
            <w:tcBorders>
              <w:top w:val="single" w:color="000000" w:themeColor="text1" w:sz="12" w:space="0"/>
            </w:tcBorders>
          </w:tcPr>
          <w:p w14:paraId="164649B6">
            <w:pPr>
              <w:spacing w:after="0" w:line="240" w:lineRule="auto"/>
            </w:pPr>
            <w:r>
              <w:rPr>
                <w:rFonts w:hint="eastAsia"/>
              </w:rPr>
              <w:t>#1</w:t>
            </w:r>
          </w:p>
        </w:tc>
        <w:tc>
          <w:tcPr>
            <w:tcW w:w="851" w:type="dxa"/>
            <w:tcBorders>
              <w:top w:val="single" w:color="000000" w:themeColor="text1" w:sz="12" w:space="0"/>
            </w:tcBorders>
          </w:tcPr>
          <w:p w14:paraId="0EE1F44D">
            <w:pPr>
              <w:spacing w:after="0" w:line="240" w:lineRule="auto"/>
            </w:pPr>
            <w:r>
              <w:rPr>
                <w:rFonts w:hint="eastAsia"/>
              </w:rPr>
              <w:t>P</w:t>
            </w:r>
          </w:p>
        </w:tc>
        <w:tc>
          <w:tcPr>
            <w:tcW w:w="11348" w:type="dxa"/>
            <w:tcBorders>
              <w:top w:val="single" w:color="000000" w:themeColor="text1" w:sz="12" w:space="0"/>
            </w:tcBorders>
          </w:tcPr>
          <w:p w14:paraId="4DFF8394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("COPD"[MeSH] OR "Pulmonary Disease, Chronic Obstructive"[MeSH] OR "chronic obstructive pulmonary disease"[tiab] OR "COPD"[tiab] OR "chronic bronchitis"[tiab] OR "emphysema"[tiab])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AND ("FEV1/FVC &lt;0.70"[tiab] OR "FEV1 25-80% predicted"[tiab])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AND ("exacerbation"[tiab] OR "acute worsening"[tiab] OR "hospitalization"[tiab] OR "emergency visit*"[tiab])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AND ("smoking"[MeSH] OR "smoking"[tiab] OR "pack-year"[tiab] OR "current smoker"[tiab] OR "former smoker"[tiab])</w:t>
            </w:r>
          </w:p>
        </w:tc>
      </w:tr>
      <w:tr w14:paraId="586E519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4CFEF804">
            <w:pPr>
              <w:spacing w:after="0" w:line="240" w:lineRule="auto"/>
            </w:pPr>
          </w:p>
        </w:tc>
        <w:tc>
          <w:tcPr>
            <w:tcW w:w="567" w:type="dxa"/>
          </w:tcPr>
          <w:p w14:paraId="148DBE95">
            <w:pPr>
              <w:spacing w:after="0" w:line="240" w:lineRule="auto"/>
            </w:pPr>
            <w:r>
              <w:rPr>
                <w:rFonts w:hint="eastAsia"/>
              </w:rPr>
              <w:t>#2</w:t>
            </w:r>
          </w:p>
        </w:tc>
        <w:tc>
          <w:tcPr>
            <w:tcW w:w="851" w:type="dxa"/>
          </w:tcPr>
          <w:p w14:paraId="27C2BFAB">
            <w:pPr>
              <w:spacing w:after="0" w:line="240" w:lineRule="auto"/>
            </w:pPr>
            <w:r>
              <w:rPr>
                <w:rFonts w:hint="eastAsia"/>
              </w:rPr>
              <w:t>I</w:t>
            </w:r>
          </w:p>
        </w:tc>
        <w:tc>
          <w:tcPr>
            <w:tcW w:w="11348" w:type="dxa"/>
          </w:tcPr>
          <w:p w14:paraId="2561058A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("triple therapy"[tiab] OR "ICS/LAMA/LABA"[tiab] OR "inhaled corticosteroid"[tiab] OR "fluticasone furoate"[tiab] OR "fluticasone propionate"[tiab]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OR "budesonide"[tiab]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OR "vilanterol"[tiab] OR "umeclidinium"[tiab] OR "glycopyrrolate"[tiab] OR "tiotropium"[tiab] OR "formoterol fumarate"[tiab])</w:t>
            </w:r>
          </w:p>
        </w:tc>
      </w:tr>
      <w:tr w14:paraId="79F2052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583A28C5">
            <w:pPr>
              <w:spacing w:after="0" w:line="240" w:lineRule="auto"/>
            </w:pPr>
          </w:p>
        </w:tc>
        <w:tc>
          <w:tcPr>
            <w:tcW w:w="567" w:type="dxa"/>
          </w:tcPr>
          <w:p w14:paraId="24986F0F">
            <w:pPr>
              <w:spacing w:after="0" w:line="240" w:lineRule="auto"/>
            </w:pPr>
            <w:r>
              <w:rPr>
                <w:rFonts w:hint="eastAsia"/>
              </w:rPr>
              <w:t>#3</w:t>
            </w:r>
          </w:p>
        </w:tc>
        <w:tc>
          <w:tcPr>
            <w:tcW w:w="851" w:type="dxa"/>
          </w:tcPr>
          <w:p w14:paraId="6ACC6352">
            <w:pPr>
              <w:spacing w:after="0" w:line="240" w:lineRule="auto"/>
            </w:pPr>
            <w:r>
              <w:rPr>
                <w:rFonts w:hint="eastAsia"/>
              </w:rPr>
              <w:t>C</w:t>
            </w:r>
          </w:p>
        </w:tc>
        <w:tc>
          <w:tcPr>
            <w:tcW w:w="11348" w:type="dxa"/>
          </w:tcPr>
          <w:p w14:paraId="7381F65A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("dual therapy"[tiab] OR "LABA/LAMA"[tiab] OR "ICS/LABA"[tiab] OR "indacaterol"[tiab] OR "glycopyrronium"[tiab] OR "salmeterol"[tiab] OR "formoterol"[tiab] OR "olodaterol"[tiab] OR "aclidinium"[tiab] OR "ipratropium"[tiab] OR "beclomethasone"[tiab])</w:t>
            </w:r>
          </w:p>
        </w:tc>
      </w:tr>
      <w:tr w14:paraId="1776CB6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6D8F4FB4">
            <w:pPr>
              <w:spacing w:after="0" w:line="240" w:lineRule="auto"/>
            </w:pPr>
          </w:p>
        </w:tc>
        <w:tc>
          <w:tcPr>
            <w:tcW w:w="567" w:type="dxa"/>
          </w:tcPr>
          <w:p w14:paraId="30F741A7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#4</w:t>
            </w:r>
          </w:p>
        </w:tc>
        <w:tc>
          <w:tcPr>
            <w:tcW w:w="851" w:type="dxa"/>
          </w:tcPr>
          <w:p w14:paraId="44E9B5EC">
            <w:pPr>
              <w:spacing w:after="0" w:line="240" w:lineRule="auto"/>
            </w:pPr>
            <w:r>
              <w:rPr>
                <w:rFonts w:hint="eastAsia"/>
              </w:rPr>
              <w:t>O</w:t>
            </w:r>
          </w:p>
        </w:tc>
        <w:tc>
          <w:tcPr>
            <w:tcW w:w="11348" w:type="dxa"/>
          </w:tcPr>
          <w:p w14:paraId="6D1E4BAB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("mortality"[MeSH] OR "mortality"[tiab] OR "all-cause mortality"[tiab] OR "cardiovascular mortality"[tiab]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OR "cardiovascular events"[tiab] OR "myocardial infarction"[tiab] OR "stroke"[tiab] OR "arrhythmia"[tiab]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OR "exacerbation rate"[tiab] OR "hospitalization rate"[tiab] OR "FEV1 decline"[tiab] OR "quality of life"[tiab])</w:t>
            </w:r>
          </w:p>
        </w:tc>
      </w:tr>
      <w:tr w14:paraId="7C61304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07BAB606">
            <w:pPr>
              <w:spacing w:after="0" w:line="240" w:lineRule="auto"/>
            </w:pPr>
          </w:p>
        </w:tc>
        <w:tc>
          <w:tcPr>
            <w:tcW w:w="567" w:type="dxa"/>
          </w:tcPr>
          <w:p w14:paraId="425CE822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#5</w:t>
            </w:r>
          </w:p>
        </w:tc>
        <w:tc>
          <w:tcPr>
            <w:tcW w:w="851" w:type="dxa"/>
          </w:tcPr>
          <w:p w14:paraId="5259A9EC">
            <w:pPr>
              <w:spacing w:after="0" w:line="240" w:lineRule="auto"/>
            </w:pPr>
            <w:r>
              <w:rPr>
                <w:rFonts w:hint="eastAsia"/>
              </w:rPr>
              <w:t>S</w:t>
            </w:r>
          </w:p>
        </w:tc>
        <w:tc>
          <w:tcPr>
            <w:tcW w:w="11348" w:type="dxa"/>
          </w:tcPr>
          <w:p w14:paraId="3AFF6A97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("randomized controlled trial"[Publication Type] OR "RCT"[tiab] OR "randomized"[tiab] OR "randomised"[tiab] OR "randomly"[tiab] OR "placebo"[tiab] OR "control group"[tiab])</w:t>
            </w:r>
          </w:p>
          <w:p w14:paraId="238C2FF8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NOT ("Review"[Publication Type] OR "Meta-Analysis"[Publication Type] OR "Comment"[Publication Type] OR "Editorial"[Publication Type] OR "Case Report"[Publication Type])</w:t>
            </w:r>
          </w:p>
        </w:tc>
      </w:tr>
      <w:tr w14:paraId="60CFA60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9" w:type="dxa"/>
            <w:tcBorders>
              <w:bottom w:val="single" w:color="000000" w:themeColor="text1" w:sz="12" w:space="0"/>
            </w:tcBorders>
          </w:tcPr>
          <w:p w14:paraId="0A524E74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‌</w:t>
            </w:r>
          </w:p>
        </w:tc>
        <w:tc>
          <w:tcPr>
            <w:tcW w:w="567" w:type="dxa"/>
            <w:tcBorders>
              <w:bottom w:val="single" w:color="000000" w:themeColor="text1" w:sz="12" w:space="0"/>
            </w:tcBorders>
          </w:tcPr>
          <w:p w14:paraId="1A8765CC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#6</w:t>
            </w:r>
          </w:p>
        </w:tc>
        <w:tc>
          <w:tcPr>
            <w:tcW w:w="851" w:type="dxa"/>
            <w:tcBorders>
              <w:bottom w:val="single" w:color="000000" w:themeColor="text1" w:sz="12" w:space="0"/>
            </w:tcBorders>
          </w:tcPr>
          <w:p w14:paraId="5A4F7551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NA</w:t>
            </w:r>
          </w:p>
        </w:tc>
        <w:tc>
          <w:tcPr>
            <w:tcW w:w="11348" w:type="dxa"/>
            <w:tcBorders>
              <w:bottom w:val="single" w:color="000000" w:themeColor="text1" w:sz="12" w:space="0"/>
            </w:tcBorders>
          </w:tcPr>
          <w:p w14:paraId="4E7BFFB5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(#1) AND (#2 OR #3) AND (#4) AND (#5)</w:t>
            </w:r>
          </w:p>
          <w:p w14:paraId="505CA9F3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(("COPD"[MeSH] OR "Pulmonary Disease, Chronic Obstructive"[MeSH] OR "chronic obstructive pulmonary disease"[tiab] OR "COPD"[tiab]) AND ("FEV1/FVC &lt;0.70"[tiab] OR "FEV1 25-80% predicted"[tiab]) AND ("exacerbation"[tiab] OR "hospitalization"[tiab] OR "emergency visit*"[tiab]) AND ("smoking"[MeSH] OR "pack-year"[tiab] OR "current smoker"[tiab]) AND ( "triple therapy"[tiab] OR "ICS/LAMA/LABA"[tiab] OR "dual therapy"[tiab] OR "LABA/LAMA"[tiab] OR "fluticasone"[tiab] OR "budesonide"[tiab] OR "umeclidinium"[tiab] OR "tiotropium"[tiab] ) AND ("mortality"[tiab] OR "cardiovascular events"[tiab] OR "FEV1 decline"[tiab]) AND ("randomized controlled trial"[Publication Type] OR "RCT"[tiab] OR "randomized"[tiab]))NOT ("Review"[Publication Type] OR "Meta-Analysis"[Publication Type] OR "Comment"[Publication Type])</w:t>
            </w:r>
          </w:p>
        </w:tc>
      </w:tr>
      <w:tr w14:paraId="4BA5AC3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</w:trPr>
        <w:tc>
          <w:tcPr>
            <w:tcW w:w="1129" w:type="dxa"/>
            <w:tcBorders>
              <w:top w:val="single" w:color="000000" w:themeColor="text1" w:sz="12" w:space="0"/>
            </w:tcBorders>
          </w:tcPr>
          <w:p w14:paraId="705C7E6F">
            <w:pPr>
              <w:spacing w:after="0" w:line="240" w:lineRule="auto"/>
            </w:pPr>
            <w:r>
              <w:rPr>
                <w:rFonts w:hint="default" w:ascii="Calibri" w:hAnsi="Calibri" w:cs="Calibri"/>
                <w:b/>
                <w:bCs/>
              </w:rPr>
              <w:t>Embase</w:t>
            </w:r>
          </w:p>
        </w:tc>
        <w:tc>
          <w:tcPr>
            <w:tcW w:w="567" w:type="dxa"/>
            <w:tcBorders>
              <w:top w:val="single" w:color="000000" w:themeColor="text1" w:sz="12" w:space="0"/>
            </w:tcBorders>
          </w:tcPr>
          <w:p w14:paraId="2E096C26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#1</w:t>
            </w:r>
          </w:p>
        </w:tc>
        <w:tc>
          <w:tcPr>
            <w:tcW w:w="851" w:type="dxa"/>
            <w:tcBorders>
              <w:top w:val="single" w:color="000000" w:themeColor="text1" w:sz="12" w:space="0"/>
            </w:tcBorders>
          </w:tcPr>
          <w:p w14:paraId="684B6B26">
            <w:pPr>
              <w:spacing w:after="0" w:line="240" w:lineRule="auto"/>
            </w:pPr>
            <w:r>
              <w:rPr>
                <w:rFonts w:hint="eastAsia"/>
              </w:rPr>
              <w:t>P</w:t>
            </w:r>
          </w:p>
        </w:tc>
        <w:tc>
          <w:tcPr>
            <w:tcW w:w="11348" w:type="dxa"/>
            <w:tcBorders>
              <w:top w:val="single" w:color="000000" w:themeColor="text1" w:sz="12" w:space="0"/>
            </w:tcBorders>
          </w:tcPr>
          <w:p w14:paraId="2F338013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('chronic obstructive lung disease'/exp OR 'copd':ab,ti OR 'chronic obstructive pulmonary disease':ab,ti OR 'chronic bronchitis':ab,ti OR 'emphysema':ab,ti)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AND ('FEV1/FVC &lt;0.70':ab,ti OR 'FEV1 25-80% predicted':ab,ti)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AND ('exacerbation':ab,ti OR 'acute worsening':ab,ti OR 'hospitalization':ab,ti OR 'emergency visit*':ab,ti)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AND ('smoking'/exp OR 'smoking':ab,ti OR 'pack-year':ab,ti OR 'current smoker':ab,ti OR 'former smoker':ab,ti)</w:t>
            </w:r>
          </w:p>
        </w:tc>
      </w:tr>
      <w:tr w14:paraId="45A3F43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1217256E">
            <w:pPr>
              <w:spacing w:after="0" w:line="240" w:lineRule="auto"/>
            </w:pPr>
          </w:p>
        </w:tc>
        <w:tc>
          <w:tcPr>
            <w:tcW w:w="567" w:type="dxa"/>
          </w:tcPr>
          <w:p w14:paraId="3861B175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#2</w:t>
            </w:r>
          </w:p>
        </w:tc>
        <w:tc>
          <w:tcPr>
            <w:tcW w:w="851" w:type="dxa"/>
          </w:tcPr>
          <w:p w14:paraId="16496488">
            <w:pPr>
              <w:spacing w:after="0" w:line="240" w:lineRule="auto"/>
            </w:pPr>
            <w:r>
              <w:rPr>
                <w:rFonts w:hint="eastAsia"/>
              </w:rPr>
              <w:t>I</w:t>
            </w:r>
          </w:p>
        </w:tc>
        <w:tc>
          <w:tcPr>
            <w:tcW w:w="11348" w:type="dxa"/>
          </w:tcPr>
          <w:p w14:paraId="7B0ECF39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('triple therapy':ab,ti OR 'ICS/LAMA/LABA':ab,ti OR 'inhaled corticosteroid':ab,ti OR 'fluticasone furoate':ab,ti OR 'fluticasone propionate':ab,ti OR 'budesonide':ab,ti OR 'vilanterol':ab,ti OR 'umeclidinium':ab,ti OR 'glycopyrrolate':ab,ti OR 'tiotropium':ab,ti OR 'formoterol fumarate':ab,ti)</w:t>
            </w:r>
          </w:p>
        </w:tc>
      </w:tr>
      <w:tr w14:paraId="464D169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9" w:type="dxa"/>
          </w:tcPr>
          <w:p w14:paraId="332C3AF1">
            <w:pPr>
              <w:spacing w:after="0" w:line="240" w:lineRule="auto"/>
            </w:pPr>
          </w:p>
        </w:tc>
        <w:tc>
          <w:tcPr>
            <w:tcW w:w="567" w:type="dxa"/>
          </w:tcPr>
          <w:p w14:paraId="7FF46D3A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#3</w:t>
            </w:r>
          </w:p>
        </w:tc>
        <w:tc>
          <w:tcPr>
            <w:tcW w:w="851" w:type="dxa"/>
          </w:tcPr>
          <w:p w14:paraId="05A61AC2">
            <w:pPr>
              <w:spacing w:after="0" w:line="240" w:lineRule="auto"/>
            </w:pPr>
            <w:r>
              <w:rPr>
                <w:rFonts w:hint="eastAsia"/>
              </w:rPr>
              <w:t>C</w:t>
            </w:r>
          </w:p>
        </w:tc>
        <w:tc>
          <w:tcPr>
            <w:tcW w:w="11348" w:type="dxa"/>
          </w:tcPr>
          <w:p w14:paraId="447A7911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('dual therapy':ab,ti OR 'LABA/LAMA':ab,ti OR 'ICS/LABA':ab,ti OR 'indacaterol':ab,ti OR 'glycopyrronium':ab,ti OR 'salmeterol':ab,ti OR 'formoterol':ab,ti OR 'olodaterol':ab,ti OR 'aclidinium':ab,ti OR 'ipratropium':ab,ti OR 'beclomethasone':ab,ti)</w:t>
            </w:r>
          </w:p>
        </w:tc>
      </w:tr>
      <w:tr w14:paraId="1248A78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7B526065">
            <w:pPr>
              <w:spacing w:after="0" w:line="240" w:lineRule="auto"/>
            </w:pPr>
          </w:p>
        </w:tc>
        <w:tc>
          <w:tcPr>
            <w:tcW w:w="567" w:type="dxa"/>
          </w:tcPr>
          <w:p w14:paraId="77C190E9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#4</w:t>
            </w:r>
          </w:p>
        </w:tc>
        <w:tc>
          <w:tcPr>
            <w:tcW w:w="851" w:type="dxa"/>
          </w:tcPr>
          <w:p w14:paraId="48A14463">
            <w:pPr>
              <w:spacing w:after="0" w:line="240" w:lineRule="auto"/>
            </w:pPr>
            <w:r>
              <w:rPr>
                <w:rFonts w:hint="eastAsia"/>
              </w:rPr>
              <w:t>O</w:t>
            </w:r>
          </w:p>
        </w:tc>
        <w:tc>
          <w:tcPr>
            <w:tcW w:w="11348" w:type="dxa"/>
          </w:tcPr>
          <w:p w14:paraId="10A6496E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('mortality'/exp OR 'mortality':ab,ti OR 'all-cause mortality':ab,ti OR 'cardiovascular mortality':ab,ti</w:t>
            </w:r>
          </w:p>
          <w:p w14:paraId="135A5F0B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OR 'cardiovascular event':ab,ti OR 'myocardial infarction':ab,ti OR 'stroke':ab,ti OR 'arrhythmia':ab,ti</w:t>
            </w:r>
          </w:p>
          <w:p w14:paraId="28D2C50F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OR 'exacerbation rate':ab,ti OR 'hospitalization rate':ab,ti OR 'FEV1 decline':ab,ti OR 'quality of life':ab,ti)</w:t>
            </w:r>
          </w:p>
        </w:tc>
      </w:tr>
      <w:tr w14:paraId="77F645E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2A3FFAAE">
            <w:pPr>
              <w:spacing w:after="0" w:line="240" w:lineRule="auto"/>
            </w:pPr>
          </w:p>
        </w:tc>
        <w:tc>
          <w:tcPr>
            <w:tcW w:w="567" w:type="dxa"/>
          </w:tcPr>
          <w:p w14:paraId="2FD938F8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#5</w:t>
            </w:r>
          </w:p>
        </w:tc>
        <w:tc>
          <w:tcPr>
            <w:tcW w:w="851" w:type="dxa"/>
          </w:tcPr>
          <w:p w14:paraId="7040EA19">
            <w:pPr>
              <w:spacing w:after="0" w:line="240" w:lineRule="auto"/>
            </w:pPr>
            <w:r>
              <w:rPr>
                <w:rFonts w:hint="eastAsia"/>
              </w:rPr>
              <w:t>S</w:t>
            </w:r>
          </w:p>
        </w:tc>
        <w:tc>
          <w:tcPr>
            <w:tcW w:w="11348" w:type="dxa"/>
          </w:tcPr>
          <w:p w14:paraId="1968F561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('randomized controlled trial'/exp OR 'RCT':ab,ti OR 'randomized':ab,ti OR 'randomised':ab,ti OR 'randomly':ab,ti OR 'placebo':ab,ti OR 'control group':ab,ti)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NOT ('review'/exp OR 'meta-analysis'/exp OR 'comment'/exp OR 'editorial'/exp OR 'case report'/exp)</w:t>
            </w:r>
          </w:p>
        </w:tc>
      </w:tr>
      <w:tr w14:paraId="5CF54C5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bottom w:val="single" w:color="000000" w:themeColor="text1" w:sz="12" w:space="0"/>
              <w:tl2br w:val="nil"/>
              <w:tr2bl w:val="nil"/>
            </w:tcBorders>
          </w:tcPr>
          <w:p w14:paraId="289A5B61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‌</w:t>
            </w:r>
          </w:p>
        </w:tc>
        <w:tc>
          <w:tcPr>
            <w:tcW w:w="567" w:type="dxa"/>
            <w:tcBorders>
              <w:bottom w:val="single" w:color="000000" w:themeColor="text1" w:sz="12" w:space="0"/>
              <w:tl2br w:val="nil"/>
              <w:tr2bl w:val="nil"/>
            </w:tcBorders>
          </w:tcPr>
          <w:p w14:paraId="1CF64076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#6</w:t>
            </w:r>
          </w:p>
        </w:tc>
        <w:tc>
          <w:tcPr>
            <w:tcW w:w="851" w:type="dxa"/>
            <w:tcBorders>
              <w:bottom w:val="single" w:color="000000" w:themeColor="text1" w:sz="12" w:space="0"/>
              <w:tl2br w:val="nil"/>
              <w:tr2bl w:val="nil"/>
            </w:tcBorders>
          </w:tcPr>
          <w:p w14:paraId="05864A69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NA</w:t>
            </w:r>
          </w:p>
        </w:tc>
        <w:tc>
          <w:tcPr>
            <w:tcW w:w="11348" w:type="dxa"/>
            <w:tcBorders>
              <w:bottom w:val="single" w:color="000000" w:themeColor="text1" w:sz="12" w:space="0"/>
              <w:tl2br w:val="nil"/>
              <w:tr2bl w:val="nil"/>
            </w:tcBorders>
          </w:tcPr>
          <w:p w14:paraId="2F8C4471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(#1) AND (#2 OR #3) AND (#4) AND (#5)</w:t>
            </w:r>
          </w:p>
          <w:p w14:paraId="72FDCB55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(('chronic obstructive lung disease'/exp OR 'copd'ab,ti) AND ('FEV1/FVC &lt;0.70'ab,ti OR 'FEV1 25-80% predicted'ab,ti) AND ('exacerbation'ab,ti OR 'hospitalization'ab,ti OR 'emergency visit*'ab,ti) AND ('smoking'/exp OR 'pack-year'ab,ti OR 'current smoker'ab,ti) AND ('triple therapy'ab,ti OR 'ICS/LAMA/LABA'ab,ti OR 'dual therapy'ab,ti OR 'LABA/LAMA'ab,ti OR 'fluticasone'ab,ti OR 'budesonide'ab,ti OR 'umeclidinium'ab,ti OR 'tiotropium'ab,ti) AND ('mortality'ab,ti OR 'cardiovascular events'ab,ti OR 'FEV1 decline'ab,ti) AND ('randomized controlled trial'/exp OR 'RCT'ab,ti OR 'randomized'ab,ti)) NOT ('review'/exp OR 'meta-analysis'/exp OR 'comment'/exp)</w:t>
            </w:r>
          </w:p>
        </w:tc>
      </w:tr>
      <w:tr w14:paraId="2CB3C57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single" w:color="000000" w:themeColor="text1" w:sz="12" w:space="0"/>
            </w:tcBorders>
          </w:tcPr>
          <w:p w14:paraId="247EE6E6">
            <w:pPr>
              <w:spacing w:after="0" w:line="240" w:lineRule="auto"/>
            </w:pPr>
            <w:r>
              <w:rPr>
                <w:rFonts w:hint="default" w:ascii="Calibri" w:hAnsi="Calibri" w:cs="Calibri"/>
                <w:b/>
                <w:bCs/>
              </w:rPr>
              <w:t>Cochrane library</w:t>
            </w:r>
          </w:p>
        </w:tc>
        <w:tc>
          <w:tcPr>
            <w:tcW w:w="567" w:type="dxa"/>
            <w:tcBorders>
              <w:top w:val="single" w:color="000000" w:themeColor="text1" w:sz="12" w:space="0"/>
            </w:tcBorders>
          </w:tcPr>
          <w:p w14:paraId="31DB770F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#1</w:t>
            </w:r>
          </w:p>
        </w:tc>
        <w:tc>
          <w:tcPr>
            <w:tcW w:w="851" w:type="dxa"/>
            <w:tcBorders>
              <w:top w:val="single" w:color="000000" w:themeColor="text1" w:sz="12" w:space="0"/>
            </w:tcBorders>
          </w:tcPr>
          <w:p w14:paraId="7C61AF57">
            <w:pPr>
              <w:spacing w:after="0" w:line="240" w:lineRule="auto"/>
            </w:pPr>
            <w:r>
              <w:rPr>
                <w:rFonts w:hint="eastAsia"/>
              </w:rPr>
              <w:t>P</w:t>
            </w:r>
          </w:p>
        </w:tc>
        <w:tc>
          <w:tcPr>
            <w:tcW w:w="11348" w:type="dxa"/>
            <w:tcBorders>
              <w:top w:val="single" w:color="000000" w:themeColor="text1" w:sz="12" w:space="0"/>
            </w:tcBorders>
          </w:tcPr>
          <w:p w14:paraId="0654DEB1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(MH "Pulmonary Disease, Chronic Obstructive" OR "COPD" OR "chronic obstructive pulmonary disease" OR "chronic bronchitis" OR "emphysema")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AND (TI/AB "FEV1/FVC &lt;0.70" OR "FEV1 25-80% predicted")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AND (TI/AB "exacerbation" OR "acute worsening" OR "hospitalization" OR "emergency visit*")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AND (MH "Smoking" OR TI/AB "smoking" OR "pack-year" OR "current smoker" OR "former smoker")</w:t>
            </w:r>
          </w:p>
        </w:tc>
      </w:tr>
      <w:tr w14:paraId="25EA0BC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3DE6F3A1">
            <w:pPr>
              <w:spacing w:after="0" w:line="240" w:lineRule="auto"/>
            </w:pPr>
          </w:p>
        </w:tc>
        <w:tc>
          <w:tcPr>
            <w:tcW w:w="567" w:type="dxa"/>
          </w:tcPr>
          <w:p w14:paraId="485F7842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#2</w:t>
            </w:r>
          </w:p>
        </w:tc>
        <w:tc>
          <w:tcPr>
            <w:tcW w:w="851" w:type="dxa"/>
          </w:tcPr>
          <w:p w14:paraId="2A9BCB2A">
            <w:pPr>
              <w:spacing w:after="0" w:line="240" w:lineRule="auto"/>
            </w:pPr>
            <w:r>
              <w:rPr>
                <w:rFonts w:hint="eastAsia"/>
              </w:rPr>
              <w:t>I</w:t>
            </w:r>
          </w:p>
        </w:tc>
        <w:tc>
          <w:tcPr>
            <w:tcW w:w="11348" w:type="dxa"/>
          </w:tcPr>
          <w:p w14:paraId="732E75F3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(TI/AB "triple therapy" OR "ICS/LAMA/LABA" OR "inhaled corticosteroid" OR "fluticasone furoate" OR "fluticasone propionate" OR "budesonide" OR "vilanterol" OR "umeclidinium" OR "glycopyrrolate" OR "tiotropium" OR "formoterol fumarate")</w:t>
            </w:r>
          </w:p>
        </w:tc>
      </w:tr>
      <w:tr w14:paraId="3DCA606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0400ED99">
            <w:pPr>
              <w:spacing w:after="0" w:line="240" w:lineRule="auto"/>
            </w:pPr>
          </w:p>
        </w:tc>
        <w:tc>
          <w:tcPr>
            <w:tcW w:w="567" w:type="dxa"/>
          </w:tcPr>
          <w:p w14:paraId="77EB6D45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#3</w:t>
            </w:r>
          </w:p>
        </w:tc>
        <w:tc>
          <w:tcPr>
            <w:tcW w:w="851" w:type="dxa"/>
          </w:tcPr>
          <w:p w14:paraId="158055F1">
            <w:pPr>
              <w:spacing w:after="0" w:line="240" w:lineRule="auto"/>
            </w:pPr>
            <w:r>
              <w:rPr>
                <w:rFonts w:hint="eastAsia"/>
              </w:rPr>
              <w:t>C</w:t>
            </w:r>
          </w:p>
        </w:tc>
        <w:tc>
          <w:tcPr>
            <w:tcW w:w="11348" w:type="dxa"/>
          </w:tcPr>
          <w:p w14:paraId="28962615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(TI/AB "dual therapy" OR "LABA/LAMA" OR "ICS/LABA" OR "indacaterol" OR "glycopyrronium" OR "salmeterol" OR "formoterol" OR "olodaterol" OR "aclidinium" OR "ipratropium" OR "beclomethasone")</w:t>
            </w:r>
          </w:p>
        </w:tc>
      </w:tr>
      <w:tr w14:paraId="4014709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764B3C81">
            <w:pPr>
              <w:spacing w:after="0" w:line="240" w:lineRule="auto"/>
            </w:pPr>
          </w:p>
        </w:tc>
        <w:tc>
          <w:tcPr>
            <w:tcW w:w="567" w:type="dxa"/>
          </w:tcPr>
          <w:p w14:paraId="34420E35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#4</w:t>
            </w:r>
          </w:p>
        </w:tc>
        <w:tc>
          <w:tcPr>
            <w:tcW w:w="851" w:type="dxa"/>
          </w:tcPr>
          <w:p w14:paraId="539460D0">
            <w:pPr>
              <w:spacing w:after="0" w:line="240" w:lineRule="auto"/>
            </w:pPr>
            <w:r>
              <w:rPr>
                <w:rFonts w:hint="eastAsia"/>
              </w:rPr>
              <w:t>O</w:t>
            </w:r>
          </w:p>
        </w:tc>
        <w:tc>
          <w:tcPr>
            <w:tcW w:w="11348" w:type="dxa"/>
          </w:tcPr>
          <w:p w14:paraId="13453660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(MH "Mortality" OR TI/AB "mortality" OR "all-cause mortality" OR "cardiovascular mortality"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OR TI/AB "cardiovascular events" OR "myocardial infarction" OR "stroke" OR "arrhythmia"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OR TI/AB "exacerbation rate" OR "hospitalization rate" OR "FEV1 decline" OR "quality of life")</w:t>
            </w:r>
          </w:p>
        </w:tc>
      </w:tr>
      <w:tr w14:paraId="5A1EF12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65CB1138">
            <w:pPr>
              <w:spacing w:after="0" w:line="240" w:lineRule="auto"/>
            </w:pPr>
          </w:p>
        </w:tc>
        <w:tc>
          <w:tcPr>
            <w:tcW w:w="567" w:type="dxa"/>
          </w:tcPr>
          <w:p w14:paraId="782A1469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#5</w:t>
            </w:r>
          </w:p>
        </w:tc>
        <w:tc>
          <w:tcPr>
            <w:tcW w:w="851" w:type="dxa"/>
          </w:tcPr>
          <w:p w14:paraId="0EAD46FA">
            <w:pPr>
              <w:spacing w:after="0" w:line="240" w:lineRule="auto"/>
            </w:pPr>
            <w:r>
              <w:rPr>
                <w:rFonts w:hint="eastAsia"/>
              </w:rPr>
              <w:t>S</w:t>
            </w:r>
          </w:p>
        </w:tc>
        <w:tc>
          <w:tcPr>
            <w:tcW w:w="11348" w:type="dxa"/>
          </w:tcPr>
          <w:p w14:paraId="08B72EB9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(MH "Randomized Controlled Trials" OR TI/AB "RCT" OR "randomized" OR "randomised" OR "randomly" OR "placebo" OR "control group")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NOT (PT "Review" OR "Comment" OR "Editorial" OR "Case Report")</w:t>
            </w:r>
          </w:p>
        </w:tc>
      </w:tr>
      <w:tr w14:paraId="13DBB59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534739F8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‌</w:t>
            </w:r>
          </w:p>
        </w:tc>
        <w:tc>
          <w:tcPr>
            <w:tcW w:w="567" w:type="dxa"/>
          </w:tcPr>
          <w:p w14:paraId="3BB6E718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#6</w:t>
            </w:r>
          </w:p>
        </w:tc>
        <w:tc>
          <w:tcPr>
            <w:tcW w:w="851" w:type="dxa"/>
          </w:tcPr>
          <w:p w14:paraId="5099281E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NA</w:t>
            </w:r>
          </w:p>
        </w:tc>
        <w:tc>
          <w:tcPr>
            <w:tcW w:w="11348" w:type="dxa"/>
          </w:tcPr>
          <w:p w14:paraId="575F5E7C">
            <w:pPr>
              <w:pStyle w:val="7"/>
              <w:bidi w:val="0"/>
              <w:jc w:val="left"/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(#1) AND (#2 OR #3) AND (#4) AND (#5)</w:t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br w:type="textWrapping"/>
            </w:r>
            <w:r>
              <w:rPr>
                <w:rFonts w:hint="default" w:ascii="Calibri" w:hAnsi="Calibri" w:cs="Calibri"/>
                <w:b w:val="0"/>
                <w:bCs w:val="0"/>
                <w:color w:val="auto"/>
                <w:sz w:val="22"/>
                <w:szCs w:val="22"/>
              </w:rPr>
              <w:t>((MH "Pulmonary Disease, Chronic Obstructive" OR TI/AB "COPD") AND (TI/AB "FEV1/FVC &lt;0.70" OR TI/AB "FEV1 25-80% predicted") AND (TI/AB "exacerbation" OR TI/AB "hospitalization" OR TI/AB "emergency visit*") AND (MH "Smoking" OR TI/AB "pack-year" OR TI/AB "current smoker") AND (TI/AB "triple therapy" OR TI/AB "ICS/LAMA/LABA" OR TI/AB "dual therapy" OR TI/AB "LABA/LAMA" OR TI/AB "fluticasone" OR TI/AB "budesonide" OR TI/AB "umeclidinium" OR TI/AB "tiotropium") AND (TI/AB "mortality" OR TI/AB "cardiovascular events" OR TI/AB "FEV1 decline") AND (MH "Randomized Controlled Trials" OR TI/AB "RCT" OR TI/AB "randomized")) NOT (PT "Review" OR PT "Meta-Analysis" OR PT "Comment")</w:t>
            </w:r>
          </w:p>
        </w:tc>
      </w:tr>
    </w:tbl>
    <w:p w14:paraId="752EF73D">
      <w:pPr>
        <w:jc w:val="both"/>
        <w:rPr>
          <w:rFonts w:hint="default" w:ascii="Calibri" w:hAnsi="Calibri" w:cs="Calibri"/>
          <w:sz w:val="22"/>
          <w:szCs w:val="22"/>
          <w:lang w:val="en-US" w:eastAsia="zh-CN"/>
        </w:rPr>
      </w:pPr>
      <w:r>
        <w:rPr>
          <w:rFonts w:hint="default" w:ascii="Calibri" w:hAnsi="Calibri" w:cs="Calibri"/>
          <w:sz w:val="22"/>
          <w:szCs w:val="22"/>
          <w:lang w:val="en-US" w:eastAsia="zh-CN"/>
        </w:rPr>
        <w:t>Abbreviation: NA, not applicable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4EE"/>
    <w:rsid w:val="00051687"/>
    <w:rsid w:val="00077FD6"/>
    <w:rsid w:val="00291754"/>
    <w:rsid w:val="00367CA1"/>
    <w:rsid w:val="003D199C"/>
    <w:rsid w:val="004118A5"/>
    <w:rsid w:val="004E345A"/>
    <w:rsid w:val="005121D2"/>
    <w:rsid w:val="00516457"/>
    <w:rsid w:val="00523ACA"/>
    <w:rsid w:val="0055345B"/>
    <w:rsid w:val="0066532F"/>
    <w:rsid w:val="0073501E"/>
    <w:rsid w:val="00757B9E"/>
    <w:rsid w:val="007B4983"/>
    <w:rsid w:val="008564EE"/>
    <w:rsid w:val="008835D2"/>
    <w:rsid w:val="008A6A4E"/>
    <w:rsid w:val="009120BD"/>
    <w:rsid w:val="00AF0B20"/>
    <w:rsid w:val="00BA5D07"/>
    <w:rsid w:val="00CB6CFD"/>
    <w:rsid w:val="00D31039"/>
    <w:rsid w:val="00DD4511"/>
    <w:rsid w:val="00DE73DE"/>
    <w:rsid w:val="00E7397E"/>
    <w:rsid w:val="00F35C8C"/>
    <w:rsid w:val="04B35139"/>
    <w:rsid w:val="04B36EE7"/>
    <w:rsid w:val="04D01847"/>
    <w:rsid w:val="07830F22"/>
    <w:rsid w:val="08167EB9"/>
    <w:rsid w:val="0AFD0EBC"/>
    <w:rsid w:val="0DAE2941"/>
    <w:rsid w:val="0DB32475"/>
    <w:rsid w:val="117A3266"/>
    <w:rsid w:val="157601E9"/>
    <w:rsid w:val="170B4961"/>
    <w:rsid w:val="17B46DA6"/>
    <w:rsid w:val="195626D2"/>
    <w:rsid w:val="1AE856E5"/>
    <w:rsid w:val="22F56BF1"/>
    <w:rsid w:val="240834CF"/>
    <w:rsid w:val="248A0515"/>
    <w:rsid w:val="24C0322E"/>
    <w:rsid w:val="250749B9"/>
    <w:rsid w:val="28520641"/>
    <w:rsid w:val="28A6273B"/>
    <w:rsid w:val="292813A2"/>
    <w:rsid w:val="29D53FC7"/>
    <w:rsid w:val="2C6F41C6"/>
    <w:rsid w:val="2FCB3ECD"/>
    <w:rsid w:val="3095556F"/>
    <w:rsid w:val="30F7099D"/>
    <w:rsid w:val="32110C25"/>
    <w:rsid w:val="325F384F"/>
    <w:rsid w:val="339C09C3"/>
    <w:rsid w:val="359D0A22"/>
    <w:rsid w:val="395064D7"/>
    <w:rsid w:val="3B4B072E"/>
    <w:rsid w:val="444A6219"/>
    <w:rsid w:val="45EF0E26"/>
    <w:rsid w:val="463158E2"/>
    <w:rsid w:val="46D771B4"/>
    <w:rsid w:val="48480CC1"/>
    <w:rsid w:val="48C742DC"/>
    <w:rsid w:val="49BF4FB3"/>
    <w:rsid w:val="4A7D4C52"/>
    <w:rsid w:val="4C0767FA"/>
    <w:rsid w:val="4C516396"/>
    <w:rsid w:val="4EA84268"/>
    <w:rsid w:val="4F9F38BD"/>
    <w:rsid w:val="521F0CE5"/>
    <w:rsid w:val="53F02939"/>
    <w:rsid w:val="541D1254"/>
    <w:rsid w:val="55E73121"/>
    <w:rsid w:val="574254AD"/>
    <w:rsid w:val="578A4E52"/>
    <w:rsid w:val="5B7200D7"/>
    <w:rsid w:val="5BA70114"/>
    <w:rsid w:val="5E133B66"/>
    <w:rsid w:val="5E1F71EF"/>
    <w:rsid w:val="5E435D5B"/>
    <w:rsid w:val="62854AC2"/>
    <w:rsid w:val="62C31218"/>
    <w:rsid w:val="6AC65D4A"/>
    <w:rsid w:val="6C1A634D"/>
    <w:rsid w:val="6ECF6A6C"/>
    <w:rsid w:val="6FF70753"/>
    <w:rsid w:val="703674CE"/>
    <w:rsid w:val="711769CD"/>
    <w:rsid w:val="71493231"/>
    <w:rsid w:val="725105EF"/>
    <w:rsid w:val="732E0930"/>
    <w:rsid w:val="74F6547D"/>
    <w:rsid w:val="757C387A"/>
    <w:rsid w:val="75A9166E"/>
    <w:rsid w:val="76065B94"/>
    <w:rsid w:val="7940316B"/>
    <w:rsid w:val="79907C4E"/>
    <w:rsid w:val="7CD1514E"/>
    <w:rsid w:val="7DDF11A4"/>
    <w:rsid w:val="7F1D40F2"/>
    <w:rsid w:val="7F671451"/>
    <w:rsid w:val="7F9D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svg"/><Relationship Id="rId8" Type="http://schemas.openxmlformats.org/officeDocument/2006/relationships/image" Target="media/image3.png"/><Relationship Id="rId7" Type="http://schemas.openxmlformats.org/officeDocument/2006/relationships/image" Target="media/image2.sv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4" Type="http://schemas.openxmlformats.org/officeDocument/2006/relationships/fontTable" Target="fontTable.xml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sv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sv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1042</Words>
  <Characters>7492</Characters>
  <Lines>5</Lines>
  <Paragraphs>1</Paragraphs>
  <TotalTime>5</TotalTime>
  <ScaleCrop>false</ScaleCrop>
  <LinksUpToDate>false</LinksUpToDate>
  <CharactersWithSpaces>8435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2025-02-23T13:43:00Z</dcterms:created>
  <dc:creator>禹兵 李</dc:creator>
  <cp:lastModifiedBy>长江</cp:lastModifiedBy>
  <dcterms:modified xsi:type="dcterms:W3CDTF">2025-05-12T13:10:59Z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eyJoZGlkIjoiYjgyOGQyODI3NTAyMDJjYmRjZmFkZWE1NDI5Y2Q4NDIiLCJ1c2VySWQiOiIyOTU4NzM5NTUifQ==</vt:lpwstr>
  </property>
  <property fmtid="{D5CDD505-2E9C-101B-9397-08002B2CF9AE}" pid="3" name="KSOProductBuildVer">
    <vt:lpwstr>2052-12.1.0.20784</vt:lpwstr>
  </property>
  <property fmtid="{D5CDD505-2E9C-101B-9397-08002B2CF9AE}" pid="4" name="ICV">
    <vt:lpwstr>DA1D52AF3A74410AA9958F4829855631_12</vt:lpwstr>
  </property>
</Properties>
</file>