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452" w:type="dxa"/>
        <w:tblInd w:w="-380" w:type="dxa"/>
        <w:tblLayout w:type="fixed"/>
        <w:tblCellMar>
          <w:top w:w="0" w:type="dxa"/>
          <w:left w:w="108" w:type="dxa"/>
          <w:bottom w:w="0" w:type="dxa"/>
          <w:right w:w="108" w:type="dxa"/>
        </w:tblCellMar>
      </w:tblPr>
      <w:tblGrid>
        <w:gridCol w:w="614"/>
        <w:gridCol w:w="1706"/>
        <w:gridCol w:w="5201"/>
        <w:gridCol w:w="1070"/>
        <w:gridCol w:w="6861"/>
      </w:tblGrid>
      <w:tr>
        <w:tblPrEx>
          <w:tblCellMar>
            <w:top w:w="0" w:type="dxa"/>
            <w:left w:w="108" w:type="dxa"/>
            <w:bottom w:w="0" w:type="dxa"/>
            <w:right w:w="108" w:type="dxa"/>
          </w:tblCellMar>
        </w:tblPrEx>
        <w:tc>
          <w:tcPr>
            <w:tcW w:w="614" w:type="dxa"/>
            <w:tcBorders>
              <w:top w:val="single" w:color="auto" w:sz="4" w:space="0"/>
              <w:bottom w:val="single" w:color="7F7F7F" w:sz="6" w:space="0"/>
            </w:tcBorders>
            <w:shd w:val="clear" w:color="auto" w:fill="auto"/>
          </w:tcPr>
          <w:p>
            <w:pPr>
              <w:spacing w:before="127" w:beforeLines="40" w:after="127" w:afterLines="40" w:line="24" w:lineRule="atLeast"/>
              <w:rPr>
                <w:rFonts w:ascii="Times New Roman" w:hAnsi="Times New Roman" w:eastAsia="Cambria"/>
                <w:b/>
                <w:bCs/>
                <w:color w:val="000000" w:themeColor="text1"/>
                <w:sz w:val="18"/>
                <w:szCs w:val="18"/>
                <w:lang w:val="en-GB" w:eastAsia="en-US"/>
                <w14:textFill>
                  <w14:solidFill>
                    <w14:schemeClr w14:val="tx1"/>
                  </w14:solidFill>
                </w14:textFill>
              </w:rPr>
            </w:pPr>
            <w:r>
              <w:rPr>
                <w:sz w:val="18"/>
              </w:rPr>
              <mc:AlternateContent>
                <mc:Choice Requires="wps">
                  <w:drawing>
                    <wp:anchor distT="0" distB="0" distL="114300" distR="114300" simplePos="0" relativeHeight="251659264" behindDoc="0" locked="0" layoutInCell="1" allowOverlap="1">
                      <wp:simplePos x="0" y="0"/>
                      <wp:positionH relativeFrom="column">
                        <wp:posOffset>-60960</wp:posOffset>
                      </wp:positionH>
                      <wp:positionV relativeFrom="paragraph">
                        <wp:posOffset>-345440</wp:posOffset>
                      </wp:positionV>
                      <wp:extent cx="7315200" cy="318135"/>
                      <wp:effectExtent l="4445" t="4445" r="10795" b="12700"/>
                      <wp:wrapNone/>
                      <wp:docPr id="1" name="文本框 1"/>
                      <wp:cNvGraphicFramePr/>
                      <a:graphic xmlns:a="http://schemas.openxmlformats.org/drawingml/2006/main">
                        <a:graphicData uri="http://schemas.microsoft.com/office/word/2010/wordprocessingShape">
                          <wps:wsp>
                            <wps:cNvSpPr txBox="1"/>
                            <wps:spPr>
                              <a:xfrm>
                                <a:off x="937260" y="866140"/>
                                <a:ext cx="7315200" cy="318135"/>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eastAsia="Times New Roman"/>
                                      <w:bCs/>
                                      <w:color w:val="000000" w:themeColor="text1"/>
                                      <w:sz w:val="18"/>
                                      <w:szCs w:val="18"/>
                                      <w:lang w:eastAsia="en-GB"/>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Table S</w:t>
                                  </w:r>
                                  <w:r>
                                    <w:rPr>
                                      <w:rFonts w:hint="eastAsia" w:ascii="Times New Roman" w:hAnsi="Times New Roman"/>
                                      <w:b/>
                                      <w:bCs/>
                                      <w:color w:val="000000" w:themeColor="text1"/>
                                      <w:sz w:val="18"/>
                                      <w:szCs w:val="18"/>
                                      <w14:textFill>
                                        <w14:solidFill>
                                          <w14:schemeClr w14:val="tx1"/>
                                        </w14:solidFill>
                                      </w14:textFill>
                                    </w:rPr>
                                    <w:t>1</w:t>
                                  </w:r>
                                  <w:r>
                                    <w:rPr>
                                      <w:rFonts w:ascii="Times New Roman" w:hAnsi="Times New Roman"/>
                                      <w:b/>
                                      <w:bCs/>
                                      <w:color w:val="000000" w:themeColor="text1"/>
                                      <w:sz w:val="18"/>
                                      <w:szCs w:val="18"/>
                                      <w14:textFill>
                                        <w14:solidFill>
                                          <w14:schemeClr w14:val="tx1"/>
                                        </w14:solidFill>
                                      </w14:textFill>
                                    </w:rPr>
                                    <w:t>.</w:t>
                                  </w:r>
                                  <w:r>
                                    <w:rPr>
                                      <w:rFonts w:ascii="Times New Roman" w:hAnsi="Times New Roman"/>
                                      <w:color w:val="000000" w:themeColor="text1"/>
                                      <w:sz w:val="18"/>
                                      <w:szCs w:val="18"/>
                                      <w14:textFill>
                                        <w14:solidFill>
                                          <w14:schemeClr w14:val="tx1"/>
                                        </w14:solidFill>
                                      </w14:textFill>
                                    </w:rPr>
                                    <w:t xml:space="preserve"> </w:t>
                                  </w:r>
                                  <w:r>
                                    <w:rPr>
                                      <w:rFonts w:hint="eastAsia" w:ascii="Times New Roman" w:hAnsi="Times New Roman" w:eastAsiaTheme="minorEastAsia"/>
                                      <w:color w:val="000000" w:themeColor="text1"/>
                                      <w:sz w:val="18"/>
                                      <w:szCs w:val="18"/>
                                      <w14:textFill>
                                        <w14:solidFill>
                                          <w14:schemeClr w14:val="tx1"/>
                                        </w14:solidFill>
                                      </w14:textFill>
                                    </w:rPr>
                                    <w:t>Self-inspection results of STROBE-MR checklist</w:t>
                                  </w:r>
                                  <w:r>
                                    <w:rPr>
                                      <w:rFonts w:ascii="Times New Roman" w:hAnsi="Times New Roman" w:eastAsia="Times New Roman"/>
                                      <w:bCs/>
                                      <w:color w:val="000000" w:themeColor="text1"/>
                                      <w:sz w:val="18"/>
                                      <w:szCs w:val="18"/>
                                      <w:lang w:eastAsia="en-GB"/>
                                      <w14:textFill>
                                        <w14:solidFill>
                                          <w14:schemeClr w14:val="tx1"/>
                                        </w14:solidFill>
                                      </w14:textFill>
                                    </w:rPr>
                                    <w:t xml:space="preserve"> of recommended items to address in reports of Mendelian randomization studies</w:t>
                                  </w:r>
                                  <w:r>
                                    <w:rPr>
                                      <w:rFonts w:hint="eastAsia" w:ascii="Times New Roman" w:hAnsi="Times New Roman" w:eastAsia="宋体"/>
                                      <w:bCs/>
                                      <w:color w:val="000000" w:themeColor="text1"/>
                                      <w:sz w:val="18"/>
                                      <w:szCs w:val="18"/>
                                      <w:lang w:val="en-US" w:eastAsia="zh-CN"/>
                                      <w14:textFill>
                                        <w14:solidFill>
                                          <w14:schemeClr w14:val="tx1"/>
                                        </w14:solidFill>
                                      </w14:textFill>
                                    </w:rPr>
                                    <w:t>[1]</w:t>
                                  </w:r>
                                  <w:r>
                                    <w:rPr>
                                      <w:rFonts w:ascii="Times New Roman" w:hAnsi="Times New Roman" w:eastAsia="Times New Roman"/>
                                      <w:bCs/>
                                      <w:color w:val="000000" w:themeColor="text1"/>
                                      <w:sz w:val="18"/>
                                      <w:szCs w:val="18"/>
                                      <w:lang w:eastAsia="en-GB"/>
                                      <w14:textFill>
                                        <w14:solidFill>
                                          <w14:schemeClr w14:val="tx1"/>
                                        </w14:solidFill>
                                      </w14:textFill>
                                    </w:rPr>
                                    <w:t xml:space="preserve"> </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pt;margin-top:-27.2pt;height:25.05pt;width:576pt;z-index:251659264;mso-width-relative:page;mso-height-relative:page;" fillcolor="#FFFFFF [3201]" filled="t" stroked="t" coordsize="21600,21600" o:gfxdata="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l+&#10;9dkAAAAJAQAADwAAAAAAAAABACAAAAAiAAAAZHJzL2Rvd25yZXYueG1sUEsBAhQAFAAAAAgAh07i&#10;QM8Vg59aAgAAwgQAAA4AAAAAAAAAAQAgAAAAKAEAAGRycy9lMm9Eb2MueG1sUEsFBgAAAAAGAAYA&#10;WQEAAPQFAAAAAA==&#10;">
                      <v:fill on="t" focussize="0,0"/>
                      <v:stroke weight="0.5pt" color="#FFFFFF [3212]" joinstyle="round"/>
                      <v:imagedata o:title=""/>
                      <o:lock v:ext="edit" aspectratio="f"/>
                      <v:textbox>
                        <w:txbxContent>
                          <w:p>
                            <w:pPr>
                              <w:rPr>
                                <w:rFonts w:ascii="Times New Roman" w:hAnsi="Times New Roman" w:eastAsia="Times New Roman"/>
                                <w:bCs/>
                                <w:color w:val="000000" w:themeColor="text1"/>
                                <w:sz w:val="18"/>
                                <w:szCs w:val="18"/>
                                <w:lang w:eastAsia="en-GB"/>
                                <w14:textFill>
                                  <w14:solidFill>
                                    <w14:schemeClr w14:val="tx1"/>
                                  </w14:solidFill>
                                </w14:textFill>
                              </w:rPr>
                            </w:pPr>
                            <w:r>
                              <w:rPr>
                                <w:rFonts w:ascii="Times New Roman" w:hAnsi="Times New Roman"/>
                                <w:b/>
                                <w:bCs/>
                                <w:color w:val="000000" w:themeColor="text1"/>
                                <w:sz w:val="18"/>
                                <w:szCs w:val="18"/>
                                <w14:textFill>
                                  <w14:solidFill>
                                    <w14:schemeClr w14:val="tx1"/>
                                  </w14:solidFill>
                                </w14:textFill>
                              </w:rPr>
                              <w:t>Table S</w:t>
                            </w:r>
                            <w:r>
                              <w:rPr>
                                <w:rFonts w:hint="eastAsia" w:ascii="Times New Roman" w:hAnsi="Times New Roman"/>
                                <w:b/>
                                <w:bCs/>
                                <w:color w:val="000000" w:themeColor="text1"/>
                                <w:sz w:val="18"/>
                                <w:szCs w:val="18"/>
                                <w14:textFill>
                                  <w14:solidFill>
                                    <w14:schemeClr w14:val="tx1"/>
                                  </w14:solidFill>
                                </w14:textFill>
                              </w:rPr>
                              <w:t>1</w:t>
                            </w:r>
                            <w:r>
                              <w:rPr>
                                <w:rFonts w:ascii="Times New Roman" w:hAnsi="Times New Roman"/>
                                <w:b/>
                                <w:bCs/>
                                <w:color w:val="000000" w:themeColor="text1"/>
                                <w:sz w:val="18"/>
                                <w:szCs w:val="18"/>
                                <w14:textFill>
                                  <w14:solidFill>
                                    <w14:schemeClr w14:val="tx1"/>
                                  </w14:solidFill>
                                </w14:textFill>
                              </w:rPr>
                              <w:t>.</w:t>
                            </w:r>
                            <w:r>
                              <w:rPr>
                                <w:rFonts w:ascii="Times New Roman" w:hAnsi="Times New Roman"/>
                                <w:color w:val="000000" w:themeColor="text1"/>
                                <w:sz w:val="18"/>
                                <w:szCs w:val="18"/>
                                <w14:textFill>
                                  <w14:solidFill>
                                    <w14:schemeClr w14:val="tx1"/>
                                  </w14:solidFill>
                                </w14:textFill>
                              </w:rPr>
                              <w:t xml:space="preserve"> </w:t>
                            </w:r>
                            <w:r>
                              <w:rPr>
                                <w:rFonts w:hint="eastAsia" w:ascii="Times New Roman" w:hAnsi="Times New Roman" w:eastAsiaTheme="minorEastAsia"/>
                                <w:color w:val="000000" w:themeColor="text1"/>
                                <w:sz w:val="18"/>
                                <w:szCs w:val="18"/>
                                <w14:textFill>
                                  <w14:solidFill>
                                    <w14:schemeClr w14:val="tx1"/>
                                  </w14:solidFill>
                                </w14:textFill>
                              </w:rPr>
                              <w:t>Self-inspection results of STROBE-MR checklist</w:t>
                            </w:r>
                            <w:r>
                              <w:rPr>
                                <w:rFonts w:ascii="Times New Roman" w:hAnsi="Times New Roman" w:eastAsia="Times New Roman"/>
                                <w:bCs/>
                                <w:color w:val="000000" w:themeColor="text1"/>
                                <w:sz w:val="18"/>
                                <w:szCs w:val="18"/>
                                <w:lang w:eastAsia="en-GB"/>
                                <w14:textFill>
                                  <w14:solidFill>
                                    <w14:schemeClr w14:val="tx1"/>
                                  </w14:solidFill>
                                </w14:textFill>
                              </w:rPr>
                              <w:t xml:space="preserve"> of recommended items to address in reports of Mendelian randomization studies</w:t>
                            </w:r>
                            <w:r>
                              <w:rPr>
                                <w:rFonts w:hint="eastAsia" w:ascii="Times New Roman" w:hAnsi="Times New Roman" w:eastAsia="宋体"/>
                                <w:bCs/>
                                <w:color w:val="000000" w:themeColor="text1"/>
                                <w:sz w:val="18"/>
                                <w:szCs w:val="18"/>
                                <w:lang w:val="en-US" w:eastAsia="zh-CN"/>
                                <w14:textFill>
                                  <w14:solidFill>
                                    <w14:schemeClr w14:val="tx1"/>
                                  </w14:solidFill>
                                </w14:textFill>
                              </w:rPr>
                              <w:t>[1]</w:t>
                            </w:r>
                            <w:r>
                              <w:rPr>
                                <w:rFonts w:ascii="Times New Roman" w:hAnsi="Times New Roman" w:eastAsia="Times New Roman"/>
                                <w:bCs/>
                                <w:color w:val="000000" w:themeColor="text1"/>
                                <w:sz w:val="18"/>
                                <w:szCs w:val="18"/>
                                <w:lang w:eastAsia="en-GB"/>
                                <w14:textFill>
                                  <w14:solidFill>
                                    <w14:schemeClr w14:val="tx1"/>
                                  </w14:solidFill>
                                </w14:textFill>
                              </w:rPr>
                              <w:t xml:space="preserve"> </w:t>
                            </w:r>
                          </w:p>
                          <w:p/>
                        </w:txbxContent>
                      </v:textbox>
                    </v:shape>
                  </w:pict>
                </mc:Fallback>
              </mc:AlternateContent>
            </w:r>
            <w:r>
              <w:rPr>
                <w:rFonts w:ascii="Times New Roman" w:hAnsi="Times New Roman" w:eastAsia="Cambria"/>
                <w:b/>
                <w:bCs/>
                <w:color w:val="000000" w:themeColor="text1"/>
                <w:sz w:val="18"/>
                <w:szCs w:val="18"/>
                <w:lang w:val="en-GB" w:eastAsia="en-US"/>
                <w14:textFill>
                  <w14:solidFill>
                    <w14:schemeClr w14:val="tx1"/>
                  </w14:solidFill>
                </w14:textFill>
              </w:rPr>
              <w:t>Item No.</w:t>
            </w:r>
          </w:p>
        </w:tc>
        <w:tc>
          <w:tcPr>
            <w:tcW w:w="1706" w:type="dxa"/>
            <w:tcBorders>
              <w:top w:val="single" w:color="auto" w:sz="4" w:space="0"/>
              <w:bottom w:val="single" w:color="7F7F7F" w:sz="6" w:space="0"/>
            </w:tcBorders>
            <w:shd w:val="clear" w:color="auto" w:fill="auto"/>
          </w:tcPr>
          <w:p>
            <w:pPr>
              <w:spacing w:before="127" w:beforeLines="40" w:after="127" w:afterLines="40" w:line="24" w:lineRule="atLeast"/>
              <w:rPr>
                <w:rFonts w:ascii="Times New Roman" w:hAnsi="Times New Roman" w:eastAsia="Cambria"/>
                <w:b w:val="0"/>
                <w:bCs w:val="0"/>
                <w:color w:val="000000" w:themeColor="text1"/>
                <w:sz w:val="18"/>
                <w:szCs w:val="18"/>
                <w:lang w:val="en-GB" w:eastAsia="en-US"/>
                <w14:textFill>
                  <w14:solidFill>
                    <w14:schemeClr w14:val="tx1"/>
                  </w14:solidFill>
                </w14:textFill>
              </w:rPr>
            </w:pPr>
            <w:r>
              <w:rPr>
                <w:rFonts w:ascii="Times New Roman" w:hAnsi="Times New Roman" w:eastAsia="Cambria"/>
                <w:b/>
                <w:bCs/>
                <w:color w:val="000000" w:themeColor="text1"/>
                <w:sz w:val="18"/>
                <w:szCs w:val="18"/>
                <w:lang w:val="en-GB" w:eastAsia="en-US"/>
                <w14:textFill>
                  <w14:solidFill>
                    <w14:schemeClr w14:val="tx1"/>
                  </w14:solidFill>
                </w14:textFill>
              </w:rPr>
              <w:t>Section</w:t>
            </w:r>
          </w:p>
        </w:tc>
        <w:tc>
          <w:tcPr>
            <w:tcW w:w="5201" w:type="dxa"/>
            <w:tcBorders>
              <w:top w:val="single" w:color="auto" w:sz="4" w:space="0"/>
              <w:bottom w:val="single" w:color="7F7F7F" w:sz="6" w:space="0"/>
            </w:tcBorders>
            <w:shd w:val="clear" w:color="auto" w:fill="auto"/>
          </w:tcPr>
          <w:p>
            <w:pPr>
              <w:spacing w:before="127" w:beforeLines="40" w:after="127" w:afterLines="40" w:line="24" w:lineRule="atLeast"/>
              <w:rPr>
                <w:rFonts w:ascii="Times New Roman" w:hAnsi="Times New Roman" w:eastAsia="Cambria"/>
                <w:b/>
                <w:bCs/>
                <w:color w:val="000000" w:themeColor="text1"/>
                <w:sz w:val="18"/>
                <w:szCs w:val="18"/>
                <w:lang w:val="en-GB" w:eastAsia="en-US"/>
                <w14:textFill>
                  <w14:solidFill>
                    <w14:schemeClr w14:val="tx1"/>
                  </w14:solidFill>
                </w14:textFill>
              </w:rPr>
            </w:pPr>
            <w:r>
              <w:rPr>
                <w:rFonts w:ascii="Times New Roman" w:hAnsi="Times New Roman" w:eastAsia="Cambria"/>
                <w:b/>
                <w:bCs/>
                <w:color w:val="000000" w:themeColor="text1"/>
                <w:sz w:val="18"/>
                <w:szCs w:val="18"/>
                <w:lang w:val="en-GB" w:eastAsia="en-US"/>
                <w14:textFill>
                  <w14:solidFill>
                    <w14:schemeClr w14:val="tx1"/>
                  </w14:solidFill>
                </w14:textFill>
              </w:rPr>
              <w:t xml:space="preserve">Checklist item </w:t>
            </w:r>
          </w:p>
        </w:tc>
        <w:tc>
          <w:tcPr>
            <w:tcW w:w="1070" w:type="dxa"/>
            <w:tcBorders>
              <w:top w:val="single" w:color="auto" w:sz="4" w:space="0"/>
              <w:bottom w:val="single" w:color="7F7F7F" w:sz="6" w:space="0"/>
            </w:tcBorders>
          </w:tcPr>
          <w:p>
            <w:pPr>
              <w:spacing w:before="127" w:beforeLines="40" w:after="127" w:afterLines="40" w:line="24" w:lineRule="atLeast"/>
              <w:rPr>
                <w:rFonts w:ascii="Times New Roman" w:hAnsi="Times New Roman" w:eastAsia="Cambria"/>
                <w:b/>
                <w:bCs/>
                <w:color w:val="000000" w:themeColor="text1"/>
                <w:sz w:val="18"/>
                <w:szCs w:val="18"/>
                <w:lang w:val="en-GB" w:eastAsia="en-US"/>
                <w14:textFill>
                  <w14:solidFill>
                    <w14:schemeClr w14:val="tx1"/>
                  </w14:solidFill>
                </w14:textFill>
              </w:rPr>
            </w:pPr>
            <w:r>
              <w:rPr>
                <w:rFonts w:ascii="Times New Roman" w:hAnsi="Times New Roman" w:eastAsia="Cambria"/>
                <w:b/>
                <w:bCs/>
                <w:color w:val="000000" w:themeColor="text1"/>
                <w:sz w:val="18"/>
                <w:szCs w:val="18"/>
                <w:lang w:val="en-GB" w:eastAsia="en-US"/>
                <w14:textFill>
                  <w14:solidFill>
                    <w14:schemeClr w14:val="tx1"/>
                  </w14:solidFill>
                </w14:textFill>
              </w:rPr>
              <w:t>Page No.</w:t>
            </w:r>
          </w:p>
        </w:tc>
        <w:tc>
          <w:tcPr>
            <w:tcW w:w="6861" w:type="dxa"/>
            <w:tcBorders>
              <w:top w:val="single" w:color="auto" w:sz="4" w:space="0"/>
              <w:bottom w:val="single" w:color="7F7F7F" w:sz="6" w:space="0"/>
            </w:tcBorders>
          </w:tcPr>
          <w:p>
            <w:pPr>
              <w:spacing w:before="127" w:beforeLines="40" w:after="127" w:afterLines="40" w:line="24" w:lineRule="atLeast"/>
              <w:rPr>
                <w:rFonts w:ascii="Times New Roman" w:hAnsi="Times New Roman" w:eastAsia="Cambria"/>
                <w:b/>
                <w:bCs/>
                <w:color w:val="000000" w:themeColor="text1"/>
                <w:sz w:val="18"/>
                <w:szCs w:val="18"/>
                <w:lang w:val="en-GB" w:eastAsia="en-US"/>
                <w14:textFill>
                  <w14:solidFill>
                    <w14:schemeClr w14:val="tx1"/>
                  </w14:solidFill>
                </w14:textFill>
              </w:rPr>
            </w:pPr>
            <w:r>
              <w:rPr>
                <w:rFonts w:ascii="Times New Roman" w:hAnsi="Times New Roman" w:eastAsia="Cambria"/>
                <w:b/>
                <w:bCs/>
                <w:color w:val="000000" w:themeColor="text1"/>
                <w:sz w:val="18"/>
                <w:szCs w:val="18"/>
                <w:lang w:val="en-GB" w:eastAsia="en-US"/>
                <w14:textFill>
                  <w14:solidFill>
                    <w14:schemeClr w14:val="tx1"/>
                  </w14:solidFill>
                </w14:textFill>
              </w:rPr>
              <w:t>Relevant text from manuscript</w:t>
            </w:r>
          </w:p>
        </w:tc>
      </w:tr>
      <w:tr>
        <w:tblPrEx>
          <w:tblCellMar>
            <w:top w:w="0" w:type="dxa"/>
            <w:left w:w="108" w:type="dxa"/>
            <w:bottom w:w="0" w:type="dxa"/>
            <w:right w:w="108" w:type="dxa"/>
          </w:tblCellMar>
        </w:tblPrEx>
        <w:tc>
          <w:tcPr>
            <w:tcW w:w="614" w:type="dxa"/>
            <w:tcBorders>
              <w:top w:val="single" w:color="7F7F7F" w:sz="6" w:space="0"/>
              <w:bottom w:val="single" w:color="7F7F7F" w:sz="6" w:space="0"/>
            </w:tcBorders>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w:t>
            </w:r>
          </w:p>
        </w:tc>
        <w:tc>
          <w:tcPr>
            <w:tcW w:w="1706" w:type="dxa"/>
            <w:tcBorders>
              <w:top w:val="single" w:color="7F7F7F" w:sz="6" w:space="0"/>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TITLE and ABSTRACT</w:t>
            </w:r>
          </w:p>
        </w:tc>
        <w:tc>
          <w:tcPr>
            <w:tcW w:w="5201" w:type="dxa"/>
            <w:tcBorders>
              <w:top w:val="single" w:color="7F7F7F" w:sz="6" w:space="0"/>
              <w:bottom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Indicate Mendelian randomization (MR) as the study’s design in the title and/or the abstract if that is a main purpose of the study</w:t>
            </w:r>
          </w:p>
        </w:tc>
        <w:tc>
          <w:tcPr>
            <w:tcW w:w="1070" w:type="dxa"/>
            <w:tcBorders>
              <w:top w:val="single" w:color="7F7F7F" w:sz="6" w:space="0"/>
              <w:bottom w:val="single" w:color="7F7F7F" w:sz="6" w:space="0"/>
            </w:tcBorders>
            <w:shd w:val="clear" w:color="auto" w:fill="EEEEEE"/>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1</w:t>
            </w:r>
          </w:p>
        </w:tc>
        <w:tc>
          <w:tcPr>
            <w:tcW w:w="6861" w:type="dxa"/>
            <w:tcBorders>
              <w:top w:val="single" w:color="7F7F7F" w:sz="6" w:space="0"/>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Causal relationship between gut microbiota and pneumonia (critical care): a Mendelian and clinical investigation study</w:t>
            </w:r>
          </w:p>
        </w:tc>
      </w:tr>
      <w:tr>
        <w:tblPrEx>
          <w:tblCellMar>
            <w:top w:w="0" w:type="dxa"/>
            <w:left w:w="108" w:type="dxa"/>
            <w:bottom w:w="0" w:type="dxa"/>
            <w:right w:w="108" w:type="dxa"/>
          </w:tblCellMar>
        </w:tblPrEx>
        <w:tc>
          <w:tcPr>
            <w:tcW w:w="614"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p>
        </w:tc>
        <w:tc>
          <w:tcPr>
            <w:tcW w:w="1706"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INTRODUCTION</w:t>
            </w:r>
          </w:p>
        </w:tc>
        <w:tc>
          <w:tcPr>
            <w:tcW w:w="5201" w:type="dxa"/>
            <w:tcBorders>
              <w:top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2</w:t>
            </w:r>
          </w:p>
        </w:tc>
        <w:tc>
          <w:tcPr>
            <w:tcW w:w="1706"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Background</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Explain the scientific background and rationale for the reported study. What is the exposure? Is a potential causal relationship between exposure and outcome plausible? Justify why MR is a helpful method to address the study question</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2-3</w:t>
            </w:r>
          </w:p>
        </w:tc>
        <w:tc>
          <w:tcPr>
            <w:tcW w:w="6861" w:type="dxa"/>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The link between the gut microbiome and lung diseases has garnered considerable attention, as evidenced by recent studies , which have highlighted the potential of the gut-lung axis</w:t>
            </w:r>
            <w:r>
              <w:rPr>
                <w:rFonts w:hint="eastAsia" w:ascii="Times New Roman" w:hAnsi="Times New Roman" w:eastAsia="宋体"/>
                <w:color w:val="000000" w:themeColor="text1"/>
                <w:sz w:val="18"/>
                <w:szCs w:val="18"/>
                <w:lang w:val="en-US" w:eastAsia="zh-CN"/>
                <w14:textFill>
                  <w14:solidFill>
                    <w14:schemeClr w14:val="tx1"/>
                  </w14:solidFill>
                </w14:textFill>
              </w:rPr>
              <w:t>.</w:t>
            </w:r>
          </w:p>
          <w:p>
            <w:pPr>
              <w:spacing w:before="127" w:beforeLines="40" w:after="127" w:afterLines="40" w:line="24" w:lineRule="atLeast"/>
              <w:rPr>
                <w:rFonts w:hint="default" w:ascii="Times New Roman" w:hAnsi="Times New Roman" w:eastAsia="等线" w:cs="Times New Roman"/>
                <w:sz w:val="18"/>
                <w:szCs w:val="18"/>
                <w:lang w:val="en-US" w:eastAsia="zh-CN"/>
              </w:rPr>
            </w:pPr>
            <w:r>
              <w:rPr>
                <w:rFonts w:ascii="Times New Roman" w:hAnsi="Times New Roman" w:cs="Times New Roman"/>
                <w:sz w:val="18"/>
                <w:szCs w:val="18"/>
              </w:rPr>
              <w:t>we investigate the impact of gut microbiota on severe pneumonia</w:t>
            </w:r>
            <w:r>
              <w:rPr>
                <w:rFonts w:hint="eastAsia" w:ascii="Times New Roman" w:hAnsi="Times New Roman" w:cs="Times New Roman"/>
                <w:sz w:val="18"/>
                <w:szCs w:val="18"/>
                <w:lang w:val="en-US" w:eastAsia="zh-CN"/>
              </w:rPr>
              <w:t xml:space="preserve"> through MR analysis.</w:t>
            </w:r>
          </w:p>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Mendelian randomization (MR)</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analysis</w:t>
            </w:r>
            <w:r>
              <w:rPr>
                <w:rFonts w:ascii="Times New Roman" w:hAnsi="Times New Roman" w:eastAsia="宋体"/>
                <w:color w:val="000000" w:themeColor="text1"/>
                <w:sz w:val="18"/>
                <w:szCs w:val="18"/>
                <w14:textFill>
                  <w14:solidFill>
                    <w14:schemeClr w14:val="tx1"/>
                  </w14:solidFill>
                </w14:textFill>
              </w:rPr>
              <w:t xml:space="preserve"> is an epidemiological approach that enhances causal inference by utilizing genetic variants as instrumental variable</w:t>
            </w:r>
            <w:r>
              <w:rPr>
                <w:rFonts w:hint="eastAsia" w:ascii="Times New Roman" w:hAnsi="Times New Roman" w:eastAsia="宋体"/>
                <w:color w:val="000000" w:themeColor="text1"/>
                <w:sz w:val="18"/>
                <w:szCs w:val="18"/>
                <w14:textFill>
                  <w14:solidFill>
                    <w14:schemeClr w14:val="tx1"/>
                  </w14:solidFill>
                </w14:textFill>
              </w:rPr>
              <w:t>(IV)</w:t>
            </w:r>
            <w:r>
              <w:rPr>
                <w:rFonts w:ascii="Times New Roman" w:hAnsi="Times New Roman" w:eastAsia="宋体"/>
                <w:color w:val="000000" w:themeColor="text1"/>
                <w:sz w:val="18"/>
                <w:szCs w:val="18"/>
                <w14:textFill>
                  <w14:solidFill>
                    <w14:schemeClr w14:val="tx1"/>
                  </w14:solidFill>
                </w14:textFill>
              </w:rPr>
              <w:t xml:space="preserve"> for exposure. MR analysis has been utilized to establish causal relationships between gut microbiota and risk factors. However, the causal relationship between gut microbiota and pneumonia was not elucidated</w:t>
            </w:r>
            <w:r>
              <w:rPr>
                <w:rFonts w:hint="eastAsia" w:ascii="Times New Roman" w:hAnsi="Times New Roman" w:eastAsia="宋体"/>
                <w:color w:val="000000" w:themeColor="text1"/>
                <w:sz w:val="18"/>
                <w:szCs w:val="18"/>
                <w:lang w:val="en-US" w:eastAsia="zh-CN"/>
                <w14:textFill>
                  <w14:solidFill>
                    <w14:schemeClr w14:val="tx1"/>
                  </w14:solidFill>
                </w14:textFill>
              </w:rPr>
              <w:t>.</w:t>
            </w:r>
          </w:p>
        </w:tc>
      </w:tr>
      <w:tr>
        <w:tblPrEx>
          <w:tblCellMar>
            <w:top w:w="0" w:type="dxa"/>
            <w:left w:w="108" w:type="dxa"/>
            <w:bottom w:w="0" w:type="dxa"/>
            <w:right w:w="108" w:type="dxa"/>
          </w:tblCellMar>
        </w:tblPrEx>
        <w:tc>
          <w:tcPr>
            <w:tcW w:w="614" w:type="dxa"/>
            <w:tcBorders>
              <w:bottom w:val="single" w:color="7F7F7F" w:sz="6" w:space="0"/>
            </w:tcBorders>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3</w:t>
            </w:r>
          </w:p>
        </w:tc>
        <w:tc>
          <w:tcPr>
            <w:tcW w:w="1706" w:type="dxa"/>
            <w:tcBorders>
              <w:bottom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Objectives</w:t>
            </w:r>
          </w:p>
        </w:tc>
        <w:tc>
          <w:tcPr>
            <w:tcW w:w="5201" w:type="dxa"/>
            <w:tcBorders>
              <w:bottom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State specific objectives clearly, including pre-specified causal hypotheses (if any). State that MR is a method that, under specific assumptions, intends to estimate causal effects</w:t>
            </w:r>
          </w:p>
        </w:tc>
        <w:tc>
          <w:tcPr>
            <w:tcW w:w="1070" w:type="dxa"/>
            <w:tcBorders>
              <w:bottom w:val="single" w:color="7F7F7F" w:sz="6" w:space="0"/>
            </w:tcBorders>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3</w:t>
            </w:r>
          </w:p>
        </w:tc>
        <w:tc>
          <w:tcPr>
            <w:tcW w:w="6861" w:type="dxa"/>
            <w:tcBorders>
              <w:bottom w:val="single" w:color="7F7F7F" w:sz="6" w:space="0"/>
            </w:tcBorders>
          </w:tcPr>
          <w:p>
            <w:pPr>
              <w:spacing w:before="127" w:beforeLines="40" w:after="127" w:afterLines="40" w:line="24" w:lineRule="atLeast"/>
              <w:rPr>
                <w:rFonts w:hint="eastAsia" w:ascii="Times New Roman" w:hAnsi="Times New Roman" w:eastAsia="Times New Roman"/>
                <w:color w:val="000000" w:themeColor="text1"/>
                <w:sz w:val="18"/>
                <w:szCs w:val="18"/>
                <w:lang w:val="en-GB" w:eastAsia="en-GB"/>
                <w14:textFill>
                  <w14:solidFill>
                    <w14:schemeClr w14:val="tx1"/>
                  </w14:solidFill>
                </w14:textFill>
              </w:rPr>
            </w:pP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Based on knowledge above,a two-sample Mendelian randomization approach combined with prospective clinical observation was utilized. Based on publicly available GWAS data from a large population, we investigate the impact of gut microbiota on severe pneumonia and verified the causal relationship between gut microbiota and severe pneumonia through a prospective clinical study. </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Mendelian randomization (MR) leverages two fundamental principles: (1) genetic variants are randomly inherited, with individuals inheriting one allele from each parent (known as the law of segregation assortment), and (2) alleles are transmitted independently of each other to offspring (known as the law of independent assortment). These principles ensure that MR results are less susceptible to confounding by environmental factors that could potentially bias the estimated relationship.</w:t>
            </w:r>
          </w:p>
        </w:tc>
      </w:tr>
      <w:tr>
        <w:tblPrEx>
          <w:tblCellMar>
            <w:top w:w="0" w:type="dxa"/>
            <w:left w:w="108" w:type="dxa"/>
            <w:bottom w:w="0" w:type="dxa"/>
            <w:right w:w="108" w:type="dxa"/>
          </w:tblCellMar>
        </w:tblPrEx>
        <w:tc>
          <w:tcPr>
            <w:tcW w:w="614" w:type="dxa"/>
            <w:tcBorders>
              <w:top w:val="single" w:color="7F7F7F" w:sz="6" w:space="0"/>
            </w:tcBorders>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p>
        </w:tc>
        <w:tc>
          <w:tcPr>
            <w:tcW w:w="1706" w:type="dxa"/>
            <w:tcBorders>
              <w:top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METHODS</w:t>
            </w:r>
          </w:p>
        </w:tc>
        <w:tc>
          <w:tcPr>
            <w:tcW w:w="5201" w:type="dxa"/>
            <w:tcBorders>
              <w:top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Borders>
              <w:top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Borders>
              <w:top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4</w:t>
            </w:r>
          </w:p>
        </w:tc>
        <w:tc>
          <w:tcPr>
            <w:tcW w:w="1706"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Study design and data sources</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Present key elements of the study design early in the article. Consider including a table listing sources of data for all phases of the study. For each data source contributing to the analysis, describe the following: </w:t>
            </w:r>
          </w:p>
        </w:tc>
        <w:tc>
          <w:tcPr>
            <w:tcW w:w="1070"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Setting: Describe the study design and the underlying population, if possible. Describe the setting, locations, and relevant dates, including periods of recruitment, exposure, follow-up, and data collection, when available.</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3 and 4 and Figure1</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Detailed information, such as the study design and the underlying population,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(Line64-Line76 and Figure1)</w:t>
            </w:r>
            <w:r>
              <w:rPr>
                <w:rFonts w:ascii="Times New Roman" w:hAnsi="Times New Roman" w:eastAsia="Times New Roman"/>
                <w:color w:val="000000" w:themeColor="text1"/>
                <w:sz w:val="18"/>
                <w:szCs w:val="18"/>
                <w:lang w:val="en-GB" w:eastAsia="en-GB"/>
                <w14:textFill>
                  <w14:solidFill>
                    <w14:schemeClr w14:val="tx1"/>
                  </w14:solidFill>
                </w14:textFill>
              </w:rPr>
              <w:t>.</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auto"/>
          </w:tcPr>
          <w:p>
            <w:pPr>
              <w:spacing w:before="127" w:beforeLines="40" w:after="127" w:afterLines="40" w:line="24" w:lineRule="atLeast"/>
              <w:textAlignment w:val="baseline"/>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t xml:space="preserve">Participants: Give the eligibility criteria, and the sources and methods of selection of participants. </w:t>
            </w:r>
            <w:r>
              <w:rPr>
                <w:rFonts w:ascii="Times New Roman" w:hAnsi="Times New Roman" w:eastAsia="Times New Roman"/>
                <w:color w:val="000000" w:themeColor="text1"/>
                <w:sz w:val="18"/>
                <w:szCs w:val="18"/>
                <w14:textFill>
                  <w14:solidFill>
                    <w14:schemeClr w14:val="tx1"/>
                  </w14:solidFill>
                </w14:textFill>
              </w:rPr>
              <w:t>Report the sample size, and whether any power or sample size calculations were carried out prior to the main analysis</w:t>
            </w:r>
            <w:r>
              <w:rPr>
                <w:rFonts w:ascii="Times New Roman" w:hAnsi="Times New Roman" w:eastAsia="Times New Roman"/>
                <w:color w:val="000000" w:themeColor="text1"/>
                <w:sz w:val="18"/>
                <w:szCs w:val="18"/>
                <w:lang w:val="en-GB" w:eastAsia="en-GB"/>
                <w14:textFill>
                  <w14:solidFill>
                    <w14:schemeClr w14:val="tx1"/>
                  </w14:solidFill>
                </w14:textFill>
              </w:rPr>
              <w:t> </w:t>
            </w:r>
          </w:p>
        </w:tc>
        <w:tc>
          <w:tcPr>
            <w:tcW w:w="1070" w:type="dxa"/>
          </w:tcPr>
          <w:p>
            <w:pPr>
              <w:spacing w:before="127" w:beforeLines="40" w:after="127" w:afterLines="40" w:line="24" w:lineRule="atLeast"/>
              <w:textAlignment w:val="baseline"/>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pPr>
            <w:r>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t>4</w:t>
            </w:r>
            <w:r>
              <w:rPr>
                <w:rFonts w:ascii="Times New Roman" w:hAnsi="Times New Roman" w:eastAsia="宋体"/>
                <w:color w:val="000000" w:themeColor="text1"/>
                <w:sz w:val="18"/>
                <w:szCs w:val="18"/>
                <w:shd w:val="clear" w:color="auto" w:fill="FFFFFF"/>
                <w14:textFill>
                  <w14:solidFill>
                    <w14:schemeClr w14:val="tx1"/>
                  </w14:solidFill>
                </w14:textFill>
              </w:rPr>
              <w:t xml:space="preserve"> and </w:t>
            </w:r>
            <w:r>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t>5</w:t>
            </w:r>
          </w:p>
        </w:tc>
        <w:tc>
          <w:tcPr>
            <w:tcW w:w="6861" w:type="dxa"/>
          </w:tcPr>
          <w:p>
            <w:pPr>
              <w:spacing w:before="127" w:beforeLines="40" w:after="127" w:afterLines="40" w:line="24" w:lineRule="atLeast"/>
              <w:textAlignment w:val="baseline"/>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pPr>
            <w:r>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t>Detailed information, such as recruitment criteria of population and quality control of genetic data, can be found in the original paper (</w:t>
            </w:r>
            <w:r>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t>Line78-Line98</w:t>
            </w:r>
            <w:r>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t>).</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c)</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Describe measurement, quality control and selection of genetic variants</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7-</w:t>
            </w:r>
            <w:r>
              <w:rPr>
                <w:rFonts w:hint="eastAsia" w:ascii="Times New Roman" w:hAnsi="Times New Roman" w:eastAsia="宋体"/>
                <w:color w:val="000000" w:themeColor="text1"/>
                <w:sz w:val="18"/>
                <w:szCs w:val="18"/>
                <w:lang w:val="en-US" w:eastAsia="zh-CN"/>
                <w14:textFill>
                  <w14:solidFill>
                    <w14:schemeClr w14:val="tx1"/>
                  </w14:solidFill>
                </w14:textFill>
              </w:rPr>
              <w:t>8 and Figure2</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Detailed information, such as  measurement, quality control and selection of genetic variants</w:t>
            </w:r>
            <w:r>
              <w:rPr>
                <w:rFonts w:hint="eastAsia" w:ascii="Times New Roman" w:hAnsi="Times New Roman" w:eastAsia="宋体"/>
                <w:color w:val="000000" w:themeColor="text1"/>
                <w:sz w:val="18"/>
                <w:szCs w:val="18"/>
                <w:lang w:val="en-US" w:eastAsia="zh-CN"/>
                <w14:textFill>
                  <w14:solidFill>
                    <w14:schemeClr w14:val="tx1"/>
                  </w14:solidFill>
                </w14:textFill>
              </w:rPr>
              <w:t>,</w:t>
            </w:r>
            <w:r>
              <w:rPr>
                <w:rFonts w:ascii="Times New Roman" w:hAnsi="Times New Roman" w:eastAsia="Times New Roman"/>
                <w:color w:val="000000" w:themeColor="text1"/>
                <w:sz w:val="18"/>
                <w:szCs w:val="18"/>
                <w:lang w:val="en-GB" w:eastAsia="en-GB"/>
                <w14:textFill>
                  <w14:solidFill>
                    <w14:schemeClr w14:val="tx1"/>
                  </w14:solidFill>
                </w14:textFill>
              </w:rPr>
              <w:t xml:space="preserve">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Line138-Line168,Figure2</w:t>
            </w:r>
            <w:r>
              <w:rPr>
                <w:rFonts w:ascii="Times New Roman" w:hAnsi="Times New Roman" w:eastAsia="Times New Roman"/>
                <w:color w:val="000000" w:themeColor="text1"/>
                <w:sz w:val="18"/>
                <w:szCs w:val="18"/>
                <w:lang w:val="en-GB" w:eastAsia="en-GB"/>
                <w14:textFill>
                  <w14:solidFill>
                    <w14:schemeClr w14:val="tx1"/>
                  </w14:solidFill>
                </w14:textFill>
              </w:rPr>
              <w:t>).</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d)</w:t>
            </w:r>
          </w:p>
        </w:tc>
        <w:tc>
          <w:tcPr>
            <w:tcW w:w="5201" w:type="dxa"/>
            <w:shd w:val="clear" w:color="auto" w:fill="auto"/>
          </w:tcPr>
          <w:p>
            <w:pPr>
              <w:spacing w:before="127" w:beforeLines="40" w:after="127" w:afterLines="40" w:line="24" w:lineRule="atLeast"/>
              <w:textAlignment w:val="baseline"/>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shd w:val="clear" w:color="auto" w:fill="FFFFFF"/>
                <w:lang w:val="en-GB" w:eastAsia="en-GB"/>
                <w14:textFill>
                  <w14:solidFill>
                    <w14:schemeClr w14:val="tx1"/>
                  </w14:solidFill>
                </w14:textFill>
              </w:rPr>
              <w:t>For each exposure, outcome, and other relevant variables, describe methods of assessment and diagnostic criteria for diseases</w:t>
            </w:r>
          </w:p>
        </w:tc>
        <w:tc>
          <w:tcPr>
            <w:tcW w:w="1070" w:type="dxa"/>
          </w:tcPr>
          <w:p>
            <w:pPr>
              <w:spacing w:before="127" w:beforeLines="40" w:after="127" w:afterLines="40" w:line="24" w:lineRule="atLeast"/>
              <w:textAlignment w:val="baseline"/>
              <w:rPr>
                <w:rFonts w:hint="default" w:ascii="Times New Roman" w:hAnsi="Times New Roman" w:eastAsia="宋体"/>
                <w:color w:val="000000" w:themeColor="text1"/>
                <w:sz w:val="18"/>
                <w:szCs w:val="18"/>
                <w:shd w:val="clear" w:color="auto" w:fill="FFFFFF"/>
                <w:lang w:val="en-US" w:eastAsia="zh-CN"/>
                <w14:textFill>
                  <w14:solidFill>
                    <w14:schemeClr w14:val="tx1"/>
                  </w14:solidFill>
                </w14:textFill>
              </w:rPr>
            </w:pPr>
            <w:r>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t>4-5</w:t>
            </w:r>
          </w:p>
        </w:tc>
        <w:tc>
          <w:tcPr>
            <w:tcW w:w="6861" w:type="dxa"/>
          </w:tcPr>
          <w:p>
            <w:pPr>
              <w:spacing w:before="127" w:beforeLines="40" w:after="127" w:afterLines="40" w:line="24" w:lineRule="atLeast"/>
              <w:textAlignment w:val="baseline"/>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pPr>
            <w:r>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t xml:space="preserve">The data for the gut microbiota study were obtained from the latest genome-wide association study (GWAS) by the Mibiogen consortium </w:t>
            </w:r>
            <w:r>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t>,</w:t>
            </w:r>
            <w:r>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t>which included 16S rRNA gene sequencing profiles and genotyping data.</w:t>
            </w:r>
            <w:r>
              <w:rPr>
                <w:rFonts w:hint="eastAsia" w:ascii="Times New Roman" w:hAnsi="Times New Roman" w:eastAsia="宋体"/>
                <w:color w:val="000000" w:themeColor="text1"/>
                <w:sz w:val="18"/>
                <w:szCs w:val="18"/>
                <w:shd w:val="clear" w:color="auto" w:fill="FFFFFF"/>
                <w:lang w:val="en-US" w:eastAsia="zh-CN"/>
                <w14:textFill>
                  <w14:solidFill>
                    <w14:schemeClr w14:val="tx1"/>
                  </w14:solidFill>
                </w14:textFill>
              </w:rPr>
              <w:t>.</w:t>
            </w:r>
            <w:r>
              <w:rPr>
                <w:rFonts w:ascii="Times New Roman" w:hAnsi="Times New Roman" w:eastAsia="Times New Roman"/>
                <w:color w:val="000000" w:themeColor="text1"/>
                <w:sz w:val="18"/>
                <w:szCs w:val="18"/>
                <w:lang w:val="en-GB" w:eastAsia="en-GB"/>
                <w14:textFill>
                  <w14:solidFill>
                    <w14:schemeClr w14:val="tx1"/>
                  </w14:solidFill>
                </w14:textFill>
              </w:rPr>
              <w:t xml:space="preserve">Detailed information, such as </w:t>
            </w:r>
            <w:r>
              <w:rPr>
                <w:rFonts w:hint="eastAsia" w:ascii="Times New Roman" w:hAnsi="Times New Roman" w:eastAsia="宋体"/>
                <w:color w:val="000000" w:themeColor="text1"/>
                <w:sz w:val="18"/>
                <w:szCs w:val="18"/>
                <w:lang w:val="en-US" w:eastAsia="zh-CN"/>
                <w14:textFill>
                  <w14:solidFill>
                    <w14:schemeClr w14:val="tx1"/>
                  </w14:solidFill>
                </w14:textFill>
              </w:rPr>
              <w:t>p</w:t>
            </w:r>
            <w:r>
              <w:rPr>
                <w:rFonts w:hint="eastAsia" w:ascii="Times New Roman" w:hAnsi="Times New Roman" w:eastAsia="Times New Roman"/>
                <w:color w:val="000000" w:themeColor="text1"/>
                <w:sz w:val="18"/>
                <w:szCs w:val="18"/>
                <w:lang w:val="en-GB" w:eastAsia="en-GB"/>
                <w14:textFill>
                  <w14:solidFill>
                    <w14:schemeClr w14:val="tx1"/>
                  </w14:solidFill>
                </w14:textFill>
              </w:rPr>
              <w:t>opulation recruitment criteria and quality control of genetic data</w:t>
            </w:r>
            <w:r>
              <w:rPr>
                <w:rFonts w:ascii="Times New Roman" w:hAnsi="Times New Roman" w:eastAsia="Times New Roman"/>
                <w:color w:val="000000" w:themeColor="text1"/>
                <w:sz w:val="18"/>
                <w:szCs w:val="18"/>
                <w:lang w:val="en-GB" w:eastAsia="en-GB"/>
                <w14:textFill>
                  <w14:solidFill>
                    <w14:schemeClr w14:val="tx1"/>
                  </w14:solidFill>
                </w14:textFill>
              </w:rPr>
              <w:t>,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Line78-Line98</w:t>
            </w:r>
            <w:r>
              <w:rPr>
                <w:rFonts w:ascii="Times New Roman" w:hAnsi="Times New Roman" w:eastAsia="Times New Roman"/>
                <w:color w:val="000000" w:themeColor="text1"/>
                <w:sz w:val="18"/>
                <w:szCs w:val="18"/>
                <w:lang w:val="en-GB" w:eastAsia="en-GB"/>
                <w14:textFill>
                  <w14:solidFill>
                    <w14:schemeClr w14:val="tx1"/>
                  </w14:solidFill>
                </w14:textFill>
              </w:rPr>
              <w:t>).</w:t>
            </w:r>
          </w:p>
          <w:p>
            <w:pPr>
              <w:spacing w:before="127" w:beforeLines="40" w:after="127" w:afterLines="40" w:line="24" w:lineRule="atLeast"/>
              <w:textAlignment w:val="baseline"/>
              <w:rPr>
                <w:rFonts w:hint="default" w:ascii="Times New Roman" w:hAnsi="Times New Roman" w:eastAsia="宋体"/>
                <w:color w:val="000000" w:themeColor="text1"/>
                <w:sz w:val="18"/>
                <w:szCs w:val="18"/>
                <w:shd w:val="clear" w:color="auto" w:fill="FFFFFF"/>
                <w:lang w:val="en-US" w:eastAsia="zh-CN"/>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e)</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Provide details of ethics committee approval and participant informed consent, if relevant</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20</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The Mendelian randomization utilized publicly available genome-wide association study data, and ethical clearance and informed consent were provided in the initial study.</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5</w:t>
            </w:r>
          </w:p>
        </w:tc>
        <w:tc>
          <w:tcPr>
            <w:tcW w:w="1706"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Assumptions</w:t>
            </w:r>
          </w:p>
          <w:p>
            <w:pPr>
              <w:spacing w:before="127" w:beforeLines="40" w:after="127" w:afterLines="40" w:line="24" w:lineRule="atLeast"/>
              <w:jc w:val="center"/>
              <w:rPr>
                <w:rFonts w:ascii="Times New Roman" w:hAnsi="Times New Roman" w:eastAsia="Cambria"/>
                <w:color w:val="000000" w:themeColor="text1"/>
                <w:sz w:val="18"/>
                <w:szCs w:val="18"/>
                <w:lang w:val="en-GB" w:eastAsia="en-US"/>
                <w14:textFill>
                  <w14:solidFill>
                    <w14:schemeClr w14:val="tx1"/>
                  </w14:solidFill>
                </w14:textFill>
              </w:rPr>
            </w:pPr>
          </w:p>
        </w:tc>
        <w:tc>
          <w:tcPr>
            <w:tcW w:w="5201"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Explicitly state the three core IV assumptions for the main analysis (relevance, independence and exclusion restriction) as well assumptions for any additional or sensitivity analysis</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3 and Figure2</w:t>
            </w:r>
          </w:p>
        </w:tc>
        <w:tc>
          <w:tcPr>
            <w:tcW w:w="6861"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The study strictly adhered to the three core assumptions of Mendelian randomization : (1) </w:t>
            </w:r>
            <w:r>
              <w:rPr>
                <w:rFonts w:hint="eastAsia" w:ascii="Times New Roman" w:hAnsi="Times New Roman" w:eastAsia="Times New Roman"/>
                <w:color w:val="000000" w:themeColor="text1"/>
                <w:sz w:val="18"/>
                <w:szCs w:val="18"/>
                <w:lang w:val="en-GB" w:eastAsia="en-GB"/>
                <w14:textFill>
                  <w14:solidFill>
                    <w14:schemeClr w14:val="tx1"/>
                  </w14:solidFill>
                </w14:textFill>
              </w:rPr>
              <w:t>the genetic variants eventually incorporated for using are associated with gut microbiota taxa</w:t>
            </w:r>
            <w:r>
              <w:rPr>
                <w:rFonts w:ascii="Times New Roman" w:hAnsi="Times New Roman" w:eastAsia="Times New Roman"/>
                <w:color w:val="000000" w:themeColor="text1"/>
                <w:sz w:val="18"/>
                <w:szCs w:val="18"/>
                <w:lang w:val="en-GB" w:eastAsia="en-GB"/>
                <w14:textFill>
                  <w14:solidFill>
                    <w14:schemeClr w14:val="tx1"/>
                  </w14:solidFill>
                </w14:textFill>
              </w:rPr>
              <w:t xml:space="preserve">, (2) </w:t>
            </w:r>
            <w:r>
              <w:rPr>
                <w:rFonts w:hint="eastAsia" w:ascii="Times New Roman" w:hAnsi="Times New Roman" w:eastAsia="Times New Roman"/>
                <w:color w:val="000000" w:themeColor="text1"/>
                <w:sz w:val="18"/>
                <w:szCs w:val="18"/>
                <w:lang w:val="en-GB" w:eastAsia="en-GB"/>
                <w14:textFill>
                  <w14:solidFill>
                    <w14:schemeClr w14:val="tx1"/>
                  </w14:solidFill>
                </w14:textFill>
              </w:rPr>
              <w:t>the instrumental variables are not associated with confounders (affecting GM taxa and pneumonia)</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and (3) the genetic variants influence pneumonia only through gut microbiota.</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6</w:t>
            </w:r>
          </w:p>
        </w:tc>
        <w:tc>
          <w:tcPr>
            <w:tcW w:w="1706"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Statistical methods: main analysis</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Describe statistical methods and statistics used</w:t>
            </w:r>
          </w:p>
        </w:tc>
        <w:tc>
          <w:tcPr>
            <w:tcW w:w="1070"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Describe how quantitative variables were handled in the analyses (i.e., scale, units, model)</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4-5</w:t>
            </w:r>
          </w:p>
        </w:tc>
        <w:tc>
          <w:tcPr>
            <w:tcW w:w="6861"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Detailed information, such as </w:t>
            </w:r>
            <w:r>
              <w:rPr>
                <w:rFonts w:hint="eastAsia" w:ascii="Times New Roman" w:hAnsi="Times New Roman" w:eastAsia="宋体"/>
                <w:color w:val="000000" w:themeColor="text1"/>
                <w:sz w:val="18"/>
                <w:szCs w:val="18"/>
                <w:lang w:val="en-US" w:eastAsia="zh-CN"/>
                <w14:textFill>
                  <w14:solidFill>
                    <w14:schemeClr w14:val="tx1"/>
                  </w14:solidFill>
                </w14:textFill>
              </w:rPr>
              <w:t>p</w:t>
            </w:r>
            <w:r>
              <w:rPr>
                <w:rFonts w:hint="eastAsia" w:ascii="Times New Roman" w:hAnsi="Times New Roman" w:eastAsia="Times New Roman"/>
                <w:color w:val="000000" w:themeColor="text1"/>
                <w:sz w:val="18"/>
                <w:szCs w:val="18"/>
                <w:lang w:val="en-GB" w:eastAsia="en-GB"/>
                <w14:textFill>
                  <w14:solidFill>
                    <w14:schemeClr w14:val="tx1"/>
                  </w14:solidFill>
                </w14:textFill>
              </w:rPr>
              <w:t>opulation recruitment criteria and quality control of genetic data</w:t>
            </w:r>
            <w:r>
              <w:rPr>
                <w:rFonts w:ascii="Times New Roman" w:hAnsi="Times New Roman" w:eastAsia="Times New Roman"/>
                <w:color w:val="000000" w:themeColor="text1"/>
                <w:sz w:val="18"/>
                <w:szCs w:val="18"/>
                <w:lang w:val="en-GB" w:eastAsia="en-GB"/>
                <w14:textFill>
                  <w14:solidFill>
                    <w14:schemeClr w14:val="tx1"/>
                  </w14:solidFill>
                </w14:textFill>
              </w:rPr>
              <w:t>,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Line78-Line98</w:t>
            </w:r>
            <w:r>
              <w:rPr>
                <w:rFonts w:ascii="Times New Roman" w:hAnsi="Times New Roman" w:eastAsia="Times New Roman"/>
                <w:color w:val="000000" w:themeColor="text1"/>
                <w:sz w:val="18"/>
                <w:szCs w:val="18"/>
                <w:lang w:val="en-GB" w:eastAsia="en-GB"/>
                <w14:textFill>
                  <w14:solidFill>
                    <w14:schemeClr w14:val="tx1"/>
                  </w14:solidFill>
                </w14:textFill>
              </w:rPr>
              <w:t>).</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Describe how genetic variants were handled in the analyses and, if applicable, how their weights were selected</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7-8 and Figure2</w:t>
            </w:r>
          </w:p>
        </w:tc>
        <w:tc>
          <w:tcPr>
            <w:tcW w:w="6861" w:type="dxa"/>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Times New Roman"/>
                <w:color w:val="000000" w:themeColor="text1"/>
                <w:sz w:val="18"/>
                <w:szCs w:val="18"/>
                <w:lang w:val="en-GB" w:eastAsia="zh-CN"/>
                <w14:textFill>
                  <w14:solidFill>
                    <w14:schemeClr w14:val="tx1"/>
                  </w14:solidFill>
                </w14:textFill>
              </w:rPr>
              <w:t xml:space="preserve"> (1) SNPs related to each gut microbiome taxa were selected as instrumental variables; Two thresholds were used to select the tool variable. First, in order to include more genetic instruments to explore potential associations and conduct sensitivity analysis, we selected the locus-wide signifcance level (1 × 10-5) to screen instrumental variables.However,to avoid the bias of weak instrumental variables, we also used the genome-wide statistical signifcance threshold (5 × 10-8) to screen instrumental variables(2)We extracted SNPs that match with exposure from pneumonia GWAS. (3)We removed SNPs with minor allele frequency (MAF)≤0.01.(4)We harmonized alleles of SNPs and effect size on the gut microbiota and pneumonia. And we remove wrong effect alleles and palindromic sequences. (5)</w:t>
            </w:r>
            <w:r>
              <w:rPr>
                <w:rFonts w:ascii="Times New Roman" w:hAnsi="Times New Roman" w:eastAsia="Times New Roman"/>
                <w:color w:val="000000" w:themeColor="text1"/>
                <w:sz w:val="18"/>
                <w:szCs w:val="18"/>
                <w:lang w:val="en-GB"/>
                <w14:textFill>
                  <w14:solidFill>
                    <w14:schemeClr w14:val="tx1"/>
                  </w14:solidFill>
                </w14:textFill>
              </w:rPr>
              <w:t>In cases where SNPs that could be used for the outcome were not available in the GWAS data, we searched for eligible proxy SNPs in R through the LDlink online platform</w:t>
            </w:r>
            <w:r>
              <w:rPr>
                <w:rFonts w:hint="eastAsia" w:ascii="Times New Roman" w:hAnsi="Times New Roman" w:eastAsia="宋体"/>
                <w:color w:val="000000" w:themeColor="text1"/>
                <w:sz w:val="18"/>
                <w:szCs w:val="18"/>
                <w:lang w:val="en-US" w:eastAsia="zh-CN"/>
                <w14:textFill>
                  <w14:solidFill>
                    <w14:schemeClr w14:val="tx1"/>
                  </w14:solidFill>
                </w14:textFill>
              </w:rPr>
              <w:t>.(6) We conducted a linkage disequilibrium(LD) analysis based on the European-based 1,000 Genome Projects, setting the clumping distance to 10,000 kb and excluding single nucleotide polymorphisms (SNPs) that did not meet the requirements (R2 &lt; 0.001).And then,we formed a new merge result without palindromic sequence.(7) We assessed the strength of the relationship between instrumental variables and exposure using the F statistic. A weak instrumental variable was assumed if F&lt;10. The F value was calculated as F=[R2*(N-K-1)]/(1-R2),where R2 represents the proportion of variance explained by the genetic instrument,N represents sample size and K represents the number of instruments..(8)We examined and excluded SNP significantly associated with confounders through the PhenoScanner GWAS database（http://www.phenoscanner.medschl.cam.ac.uk/）</w:t>
            </w:r>
          </w:p>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c)</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Describe the MR estimator (e.g. two-stage least squares, Wald ratio) and related statistics. Detail the included covariates and, in case of two-sample MR, whether the same covariate set was used for adjustment in the two samples</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8</w:t>
            </w: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After selecting the instrumental variables as described above, we employed Inverse variance weighted (IVW), Weighted median, and MR Egger as the main analysis methods for MR. The </w:t>
            </w:r>
            <w:r>
              <w:rPr>
                <w:rFonts w:hint="eastAsia" w:ascii="Times New Roman" w:hAnsi="Times New Roman" w:eastAsia="Times New Roman"/>
                <w:color w:val="000000" w:themeColor="text1"/>
                <w:sz w:val="18"/>
                <w:szCs w:val="18"/>
                <w:lang w:val="en-GB" w:eastAsia="en-GB"/>
                <w14:textFill>
                  <w14:solidFill>
                    <w14:schemeClr w14:val="tx1"/>
                  </w14:solidFill>
                </w14:textFill>
              </w:rPr>
              <w:t>odd ratio(</w:t>
            </w:r>
            <w:r>
              <w:rPr>
                <w:rFonts w:ascii="Times New Roman" w:hAnsi="Times New Roman" w:eastAsia="Times New Roman"/>
                <w:color w:val="000000" w:themeColor="text1"/>
                <w:sz w:val="18"/>
                <w:szCs w:val="18"/>
                <w:lang w:val="en-GB" w:eastAsia="en-GB"/>
                <w14:textFill>
                  <w14:solidFill>
                    <w14:schemeClr w14:val="tx1"/>
                  </w14:solidFill>
                </w14:textFill>
              </w:rPr>
              <w:t>OR</w:t>
            </w:r>
            <w:r>
              <w:rPr>
                <w:rFonts w:hint="eastAsia" w:ascii="Times New Roman" w:hAnsi="Times New Roman" w:eastAsia="Times New Roman"/>
                <w:color w:val="000000" w:themeColor="text1"/>
                <w:sz w:val="18"/>
                <w:szCs w:val="18"/>
                <w:lang w:val="en-GB" w:eastAsia="en-GB"/>
                <w14:textFill>
                  <w14:solidFill>
                    <w14:schemeClr w14:val="tx1"/>
                  </w14:solidFill>
                </w14:textFill>
              </w:rPr>
              <w:t>)</w:t>
            </w:r>
            <w:r>
              <w:rPr>
                <w:rFonts w:ascii="Times New Roman" w:hAnsi="Times New Roman" w:eastAsia="Times New Roman"/>
                <w:color w:val="000000" w:themeColor="text1"/>
                <w:sz w:val="18"/>
                <w:szCs w:val="18"/>
                <w:lang w:val="en-GB" w:eastAsia="en-GB"/>
                <w14:textFill>
                  <w14:solidFill>
                    <w14:schemeClr w14:val="tx1"/>
                  </w14:solidFill>
                </w14:textFill>
              </w:rPr>
              <w:t>values for effects were used to measure the results of the three methods, and P values &lt; 0.05 were considered significant. The list of covariates varies between original GWASs, but always included sex and age. Details can be found in the original studies.</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d)</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Explain how missing data were addressed</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4-5</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Detailed information, such as </w:t>
            </w:r>
            <w:r>
              <w:rPr>
                <w:rFonts w:hint="eastAsia" w:ascii="Times New Roman" w:hAnsi="Times New Roman" w:eastAsia="宋体"/>
                <w:color w:val="000000" w:themeColor="text1"/>
                <w:sz w:val="18"/>
                <w:szCs w:val="18"/>
                <w:lang w:val="en-US" w:eastAsia="zh-CN"/>
                <w14:textFill>
                  <w14:solidFill>
                    <w14:schemeClr w14:val="tx1"/>
                  </w14:solidFill>
                </w14:textFill>
              </w:rPr>
              <w:t>p</w:t>
            </w:r>
            <w:r>
              <w:rPr>
                <w:rFonts w:hint="eastAsia" w:ascii="Times New Roman" w:hAnsi="Times New Roman" w:eastAsia="Times New Roman"/>
                <w:color w:val="000000" w:themeColor="text1"/>
                <w:sz w:val="18"/>
                <w:szCs w:val="18"/>
                <w:lang w:val="en-GB" w:eastAsia="en-GB"/>
                <w14:textFill>
                  <w14:solidFill>
                    <w14:schemeClr w14:val="tx1"/>
                  </w14:solidFill>
                </w14:textFill>
              </w:rPr>
              <w:t>opulation recruitment criteria and quality control of genetic data</w:t>
            </w:r>
            <w:r>
              <w:rPr>
                <w:rFonts w:ascii="Times New Roman" w:hAnsi="Times New Roman" w:eastAsia="Times New Roman"/>
                <w:color w:val="000000" w:themeColor="text1"/>
                <w:sz w:val="18"/>
                <w:szCs w:val="18"/>
                <w:lang w:val="en-GB" w:eastAsia="en-GB"/>
                <w14:textFill>
                  <w14:solidFill>
                    <w14:schemeClr w14:val="tx1"/>
                  </w14:solidFill>
                </w14:textFill>
              </w:rPr>
              <w:t>,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Line78-Line98</w:t>
            </w:r>
            <w:r>
              <w:rPr>
                <w:rFonts w:ascii="Times New Roman" w:hAnsi="Times New Roman" w:eastAsia="Times New Roman"/>
                <w:color w:val="000000" w:themeColor="text1"/>
                <w:sz w:val="18"/>
                <w:szCs w:val="18"/>
                <w:lang w:val="en-GB" w:eastAsia="en-GB"/>
                <w14:textFill>
                  <w14:solidFill>
                    <w14:schemeClr w14:val="tx1"/>
                  </w14:solidFill>
                </w14:textFill>
              </w:rPr>
              <w:t>).</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e)</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If applicable, indicate how multiple testing was addressed</w:t>
            </w:r>
          </w:p>
        </w:tc>
        <w:tc>
          <w:tcPr>
            <w:tcW w:w="1070"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9</w:t>
            </w: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hint="default" w:ascii="Times New Roman" w:hAnsi="Times New Roman" w:eastAsia="Times New Roman"/>
                <w:color w:val="000000" w:themeColor="text1"/>
                <w:sz w:val="18"/>
                <w:szCs w:val="18"/>
                <w:lang w:val="en-GB" w:eastAsia="en-GB"/>
                <w14:textFill>
                  <w14:solidFill>
                    <w14:schemeClr w14:val="tx1"/>
                  </w14:solidFill>
                </w14:textFill>
              </w:rPr>
              <w:t>we applied a more stringent Bonferroni correction for stratification, p&lt;0.05/n was used for correction, Strict calibration guarantees accuracy, but at the expense of statistical power</w:t>
            </w:r>
            <w:r>
              <w:rPr>
                <w:rFonts w:hint="eastAsia" w:ascii="Times New Roman" w:hAnsi="Times New Roman" w:eastAsia="Times New Roman"/>
                <w:color w:val="000000" w:themeColor="text1"/>
                <w:sz w:val="18"/>
                <w:szCs w:val="18"/>
                <w:lang w:val="en-GB" w:eastAsia="en-GB"/>
                <w14:textFill>
                  <w14:solidFill>
                    <w14:schemeClr w14:val="tx1"/>
                  </w14:solidFill>
                </w14:textFill>
              </w:rPr>
              <w:t>,so</w:t>
            </w:r>
            <w:r>
              <w:rPr>
                <w:rFonts w:hint="default" w:ascii="Times New Roman" w:hAnsi="Times New Roman" w:eastAsia="Times New Roman"/>
                <w:color w:val="000000" w:themeColor="text1"/>
                <w:sz w:val="18"/>
                <w:szCs w:val="18"/>
                <w:lang w:val="en-GB" w:eastAsia="en-GB"/>
                <w14:textFill>
                  <w14:solidFill>
                    <w14:schemeClr w14:val="tx1"/>
                  </w14:solidFill>
                </w14:textFill>
              </w:rPr>
              <w:t xml:space="preserve"> when the P value was at 0.05/n − 0.05, we considered that there might be a suggestive association</w:t>
            </w: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 as the previous research</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7</w:t>
            </w:r>
          </w:p>
        </w:tc>
        <w:tc>
          <w:tcPr>
            <w:tcW w:w="1706"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Assessment of assumptions</w:t>
            </w:r>
          </w:p>
        </w:tc>
        <w:tc>
          <w:tcPr>
            <w:tcW w:w="5201" w:type="dxa"/>
            <w:shd w:val="clear" w:color="auto" w:fill="EEEEEE"/>
          </w:tcPr>
          <w:p>
            <w:pPr>
              <w:tabs>
                <w:tab w:val="left" w:pos="1620"/>
              </w:tabs>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Describe any methods or prior knowledge used to assess the assumptions or justify their validity</w:t>
            </w:r>
            <w:r>
              <w:rPr>
                <w:rFonts w:ascii="Times New Roman" w:hAnsi="Times New Roman" w:eastAsia="Cambria"/>
                <w:color w:val="000000" w:themeColor="text1"/>
                <w:sz w:val="18"/>
                <w:szCs w:val="18"/>
                <w:lang w:val="en-GB" w:eastAsia="en-US"/>
                <w14:textFill>
                  <w14:solidFill>
                    <w14:schemeClr w14:val="tx1"/>
                  </w14:solidFill>
                </w14:textFill>
              </w:rPr>
              <w:tab/>
            </w:r>
          </w:p>
        </w:tc>
        <w:tc>
          <w:tcPr>
            <w:tcW w:w="1070" w:type="dxa"/>
            <w:shd w:val="clear" w:color="auto" w:fill="EEEEEE"/>
          </w:tcPr>
          <w:p>
            <w:pPr>
              <w:tabs>
                <w:tab w:val="left" w:pos="1620"/>
              </w:tabs>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8-9</w:t>
            </w:r>
          </w:p>
        </w:tc>
        <w:tc>
          <w:tcPr>
            <w:tcW w:w="6861" w:type="dxa"/>
            <w:shd w:val="clear" w:color="auto" w:fill="EEEEEE"/>
          </w:tcPr>
          <w:p>
            <w:pPr>
              <w:tabs>
                <w:tab w:val="left" w:pos="1620"/>
              </w:tabs>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 xml:space="preserve">After selecting the instrumental variables as described above, we employed Inverse variance weighted (IVW), Weighted median, and MR Egger as the main analysis methods for MR. The </w:t>
            </w:r>
            <w:r>
              <w:rPr>
                <w:rFonts w:hint="eastAsia" w:ascii="Times New Roman" w:hAnsi="Times New Roman" w:eastAsia="宋体"/>
                <w:color w:val="000000" w:themeColor="text1"/>
                <w:sz w:val="18"/>
                <w:szCs w:val="18"/>
                <w14:textFill>
                  <w14:solidFill>
                    <w14:schemeClr w14:val="tx1"/>
                  </w14:solidFill>
                </w14:textFill>
              </w:rPr>
              <w:t>odd ratio(</w:t>
            </w:r>
            <w:r>
              <w:rPr>
                <w:rFonts w:ascii="Times New Roman" w:hAnsi="Times New Roman" w:eastAsia="宋体"/>
                <w:color w:val="000000" w:themeColor="text1"/>
                <w:sz w:val="18"/>
                <w:szCs w:val="18"/>
                <w14:textFill>
                  <w14:solidFill>
                    <w14:schemeClr w14:val="tx1"/>
                  </w14:solidFill>
                </w14:textFill>
              </w:rPr>
              <w:t>OR</w:t>
            </w:r>
            <w:r>
              <w:rPr>
                <w:rFonts w:hint="eastAsia" w:ascii="Times New Roman" w:hAnsi="Times New Roman" w:eastAsia="宋体"/>
                <w:color w:val="000000" w:themeColor="text1"/>
                <w:sz w:val="18"/>
                <w:szCs w:val="18"/>
                <w14:textFill>
                  <w14:solidFill>
                    <w14:schemeClr w14:val="tx1"/>
                  </w14:solidFill>
                </w14:textFill>
              </w:rPr>
              <w:t>)</w:t>
            </w:r>
            <w:r>
              <w:rPr>
                <w:rFonts w:ascii="Times New Roman" w:hAnsi="Times New Roman" w:eastAsia="宋体"/>
                <w:color w:val="000000" w:themeColor="text1"/>
                <w:sz w:val="18"/>
                <w:szCs w:val="18"/>
                <w14:textFill>
                  <w14:solidFill>
                    <w14:schemeClr w14:val="tx1"/>
                  </w14:solidFill>
                </w14:textFill>
              </w:rPr>
              <w:t>values for effects were used to measure the results of the three methods, and P values &lt; 0.05 were considered significant.</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If </w:t>
            </w:r>
            <w:r>
              <w:rPr>
                <w:rFonts w:ascii="Times New Roman" w:hAnsi="Times New Roman" w:eastAsia="宋体"/>
                <w:color w:val="000000" w:themeColor="text1"/>
                <w:sz w:val="18"/>
                <w:szCs w:val="18"/>
                <w14:textFill>
                  <w14:solidFill>
                    <w14:schemeClr w14:val="tx1"/>
                  </w14:solidFill>
                </w14:textFill>
              </w:rPr>
              <w:t>genetic variants</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are less than three, the wald ratio would be adopted for analysing.</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8</w:t>
            </w:r>
          </w:p>
        </w:tc>
        <w:tc>
          <w:tcPr>
            <w:tcW w:w="1706"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Sensitivity analyses and additional analyses</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Describe any sensitivity analyses or additional analyses performed (e.g. comparison of effect estimates from different approaches, independent replication, bias analytic techniques, validation of instruments, simulations)</w:t>
            </w:r>
          </w:p>
        </w:tc>
        <w:tc>
          <w:tcPr>
            <w:tcW w:w="1070"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9</w:t>
            </w: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To assess the robustness of the MR results, we performed a series of sensitivity analyses. First, we used MR Egger and IVW to assess the heterogeneity of the results and calculated Cochran's Q</w:t>
            </w: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 and I2</w:t>
            </w:r>
            <w:r>
              <w:rPr>
                <w:rFonts w:ascii="Times New Roman" w:hAnsi="Times New Roman" w:eastAsia="Times New Roman"/>
                <w:color w:val="000000" w:themeColor="text1"/>
                <w:sz w:val="18"/>
                <w:szCs w:val="18"/>
                <w:lang w:val="en-GB" w:eastAsia="en-GB"/>
                <w14:textFill>
                  <w14:solidFill>
                    <w14:schemeClr w14:val="tx1"/>
                  </w14:solidFill>
                </w14:textFill>
              </w:rPr>
              <w:t xml:space="preserve"> to evaluate the magnitude of heterogeneity. Second, for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 we used two methods, one was to test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by the MR Egger intercept method and the other was to assess the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of instrumental variables by MR-PRESSO global test . P &gt; 0.05 for both methods indicated no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We also evaluated heterogeneity by MR-PRESSO Outlier-corrected to further screen out the SNPs that led to the presence of horizontal pleiotropy. Third, we determined whether a particular SNP caused a significant change in the results by eliminating SNPs one by one, and assessed the reliability of the results using the IVW method</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9</w:t>
            </w:r>
          </w:p>
        </w:tc>
        <w:tc>
          <w:tcPr>
            <w:tcW w:w="1706"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Software and pre-registration</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Name statistical software and package(s), including version and settings used </w:t>
            </w:r>
          </w:p>
        </w:tc>
        <w:tc>
          <w:tcPr>
            <w:tcW w:w="1070" w:type="dxa"/>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11</w:t>
            </w:r>
          </w:p>
        </w:tc>
        <w:tc>
          <w:tcPr>
            <w:tcW w:w="6861" w:type="dxa"/>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All the above data analyses were performed in RStudio version 4.2.2, and the R packages used were TwoSampleMR version 0.5.6, MRInstruments version 0.3.2, MRPRESSO version 1.0,</w:t>
            </w:r>
            <w:r>
              <w:rPr>
                <w:rFonts w:hint="eastAsia" w:ascii="Times New Roman" w:hAnsi="Times New Roman" w:eastAsia="宋体"/>
                <w:color w:val="000000" w:themeColor="text1"/>
                <w:sz w:val="18"/>
                <w:szCs w:val="18"/>
                <w:lang w:val="en-US" w:eastAsia="zh-CN"/>
                <w14:textFill>
                  <w14:solidFill>
                    <w14:schemeClr w14:val="tx1"/>
                  </w14:solidFill>
                </w14:textFill>
              </w:rPr>
              <w:t>coloc version5.2.2</w:t>
            </w:r>
            <w:r>
              <w:rPr>
                <w:rFonts w:ascii="Times New Roman" w:hAnsi="Times New Roman" w:eastAsia="宋体"/>
                <w:color w:val="000000" w:themeColor="text1"/>
                <w:sz w:val="18"/>
                <w:szCs w:val="18"/>
                <w14:textFill>
                  <w14:solidFill>
                    <w14:schemeClr w14:val="tx1"/>
                  </w14:solidFill>
                </w14:textFill>
              </w:rPr>
              <w:t xml:space="preserve"> and data. table version 1.14.8.</w:t>
            </w:r>
          </w:p>
        </w:tc>
      </w:tr>
      <w:tr>
        <w:tblPrEx>
          <w:tblCellMar>
            <w:top w:w="0" w:type="dxa"/>
            <w:left w:w="108" w:type="dxa"/>
            <w:bottom w:w="0" w:type="dxa"/>
            <w:right w:w="108" w:type="dxa"/>
          </w:tblCellMar>
        </w:tblPrEx>
        <w:tc>
          <w:tcPr>
            <w:tcW w:w="614" w:type="dxa"/>
            <w:tcBorders>
              <w:bottom w:val="single" w:color="7F7F7F" w:sz="6" w:space="0"/>
            </w:tcBorders>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tcBorders>
              <w:bottom w:val="single" w:color="7F7F7F" w:sz="6" w:space="0"/>
            </w:tcBorders>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State whether the study protocol and details were pre-registered (as well as when and where)</w:t>
            </w:r>
          </w:p>
        </w:tc>
        <w:tc>
          <w:tcPr>
            <w:tcW w:w="1070"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bookmarkStart w:id="0" w:name="OLE_LINK6"/>
            <w:r>
              <w:rPr>
                <w:rFonts w:ascii="Times New Roman" w:hAnsi="Times New Roman" w:eastAsia="宋体"/>
                <w:color w:val="000000" w:themeColor="text1"/>
                <w:sz w:val="18"/>
                <w:szCs w:val="18"/>
                <w14:textFill>
                  <w14:solidFill>
                    <w14:schemeClr w14:val="tx1"/>
                  </w14:solidFill>
                </w14:textFill>
              </w:rPr>
              <w:t>No Applicable</w:t>
            </w:r>
            <w:bookmarkEnd w:id="0"/>
          </w:p>
        </w:tc>
        <w:tc>
          <w:tcPr>
            <w:tcW w:w="686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This secondary analysis is conducted using summary statistics obtained from previously published studies. The original studies have obtained ethical approval and informed consent from participants, ensuring compliance with ethical guidelines.</w:t>
            </w:r>
          </w:p>
        </w:tc>
      </w:tr>
      <w:tr>
        <w:tblPrEx>
          <w:tblCellMar>
            <w:top w:w="0" w:type="dxa"/>
            <w:left w:w="108" w:type="dxa"/>
            <w:bottom w:w="0" w:type="dxa"/>
            <w:right w:w="108" w:type="dxa"/>
          </w:tblCellMar>
        </w:tblPrEx>
        <w:tc>
          <w:tcPr>
            <w:tcW w:w="614"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p>
        </w:tc>
        <w:tc>
          <w:tcPr>
            <w:tcW w:w="1706"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RESULTS</w:t>
            </w:r>
          </w:p>
        </w:tc>
        <w:tc>
          <w:tcPr>
            <w:tcW w:w="5201" w:type="dxa"/>
            <w:tcBorders>
              <w:top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10</w:t>
            </w:r>
          </w:p>
        </w:tc>
        <w:tc>
          <w:tcPr>
            <w:tcW w:w="1706"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Descriptive data</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bookmarkStart w:id="1" w:name="OLE_LINK5" w:colFirst="3" w:colLast="4"/>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Report the numbers of individuals at each stage of included studies and reasons for exclusion. Consider use of a flow diagram</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4-5</w:t>
            </w: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Detailed information, such as </w:t>
            </w:r>
            <w:r>
              <w:rPr>
                <w:rFonts w:hint="eastAsia" w:ascii="Times New Roman" w:hAnsi="Times New Roman" w:eastAsia="宋体"/>
                <w:color w:val="000000" w:themeColor="text1"/>
                <w:sz w:val="18"/>
                <w:szCs w:val="18"/>
                <w:lang w:val="en-US" w:eastAsia="zh-CN"/>
                <w14:textFill>
                  <w14:solidFill>
                    <w14:schemeClr w14:val="tx1"/>
                  </w14:solidFill>
                </w14:textFill>
              </w:rPr>
              <w:t>p</w:t>
            </w:r>
            <w:r>
              <w:rPr>
                <w:rFonts w:hint="eastAsia" w:ascii="Times New Roman" w:hAnsi="Times New Roman" w:eastAsia="Times New Roman"/>
                <w:color w:val="000000" w:themeColor="text1"/>
                <w:sz w:val="18"/>
                <w:szCs w:val="18"/>
                <w:lang w:val="en-GB" w:eastAsia="en-GB"/>
                <w14:textFill>
                  <w14:solidFill>
                    <w14:schemeClr w14:val="tx1"/>
                  </w14:solidFill>
                </w14:textFill>
              </w:rPr>
              <w:t>opulation recruitment criteria and quality control of genetic data</w:t>
            </w:r>
            <w:r>
              <w:rPr>
                <w:rFonts w:ascii="Times New Roman" w:hAnsi="Times New Roman" w:eastAsia="Times New Roman"/>
                <w:color w:val="000000" w:themeColor="text1"/>
                <w:sz w:val="18"/>
                <w:szCs w:val="18"/>
                <w:lang w:val="en-GB" w:eastAsia="en-GB"/>
                <w14:textFill>
                  <w14:solidFill>
                    <w14:schemeClr w14:val="tx1"/>
                  </w14:solidFill>
                </w14:textFill>
              </w:rPr>
              <w:t>,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Line78-Line98</w:t>
            </w:r>
            <w:r>
              <w:rPr>
                <w:rFonts w:ascii="Times New Roman" w:hAnsi="Times New Roman" w:eastAsia="Times New Roman"/>
                <w:color w:val="000000" w:themeColor="text1"/>
                <w:sz w:val="18"/>
                <w:szCs w:val="18"/>
                <w:lang w:val="en-GB" w:eastAsia="en-GB"/>
                <w14:textFill>
                  <w14:solidFill>
                    <w14:schemeClr w14:val="tx1"/>
                  </w14:solidFill>
                </w14:textFill>
              </w:rPr>
              <w:t>).</w:t>
            </w:r>
          </w:p>
        </w:tc>
      </w:tr>
      <w:bookmarkEnd w:id="1"/>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Report summary statistics for phenotypic exposure(s), outcome(s), and other relevant variables (e.g. means, SDs, proportions)</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4-5</w:t>
            </w:r>
          </w:p>
        </w:tc>
        <w:tc>
          <w:tcPr>
            <w:tcW w:w="6861"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The microbial composition was analyzed by targeting three different variable regions of the 16S rRNA gene: V1-V2 (3716 samples, 5 cohorts), V3-V4 (4211 samples, 6 cohorts), and V4 (10413 samples, 13 cohorts), and evaluated 211 taxa at five different levels (131 genera, 35 families, 20 orders, 16 phyla, and 9 classes). Ultimately, the study obtained 122,110 variant loci from 211 taxa......Data for the genome-wide association study of pneumonia (critical care) and pneumonia (critical care 28-day death) were obtained from the UKB</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,UKB provided a total of 431,365 </w:t>
            </w:r>
            <w:bookmarkStart w:id="2" w:name="_Hlk131859950"/>
            <w:r>
              <w:rPr>
                <w:rFonts w:hint="eastAsia" w:ascii="Times New Roman" w:hAnsi="Times New Roman" w:eastAsia="宋体"/>
                <w:color w:val="000000" w:themeColor="text1"/>
                <w:sz w:val="18"/>
                <w:szCs w:val="18"/>
                <w:lang w:val="en-US" w:eastAsia="zh-CN"/>
                <w14:textFill>
                  <w14:solidFill>
                    <w14:schemeClr w14:val="tx1"/>
                  </w14:solidFill>
                </w14:textFill>
              </w:rPr>
              <w:t>samples of patients with</w:t>
            </w:r>
            <w:bookmarkEnd w:id="2"/>
            <w:r>
              <w:rPr>
                <w:rFonts w:hint="eastAsia" w:ascii="Times New Roman" w:hAnsi="Times New Roman" w:eastAsia="宋体"/>
                <w:color w:val="000000" w:themeColor="text1"/>
                <w:sz w:val="18"/>
                <w:szCs w:val="18"/>
                <w:lang w:val="en-US" w:eastAsia="zh-CN"/>
                <w14:textFill>
                  <w14:solidFill>
                    <w14:schemeClr w14:val="tx1"/>
                  </w14:solidFill>
                </w14:textFill>
              </w:rPr>
              <w:t xml:space="preserve"> pneumonia (critical care) and 313,365 samples of patients with pneumonia (critical care 28-day death), with adjustments made for potential covariates such as sex, age, and other factors. The former included 2758 patients</w:t>
            </w:r>
            <w:bookmarkStart w:id="3" w:name="_Hlk131860217"/>
            <w:r>
              <w:rPr>
                <w:rFonts w:hint="eastAsia" w:ascii="Times New Roman" w:hAnsi="Times New Roman" w:eastAsia="宋体"/>
                <w:color w:val="000000" w:themeColor="text1"/>
                <w:sz w:val="18"/>
                <w:szCs w:val="18"/>
                <w:lang w:val="en-US" w:eastAsia="zh-CN"/>
                <w14:textFill>
                  <w14:solidFill>
                    <w14:schemeClr w14:val="tx1"/>
                  </w14:solidFill>
                </w14:textFill>
              </w:rPr>
              <w:t xml:space="preserve"> with pneumonia</w:t>
            </w:r>
            <w:bookmarkEnd w:id="3"/>
            <w:r>
              <w:rPr>
                <w:rFonts w:hint="eastAsia" w:ascii="Times New Roman" w:hAnsi="Times New Roman" w:eastAsia="宋体"/>
                <w:color w:val="000000" w:themeColor="text1"/>
                <w:sz w:val="18"/>
                <w:szCs w:val="18"/>
                <w:lang w:val="en-US" w:eastAsia="zh-CN"/>
                <w14:textFill>
                  <w14:solidFill>
                    <w14:schemeClr w14:val="tx1"/>
                  </w14:solidFill>
                </w14:textFill>
              </w:rPr>
              <w:t xml:space="preserve"> (critical care) and 428,697 control subjects, and the latter included 803 patients with pneumonia (28-day death in critical care) and 30,562 control subjects.</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c)</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If the data sources include meta-analyses of previous studies, provide the assessments of heterogeneity across these studies</w:t>
            </w:r>
          </w:p>
        </w:tc>
        <w:tc>
          <w:tcPr>
            <w:tcW w:w="1070" w:type="dxa"/>
          </w:tcPr>
          <w:p>
            <w:pPr>
              <w:spacing w:before="127" w:beforeLines="40" w:after="127" w:afterLines="40" w:line="24" w:lineRule="atLeast"/>
              <w:rPr>
                <w:rFonts w:ascii="Times New Roman" w:hAnsi="Times New Roman" w:eastAsia="宋体"/>
                <w:color w:val="000000" w:themeColor="text1"/>
                <w:sz w:val="18"/>
                <w:szCs w:val="18"/>
                <w:lang w:val="en-GB" w:eastAsia="en-GB"/>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No Applicable</w:t>
            </w:r>
          </w:p>
        </w:tc>
        <w:tc>
          <w:tcPr>
            <w:tcW w:w="6861"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d)</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For </w:t>
            </w:r>
            <w:r>
              <w:rPr>
                <w:rFonts w:ascii="Times New Roman" w:hAnsi="Times New Roman" w:eastAsia="Times New Roman"/>
                <w:iCs/>
                <w:color w:val="000000" w:themeColor="text1"/>
                <w:sz w:val="18"/>
                <w:szCs w:val="18"/>
                <w:lang w:val="en-GB" w:eastAsia="en-GB"/>
                <w14:textFill>
                  <w14:solidFill>
                    <w14:schemeClr w14:val="tx1"/>
                  </w14:solidFill>
                </w14:textFill>
              </w:rPr>
              <w:t>two-sample</w:t>
            </w:r>
            <w:r>
              <w:rPr>
                <w:rFonts w:ascii="Times New Roman" w:hAnsi="Times New Roman" w:eastAsia="Times New Roman"/>
                <w:color w:val="000000" w:themeColor="text1"/>
                <w:sz w:val="18"/>
                <w:szCs w:val="18"/>
                <w:lang w:val="en-GB" w:eastAsia="en-GB"/>
                <w14:textFill>
                  <w14:solidFill>
                    <w14:schemeClr w14:val="tx1"/>
                  </w14:solidFill>
                </w14:textFill>
              </w:rPr>
              <w:t xml:space="preserve"> MR:</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   i.  Provide justification of the similarity of the genetic variant-exposure associations between the exposure and outcome samples</w:t>
            </w:r>
          </w:p>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   ii.  Provide information on the number of individuals who overlap between the exposure and outcome studies</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4-5</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The GWAS sample populations primarily consist of individuals of European ancestry and are largely independent of each other.</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11</w:t>
            </w:r>
          </w:p>
        </w:tc>
        <w:tc>
          <w:tcPr>
            <w:tcW w:w="1706"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Main results</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Report the associations between genetic variant and exposure, and between genetic variant and outcome, preferably on an interpretable scale</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4-5</w:t>
            </w:r>
          </w:p>
        </w:tc>
        <w:tc>
          <w:tcPr>
            <w:tcW w:w="6861" w:type="dxa"/>
            <w:shd w:val="clear" w:color="auto" w:fill="EEEEEE"/>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Description column</w:t>
            </w:r>
          </w:p>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Detailed information, such as </w:t>
            </w:r>
            <w:r>
              <w:rPr>
                <w:rFonts w:hint="eastAsia" w:ascii="Times New Roman" w:hAnsi="Times New Roman" w:eastAsia="宋体"/>
                <w:color w:val="000000" w:themeColor="text1"/>
                <w:sz w:val="18"/>
                <w:szCs w:val="18"/>
                <w:lang w:val="en-US" w:eastAsia="zh-CN"/>
                <w14:textFill>
                  <w14:solidFill>
                    <w14:schemeClr w14:val="tx1"/>
                  </w14:solidFill>
                </w14:textFill>
              </w:rPr>
              <w:t>p</w:t>
            </w:r>
            <w:r>
              <w:rPr>
                <w:rFonts w:hint="eastAsia" w:ascii="Times New Roman" w:hAnsi="Times New Roman" w:eastAsia="Times New Roman"/>
                <w:color w:val="000000" w:themeColor="text1"/>
                <w:sz w:val="18"/>
                <w:szCs w:val="18"/>
                <w:lang w:val="en-GB" w:eastAsia="en-GB"/>
                <w14:textFill>
                  <w14:solidFill>
                    <w14:schemeClr w14:val="tx1"/>
                  </w14:solidFill>
                </w14:textFill>
              </w:rPr>
              <w:t>opulation recruitment criteria and quality control of genetic data</w:t>
            </w:r>
            <w:r>
              <w:rPr>
                <w:rFonts w:ascii="Times New Roman" w:hAnsi="Times New Roman" w:eastAsia="Times New Roman"/>
                <w:color w:val="000000" w:themeColor="text1"/>
                <w:sz w:val="18"/>
                <w:szCs w:val="18"/>
                <w:lang w:val="en-GB" w:eastAsia="en-GB"/>
                <w14:textFill>
                  <w14:solidFill>
                    <w14:schemeClr w14:val="tx1"/>
                  </w14:solidFill>
                </w14:textFill>
              </w:rPr>
              <w:t>, can be found in the original paper (</w:t>
            </w:r>
            <w:r>
              <w:rPr>
                <w:rFonts w:hint="eastAsia" w:ascii="Times New Roman" w:hAnsi="Times New Roman" w:eastAsia="宋体"/>
                <w:color w:val="000000" w:themeColor="text1"/>
                <w:sz w:val="18"/>
                <w:szCs w:val="18"/>
                <w:lang w:val="en-US" w:eastAsia="zh-CN"/>
                <w14:textFill>
                  <w14:solidFill>
                    <w14:schemeClr w14:val="tx1"/>
                  </w14:solidFill>
                </w14:textFill>
              </w:rPr>
              <w:t>Line78-Line98</w:t>
            </w:r>
            <w:r>
              <w:rPr>
                <w:rFonts w:ascii="Times New Roman" w:hAnsi="Times New Roman" w:eastAsia="Times New Roman"/>
                <w:color w:val="000000" w:themeColor="text1"/>
                <w:sz w:val="18"/>
                <w:szCs w:val="18"/>
                <w:lang w:val="en-GB" w:eastAsia="en-GB"/>
                <w14:textFill>
                  <w14:solidFill>
                    <w14:schemeClr w14:val="tx1"/>
                  </w14:solidFill>
                </w14:textFill>
              </w:rPr>
              <w:t>).</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Report MR estimates of the relationship between exposure and outcome, and the measures of uncertainty from the MR analysis, on an interpretable scale, such as odds ratio or relative risk per SD difference</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12-13</w:t>
            </w:r>
          </w:p>
        </w:tc>
        <w:tc>
          <w:tcPr>
            <w:tcW w:w="6861" w:type="dxa"/>
          </w:tcPr>
          <w:p>
            <w:pPr>
              <w:spacing w:before="127" w:beforeLines="40" w:after="127" w:afterLines="40" w:line="24" w:lineRule="atLeast"/>
              <w:rPr>
                <w:rFonts w:hint="default" w:ascii="Times New Roman" w:hAnsi="Times New Roman" w:eastAsia="宋体"/>
                <w:color w:val="000000" w:themeColor="text1"/>
                <w:sz w:val="18"/>
                <w:szCs w:val="18"/>
                <w:lang w:val="en-US"/>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Figure3 and figure4</w:t>
            </w:r>
            <w:r>
              <w:rPr>
                <w:rFonts w:ascii="Times New Roman" w:hAnsi="Times New Roman" w:eastAsia="宋体"/>
                <w:color w:val="000000" w:themeColor="text1"/>
                <w:sz w:val="18"/>
                <w:szCs w:val="18"/>
                <w14:textFill>
                  <w14:solidFill>
                    <w14:schemeClr w14:val="tx1"/>
                  </w14:solidFill>
                </w14:textFill>
              </w:rPr>
              <w:t xml:space="preserve"> display</w:t>
            </w:r>
            <w:r>
              <w:rPr>
                <w:rFonts w:hint="eastAsia" w:ascii="Times New Roman" w:hAnsi="Times New Roman" w:eastAsia="宋体"/>
                <w:color w:val="000000" w:themeColor="text1"/>
                <w:sz w:val="18"/>
                <w:szCs w:val="18"/>
                <w:lang w:val="en-US" w:eastAsia="zh-CN"/>
                <w14:textFill>
                  <w14:solidFill>
                    <w14:schemeClr w14:val="tx1"/>
                  </w14:solidFill>
                </w14:textFill>
              </w:rPr>
              <w:t>ed</w:t>
            </w:r>
            <w:r>
              <w:rPr>
                <w:rFonts w:ascii="Times New Roman" w:hAnsi="Times New Roman" w:eastAsia="宋体"/>
                <w:color w:val="000000" w:themeColor="text1"/>
                <w:sz w:val="18"/>
                <w:szCs w:val="18"/>
                <w14:textFill>
                  <w14:solidFill>
                    <w14:schemeClr w14:val="tx1"/>
                  </w14:solidFill>
                </w14:textFill>
              </w:rPr>
              <w:t xml:space="preserve"> the Mendelian randomization results for 211 taxa and pneumonia</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(critical care)</w:t>
            </w:r>
            <w:r>
              <w:rPr>
                <w:rFonts w:ascii="Times New Roman" w:hAnsi="Times New Roman" w:eastAsia="宋体"/>
                <w:color w:val="000000" w:themeColor="text1"/>
                <w:sz w:val="18"/>
                <w:szCs w:val="18"/>
                <w14:textFill>
                  <w14:solidFill>
                    <w14:schemeClr w14:val="tx1"/>
                  </w14:solidFill>
                </w14:textFill>
              </w:rPr>
              <w:t xml:space="preserve"> or pneumonia</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(28 day death in critical care)</w:t>
            </w:r>
            <w:r>
              <w:rPr>
                <w:rFonts w:ascii="Times New Roman" w:hAnsi="Times New Roman" w:eastAsia="宋体"/>
                <w:color w:val="000000" w:themeColor="text1"/>
                <w:sz w:val="18"/>
                <w:szCs w:val="18"/>
                <w14:textFill>
                  <w14:solidFill>
                    <w14:schemeClr w14:val="tx1"/>
                  </w14:solidFill>
                </w14:textFill>
              </w:rPr>
              <w:t xml:space="preserve"> . Following stringent </w:t>
            </w:r>
            <w:r>
              <w:rPr>
                <w:rFonts w:hint="eastAsia" w:ascii="Times New Roman" w:hAnsi="Times New Roman" w:eastAsia="宋体"/>
                <w:color w:val="000000" w:themeColor="text1"/>
                <w:sz w:val="18"/>
                <w:szCs w:val="18"/>
                <w:lang w:val="en-US" w:eastAsia="zh-CN"/>
                <w14:textFill>
                  <w14:solidFill>
                    <w14:schemeClr w14:val="tx1"/>
                  </w14:solidFill>
                </w14:textFill>
              </w:rPr>
              <w:t>bonferroni</w:t>
            </w:r>
            <w:r>
              <w:rPr>
                <w:rFonts w:ascii="Times New Roman" w:hAnsi="Times New Roman" w:eastAsia="宋体"/>
                <w:color w:val="000000" w:themeColor="text1"/>
                <w:sz w:val="18"/>
                <w:szCs w:val="18"/>
                <w14:textFill>
                  <w14:solidFill>
                    <w14:schemeClr w14:val="tx1"/>
                  </w14:solidFill>
                </w14:textFill>
              </w:rPr>
              <w:t xml:space="preserve"> correction for positive findings, we identified a negative causal effect between phylum Cyanobacteria and pneumonia</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(28 day death in critical care)......Line252-Line276</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c)</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If relevant, consider translating estimates of relative risk into absolute risk for a meaningful time period</w:t>
            </w:r>
          </w:p>
        </w:tc>
        <w:tc>
          <w:tcPr>
            <w:tcW w:w="1070"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No Applicable</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bookmarkStart w:id="4" w:name="OLE_LINK9" w:colFirst="3" w:colLast="4"/>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d)</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Consider plots to visualize results (e.g. forest plot, scatterplot of associations between genetic variants and outcome versus between genetic variants and exposure)</w:t>
            </w:r>
          </w:p>
        </w:tc>
        <w:tc>
          <w:tcPr>
            <w:tcW w:w="1070" w:type="dxa"/>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14</w:t>
            </w:r>
          </w:p>
        </w:tc>
        <w:tc>
          <w:tcPr>
            <w:tcW w:w="6861"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Additional visualizations of the results, including scatter plot, leave-one-out plot, and scatter plot can be found in Additional file : Figure S1-S</w:t>
            </w:r>
            <w:r>
              <w:rPr>
                <w:rFonts w:hint="eastAsia" w:ascii="Times New Roman" w:hAnsi="Times New Roman" w:eastAsia="宋体"/>
                <w:color w:val="000000" w:themeColor="text1"/>
                <w:sz w:val="18"/>
                <w:szCs w:val="18"/>
                <w:lang w:val="en-US" w:eastAsia="zh-CN"/>
                <w14:textFill>
                  <w14:solidFill>
                    <w14:schemeClr w14:val="tx1"/>
                  </w14:solidFill>
                </w14:textFill>
              </w:rPr>
              <w:t>2,</w:t>
            </w:r>
            <w:r>
              <w:rPr>
                <w:rFonts w:ascii="Times New Roman" w:hAnsi="Times New Roman" w:eastAsia="Times New Roman"/>
                <w:color w:val="000000" w:themeColor="text1"/>
                <w:sz w:val="18"/>
                <w:szCs w:val="18"/>
                <w:lang w:val="en-GB" w:eastAsia="en-GB"/>
                <w14:textFill>
                  <w14:solidFill>
                    <w14:schemeClr w14:val="tx1"/>
                  </w14:solidFill>
                </w14:textFill>
              </w:rPr>
              <w:t>leave-one-out plot</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can be found in Additional file:Figure S3-S4.</w:t>
            </w:r>
          </w:p>
        </w:tc>
      </w:tr>
      <w:bookmarkEnd w:id="4"/>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12</w:t>
            </w:r>
          </w:p>
        </w:tc>
        <w:tc>
          <w:tcPr>
            <w:tcW w:w="1706"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Assessment of assumptions</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Report the assessment of the validity of the assumptions</w:t>
            </w:r>
          </w:p>
        </w:tc>
        <w:tc>
          <w:tcPr>
            <w:tcW w:w="1070"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9</w:t>
            </w: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First, we used MR Egger and IVW to assess the heterogeneity of the results and calculated Cochran's Q</w:t>
            </w: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 and I2</w:t>
            </w:r>
            <w:r>
              <w:rPr>
                <w:rFonts w:ascii="Times New Roman" w:hAnsi="Times New Roman" w:eastAsia="Times New Roman"/>
                <w:color w:val="000000" w:themeColor="text1"/>
                <w:sz w:val="18"/>
                <w:szCs w:val="18"/>
                <w:lang w:val="en-GB" w:eastAsia="en-GB"/>
                <w14:textFill>
                  <w14:solidFill>
                    <w14:schemeClr w14:val="tx1"/>
                  </w14:solidFill>
                </w14:textFill>
              </w:rPr>
              <w:t xml:space="preserve"> to evaluate the magnitude of heterogeneity. Second, for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 we used two methods, one was to test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by the MR Egger intercept method and the other was to assess the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of instrumental variables by MR-PRESSO global test . P &gt; 0.05 for both methods indicated no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We also evaluated heterogeneity by MR-PRESSO Outlier-corrected to further screen out the SNPs that led to the presence of horizontal pleiotropy. Third, we determined whether a particular SNP caused a significant change in the results by eliminating SNPs one by one, and assessed the reliability of the results using the IVW method.</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bookmarkStart w:id="5" w:name="OLE_LINK8" w:colFirst="3" w:colLast="4"/>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Report any additional statistics (e.g., assessments of heterogeneity </w:t>
            </w:r>
            <w:r>
              <w:rPr>
                <w:rFonts w:ascii="Times New Roman" w:hAnsi="Times New Roman" w:eastAsia="Times New Roman"/>
                <w:color w:val="000000" w:themeColor="text1"/>
                <w:sz w:val="18"/>
                <w:szCs w:val="18"/>
                <w:lang w:eastAsia="en-GB"/>
                <w14:textFill>
                  <w14:solidFill>
                    <w14:schemeClr w14:val="tx1"/>
                  </w14:solidFill>
                </w14:textFill>
              </w:rPr>
              <w:t>across genetic variants</w:t>
            </w:r>
            <w:r>
              <w:rPr>
                <w:rFonts w:ascii="Times New Roman" w:hAnsi="Times New Roman" w:eastAsia="Times New Roman"/>
                <w:color w:val="000000" w:themeColor="text1"/>
                <w:sz w:val="18"/>
                <w:szCs w:val="18"/>
                <w:lang w:val="en-GB" w:eastAsia="en-GB"/>
                <w14:textFill>
                  <w14:solidFill>
                    <w14:schemeClr w14:val="tx1"/>
                  </w14:solidFill>
                </w14:textFill>
              </w:rPr>
              <w:t xml:space="preserve">, such as </w:t>
            </w:r>
            <w:r>
              <w:rPr>
                <w:rFonts w:ascii="Times New Roman" w:hAnsi="Times New Roman" w:eastAsia="Times New Roman"/>
                <w:i/>
                <w:color w:val="000000" w:themeColor="text1"/>
                <w:sz w:val="18"/>
                <w:szCs w:val="18"/>
                <w:lang w:val="en-GB" w:eastAsia="en-GB"/>
                <w14:textFill>
                  <w14:solidFill>
                    <w14:schemeClr w14:val="tx1"/>
                  </w14:solidFill>
                </w14:textFill>
              </w:rPr>
              <w:t>I</w:t>
            </w:r>
            <w:r>
              <w:rPr>
                <w:rFonts w:ascii="Times New Roman" w:hAnsi="Times New Roman" w:eastAsia="Times New Roman"/>
                <w:i/>
                <w:color w:val="000000" w:themeColor="text1"/>
                <w:sz w:val="18"/>
                <w:szCs w:val="18"/>
                <w:vertAlign w:val="superscript"/>
                <w:lang w:val="en-GB" w:eastAsia="en-GB"/>
                <w14:textFill>
                  <w14:solidFill>
                    <w14:schemeClr w14:val="tx1"/>
                  </w14:solidFill>
                </w14:textFill>
              </w:rPr>
              <w:t>2</w:t>
            </w:r>
            <w:r>
              <w:rPr>
                <w:rFonts w:ascii="Times New Roman" w:hAnsi="Times New Roman" w:eastAsia="Times New Roman"/>
                <w:color w:val="000000" w:themeColor="text1"/>
                <w:sz w:val="18"/>
                <w:szCs w:val="18"/>
                <w:lang w:val="en-GB" w:eastAsia="en-GB"/>
                <w14:textFill>
                  <w14:solidFill>
                    <w14:schemeClr w14:val="tx1"/>
                  </w14:solidFill>
                </w14:textFill>
              </w:rPr>
              <w:t>, Q statistic or E-value)</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1</w:t>
            </w:r>
            <w:r>
              <w:rPr>
                <w:rFonts w:hint="eastAsia" w:ascii="Times New Roman" w:hAnsi="Times New Roman" w:eastAsia="宋体"/>
                <w:color w:val="000000" w:themeColor="text1"/>
                <w:sz w:val="18"/>
                <w:szCs w:val="18"/>
                <w:lang w:val="en-US" w:eastAsia="zh-CN"/>
                <w14:textFill>
                  <w14:solidFill>
                    <w14:schemeClr w14:val="tx1"/>
                  </w14:solidFill>
                </w14:textFill>
              </w:rPr>
              <w:t>4,</w:t>
            </w:r>
            <w:r>
              <w:rPr>
                <w:rFonts w:ascii="Times New Roman" w:hAnsi="Times New Roman" w:eastAsia="宋体"/>
                <w:color w:val="000000" w:themeColor="text1"/>
                <w:sz w:val="18"/>
                <w:szCs w:val="18"/>
                <w14:textFill>
                  <w14:solidFill>
                    <w14:schemeClr w14:val="tx1"/>
                  </w14:solidFill>
                </w14:textFill>
              </w:rPr>
              <w:t>Table</w:t>
            </w:r>
            <w:r>
              <w:rPr>
                <w:rFonts w:hint="eastAsia" w:ascii="Times New Roman" w:hAnsi="Times New Roman" w:eastAsia="宋体"/>
                <w:color w:val="000000" w:themeColor="text1"/>
                <w:sz w:val="18"/>
                <w:szCs w:val="18"/>
                <w:lang w:val="en-US" w:eastAsia="zh-CN"/>
                <w14:textFill>
                  <w14:solidFill>
                    <w14:schemeClr w14:val="tx1"/>
                  </w14:solidFill>
                </w14:textFill>
              </w:rPr>
              <w:t>2,Table3 and FigureS3,FigureS4</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The MR results were found to be significant, and we further performed sensitivity analyses. The Cochran Q test</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and I</w:t>
            </w:r>
            <w:r>
              <w:rPr>
                <w:rFonts w:hint="eastAsia" w:ascii="Times New Roman" w:hAnsi="Times New Roman" w:eastAsia="宋体"/>
                <w:color w:val="000000" w:themeColor="text1"/>
                <w:sz w:val="18"/>
                <w:szCs w:val="18"/>
                <w:vertAlign w:val="superscript"/>
                <w:lang w:val="en-US" w:eastAsia="zh-CN"/>
                <w14:textFill>
                  <w14:solidFill>
                    <w14:schemeClr w14:val="tx1"/>
                  </w14:solidFill>
                </w14:textFill>
              </w:rPr>
              <w:t>2</w:t>
            </w:r>
            <w:r>
              <w:rPr>
                <w:rFonts w:ascii="Times New Roman" w:hAnsi="Times New Roman" w:eastAsia="Times New Roman"/>
                <w:color w:val="000000" w:themeColor="text1"/>
                <w:sz w:val="18"/>
                <w:szCs w:val="18"/>
                <w:lang w:val="en-GB" w:eastAsia="en-GB"/>
                <w14:textFill>
                  <w14:solidFill>
                    <w14:schemeClr w14:val="tx1"/>
                  </w14:solidFill>
                </w14:textFill>
              </w:rPr>
              <w:t xml:space="preserve"> in Table 2 and Table 3 did not detect heterogeneity (</w:t>
            </w: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I2&lt;50% and </w:t>
            </w:r>
            <w:r>
              <w:rPr>
                <w:rFonts w:ascii="Times New Roman" w:hAnsi="Times New Roman" w:eastAsia="Times New Roman"/>
                <w:color w:val="000000" w:themeColor="text1"/>
                <w:sz w:val="18"/>
                <w:szCs w:val="18"/>
                <w:lang w:val="en-GB" w:eastAsia="en-GB"/>
                <w14:textFill>
                  <w14:solidFill>
                    <w14:schemeClr w14:val="tx1"/>
                  </w14:solidFill>
                </w14:textFill>
              </w:rPr>
              <w:t xml:space="preserve">P&gt;0.05). MR-Egger intercept analysis and MR-PRESSO global test did not reveal potential horizontal pleiotropy (P&gt;0.05). </w:t>
            </w: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All information about the heterogeneity and pleiotropy could be found in Supplementary table11. </w:t>
            </w:r>
            <w:r>
              <w:rPr>
                <w:rFonts w:ascii="Times New Roman" w:hAnsi="Times New Roman" w:eastAsia="Times New Roman"/>
                <w:color w:val="000000" w:themeColor="text1"/>
                <w:sz w:val="18"/>
                <w:szCs w:val="18"/>
                <w:lang w:val="en-GB" w:eastAsia="en-GB"/>
                <w14:textFill>
                  <w14:solidFill>
                    <w14:schemeClr w14:val="tx1"/>
                  </w14:solidFill>
                </w14:textFill>
              </w:rPr>
              <w:t>MR-PRESSO Outlier-corrected test did not find the presence of outlier points. Finally, a leave-one-out analysis was performed (</w:t>
            </w:r>
            <w:r>
              <w:rPr>
                <w:rFonts w:hint="eastAsia" w:ascii="Times New Roman" w:hAnsi="Times New Roman" w:eastAsia="Times New Roman"/>
                <w:color w:val="000000" w:themeColor="text1"/>
                <w:sz w:val="18"/>
                <w:szCs w:val="18"/>
                <w:lang w:val="en-GB" w:eastAsia="en-GB"/>
                <w14:textFill>
                  <w14:solidFill>
                    <w14:schemeClr w14:val="tx1"/>
                  </w14:solidFill>
                </w14:textFill>
              </w:rPr>
              <w:t>Additional file1:Figure S3;</w:t>
            </w:r>
            <w:r>
              <w:rPr>
                <w:rFonts w:ascii="Times New Roman" w:hAnsi="Times New Roman" w:eastAsia="Times New Roman"/>
                <w:color w:val="000000" w:themeColor="text1"/>
                <w:sz w:val="18"/>
                <w:szCs w:val="18"/>
                <w:lang w:val="en-GB" w:eastAsia="en-GB"/>
                <w14:textFill>
                  <w14:solidFill>
                    <w14:schemeClr w14:val="tx1"/>
                  </w14:solidFill>
                </w14:textFill>
              </w:rPr>
              <w:t xml:space="preserve">Figure </w:t>
            </w:r>
            <w:r>
              <w:rPr>
                <w:rFonts w:hint="eastAsia" w:ascii="Times New Roman" w:hAnsi="Times New Roman" w:eastAsia="Times New Roman"/>
                <w:color w:val="000000" w:themeColor="text1"/>
                <w:sz w:val="18"/>
                <w:szCs w:val="18"/>
                <w:lang w:val="en-GB" w:eastAsia="en-GB"/>
                <w14:textFill>
                  <w14:solidFill>
                    <w14:schemeClr w14:val="tx1"/>
                  </w14:solidFill>
                </w14:textFill>
              </w:rPr>
              <w:t>S</w:t>
            </w:r>
            <w:r>
              <w:rPr>
                <w:rFonts w:ascii="Times New Roman" w:hAnsi="Times New Roman" w:eastAsia="Times New Roman"/>
                <w:color w:val="000000" w:themeColor="text1"/>
                <w:sz w:val="18"/>
                <w:szCs w:val="18"/>
                <w:lang w:val="en-GB" w:eastAsia="en-GB"/>
                <w14:textFill>
                  <w14:solidFill>
                    <w14:schemeClr w14:val="tx1"/>
                  </w14:solidFill>
                </w14:textFill>
              </w:rPr>
              <w:t>4,), which supported that the MR results were not influenced by a single SNP.</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p>
        </w:tc>
      </w:tr>
      <w:bookmarkEnd w:id="5"/>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13</w:t>
            </w:r>
          </w:p>
        </w:tc>
        <w:tc>
          <w:tcPr>
            <w:tcW w:w="1706"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Sensitivity analyses and additional analyses</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Report any sensitivity analyses to assess the robustness of the main results to violations of the assumptions</w:t>
            </w:r>
          </w:p>
        </w:tc>
        <w:tc>
          <w:tcPr>
            <w:tcW w:w="1070" w:type="dxa"/>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GB"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9</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First, we used MR Egger and IVW to assess the heterogeneity of the results and calculated Cochran's Q</w:t>
            </w: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 and I2</w:t>
            </w:r>
            <w:r>
              <w:rPr>
                <w:rFonts w:ascii="Times New Roman" w:hAnsi="Times New Roman" w:eastAsia="Times New Roman"/>
                <w:color w:val="000000" w:themeColor="text1"/>
                <w:sz w:val="18"/>
                <w:szCs w:val="18"/>
                <w:lang w:val="en-GB" w:eastAsia="en-GB"/>
                <w14:textFill>
                  <w14:solidFill>
                    <w14:schemeClr w14:val="tx1"/>
                  </w14:solidFill>
                </w14:textFill>
              </w:rPr>
              <w:t xml:space="preserve"> to evaluate the magnitude of heterogeneity. Second, for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 we used two methods, one was to test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by the MR Egger intercept method and the other was to assess the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xml:space="preserve"> of instrumental variables by MR-PRESSO global test </w:t>
            </w:r>
            <w:r>
              <w:rPr>
                <w:rFonts w:hint="eastAsia" w:ascii="Times New Roman" w:hAnsi="Times New Roman" w:eastAsia="宋体"/>
                <w:color w:val="000000" w:themeColor="text1"/>
                <w:sz w:val="18"/>
                <w:szCs w:val="18"/>
                <w:lang w:val="en-US" w:eastAsia="zh-CN"/>
                <w14:textFill>
                  <w14:solidFill>
                    <w14:schemeClr w14:val="tx1"/>
                  </w14:solidFill>
                </w14:textFill>
              </w:rPr>
              <w:t>.</w:t>
            </w:r>
            <w:r>
              <w:rPr>
                <w:rFonts w:ascii="Times New Roman" w:hAnsi="Times New Roman" w:eastAsia="Times New Roman"/>
                <w:color w:val="000000" w:themeColor="text1"/>
                <w:sz w:val="18"/>
                <w:szCs w:val="18"/>
                <w:lang w:val="en-GB" w:eastAsia="en-GB"/>
                <w14:textFill>
                  <w14:solidFill>
                    <w14:schemeClr w14:val="tx1"/>
                  </w14:solidFill>
                </w14:textFill>
              </w:rPr>
              <w:t xml:space="preserve">P &gt; 0.05 for both methods indicated no horizontal </w:t>
            </w:r>
            <w:r>
              <w:rPr>
                <w:rFonts w:hint="eastAsia" w:ascii="Times New Roman" w:hAnsi="Times New Roman" w:eastAsia="Times New Roman"/>
                <w:color w:val="000000" w:themeColor="text1"/>
                <w:sz w:val="18"/>
                <w:szCs w:val="18"/>
                <w:lang w:val="en-GB" w:eastAsia="en-GB"/>
                <w14:textFill>
                  <w14:solidFill>
                    <w14:schemeClr w14:val="tx1"/>
                  </w14:solidFill>
                </w14:textFill>
              </w:rPr>
              <w:t>pleiotropy</w:t>
            </w:r>
            <w:r>
              <w:rPr>
                <w:rFonts w:ascii="Times New Roman" w:hAnsi="Times New Roman" w:eastAsia="Times New Roman"/>
                <w:color w:val="000000" w:themeColor="text1"/>
                <w:sz w:val="18"/>
                <w:szCs w:val="18"/>
                <w:lang w:val="en-GB" w:eastAsia="en-GB"/>
                <w14:textFill>
                  <w14:solidFill>
                    <w14:schemeClr w14:val="tx1"/>
                  </w14:solidFill>
                </w14:textFill>
              </w:rPr>
              <w:t>. We also evaluated heterogeneity by MR-PRESSO Outlier-corrected to further screen out the SNPs that led to the presence of horizontal pleiotropy. Third, we determined whether a particular SNP caused a significant change in the results by eliminating SNPs one by one, and assessed the reliability of the results using the IVW method.</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Report results from other sensitivity analyses or additional analyses</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TableS9 and TableS10</w:t>
            </w:r>
          </w:p>
        </w:tc>
        <w:tc>
          <w:tcPr>
            <w:tcW w:w="6861"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We conducted Mendelian randomization analyses to examine the relationship between gut microbiota and pneumonia at two different thresholds. Additionally, we performed colocalization analyses to investigate potential shared genetic variants at genome-wide significant loci in the positive results.</w:t>
            </w:r>
            <w:r>
              <w:rPr>
                <w:rFonts w:hint="eastAsia" w:ascii="Times New Roman" w:hAnsi="Times New Roman" w:eastAsia="宋体"/>
                <w:color w:val="000000" w:themeColor="text1"/>
                <w:sz w:val="18"/>
                <w:szCs w:val="18"/>
                <w:lang w:val="en-US" w:eastAsia="zh-CN"/>
                <w14:textFill>
                  <w14:solidFill>
                    <w14:schemeClr w14:val="tx1"/>
                  </w14:solidFill>
                </w14:textFill>
              </w:rPr>
              <w:t>All results were provided in TableS9 and TableS10.</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c)</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Report any assessment of direction of causal relationship (e.g., bidirectional MR)</w:t>
            </w:r>
          </w:p>
        </w:tc>
        <w:tc>
          <w:tcPr>
            <w:tcW w:w="1070" w:type="dxa"/>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3</w:t>
            </w:r>
          </w:p>
        </w:tc>
        <w:tc>
          <w:tcPr>
            <w:tcW w:w="6861" w:type="dxa"/>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We conducted a two-sample Mendelian randomization study to investigate the relationship between gut microbiota and pneumonia (critical care), pneumonia (28-day death in critical care) causality</w:t>
            </w:r>
            <w:r>
              <w:rPr>
                <w:rFonts w:hint="eastAsia" w:ascii="Times New Roman" w:hAnsi="Times New Roman" w:eastAsia="宋体"/>
                <w:color w:val="000000" w:themeColor="text1"/>
                <w:sz w:val="18"/>
                <w:szCs w:val="18"/>
                <w:lang w:val="en-US" w:eastAsia="zh-CN"/>
                <w14:textFill>
                  <w14:solidFill>
                    <w14:schemeClr w14:val="tx1"/>
                  </w14:solidFill>
                </w14:textFill>
              </w:rPr>
              <w:t>.</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d)</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When relevant, report and compare with estimates from non-MR analyses</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12</w:t>
            </w:r>
            <w:r>
              <w:rPr>
                <w:rFonts w:hint="eastAsia" w:ascii="Times New Roman" w:hAnsi="Times New Roman" w:eastAsia="宋体"/>
                <w:color w:val="000000" w:themeColor="text1"/>
                <w:sz w:val="18"/>
                <w:szCs w:val="18"/>
                <w:lang w:val="en-US" w:eastAsia="zh-CN"/>
                <w14:textFill>
                  <w14:solidFill>
                    <w14:schemeClr w14:val="tx1"/>
                  </w14:solidFill>
                </w14:textFill>
              </w:rPr>
              <w:t>,13,15</w:t>
            </w:r>
            <w:r>
              <w:rPr>
                <w:rFonts w:ascii="Times New Roman" w:hAnsi="Times New Roman" w:eastAsia="宋体"/>
                <w:color w:val="000000" w:themeColor="text1"/>
                <w:sz w:val="18"/>
                <w:szCs w:val="18"/>
                <w14:textFill>
                  <w14:solidFill>
                    <w14:schemeClr w14:val="tx1"/>
                  </w14:solidFill>
                </w14:textFill>
              </w:rPr>
              <w:t>, Figure</w:t>
            </w:r>
            <w:r>
              <w:rPr>
                <w:rFonts w:hint="eastAsia" w:ascii="Times New Roman" w:hAnsi="Times New Roman" w:eastAsia="宋体"/>
                <w:color w:val="000000" w:themeColor="text1"/>
                <w:sz w:val="18"/>
                <w:szCs w:val="18"/>
                <w:lang w:val="en-US" w:eastAsia="zh-CN"/>
                <w14:textFill>
                  <w14:solidFill>
                    <w14:schemeClr w14:val="tx1"/>
                  </w14:solidFill>
                </w14:textFill>
              </w:rPr>
              <w:t>5,Figure6,Figure7A and Figure8A</w:t>
            </w:r>
          </w:p>
        </w:tc>
        <w:tc>
          <w:tcPr>
            <w:tcW w:w="6861"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14:textFill>
                  <w14:solidFill>
                    <w14:schemeClr w14:val="tx1"/>
                  </w14:solidFill>
                </w14:textFill>
              </w:rPr>
              <w:t>Figure3 and figure4 displayed the Mendelian randomization results for 211 taxa and pneumonia (critical care) or pneumonia (28 day death in critical care)</w:t>
            </w:r>
            <w:r>
              <w:rPr>
                <w:rFonts w:hint="eastAsia" w:ascii="Times New Roman" w:hAnsi="Times New Roman" w:eastAsia="宋体"/>
                <w:color w:val="000000" w:themeColor="text1"/>
                <w:sz w:val="18"/>
                <w:szCs w:val="18"/>
                <w:lang w:val="en-US" w:eastAsia="zh-CN"/>
                <w14:textFill>
                  <w14:solidFill>
                    <w14:schemeClr w14:val="tx1"/>
                  </w14:solidFill>
                </w14:textFill>
              </w:rPr>
              <w:t>......</w:t>
            </w:r>
            <w:r>
              <w:rPr>
                <w:rFonts w:hint="eastAsia" w:ascii="Times New Roman" w:hAnsi="Times New Roman" w:eastAsia="宋体"/>
                <w:color w:val="000000" w:themeColor="text1"/>
                <w:sz w:val="18"/>
                <w:szCs w:val="18"/>
                <w14:textFill>
                  <w14:solidFill>
                    <w14:schemeClr w14:val="tx1"/>
                  </w14:solidFill>
                </w14:textFill>
              </w:rPr>
              <w:t xml:space="preserve"> Finally, we employed forest plots (Fig</w:t>
            </w:r>
            <w:r>
              <w:rPr>
                <w:rFonts w:hint="eastAsia" w:ascii="Times New Roman" w:hAnsi="Times New Roman" w:eastAsia="宋体"/>
                <w:color w:val="000000" w:themeColor="text1"/>
                <w:sz w:val="18"/>
                <w:szCs w:val="18"/>
                <w:lang w:val="en-US" w:eastAsia="zh-CN"/>
                <w14:textFill>
                  <w14:solidFill>
                    <w14:schemeClr w14:val="tx1"/>
                  </w14:solidFill>
                </w14:textFill>
              </w:rPr>
              <w:t>ure</w:t>
            </w:r>
            <w:r>
              <w:rPr>
                <w:rFonts w:hint="eastAsia" w:ascii="Times New Roman" w:hAnsi="Times New Roman" w:eastAsia="宋体"/>
                <w:color w:val="000000" w:themeColor="text1"/>
                <w:sz w:val="18"/>
                <w:szCs w:val="18"/>
                <w14:textFill>
                  <w14:solidFill>
                    <w14:schemeClr w14:val="tx1"/>
                  </w14:solidFill>
                </w14:textFill>
              </w:rPr>
              <w:t>5 and 6) to visually represent the positive results mentioned above. Further details of all the Mendelian randomization results are available in Supplementary table9</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.Additionally, through </w:t>
            </w:r>
            <w:bookmarkStart w:id="6" w:name="_Hlk131864206"/>
            <w:r>
              <w:rPr>
                <w:rFonts w:hint="eastAsia" w:ascii="Times New Roman" w:hAnsi="Times New Roman" w:eastAsia="宋体"/>
                <w:color w:val="000000" w:themeColor="text1"/>
                <w:sz w:val="18"/>
                <w:szCs w:val="18"/>
                <w:lang w:val="en-US" w:eastAsia="zh-CN"/>
                <w14:textFill>
                  <w14:solidFill>
                    <w14:schemeClr w14:val="tx1"/>
                  </w14:solidFill>
                </w14:textFill>
              </w:rPr>
              <w:t>PERMANOVA analysis</w:t>
            </w:r>
            <w:bookmarkEnd w:id="6"/>
            <w:r>
              <w:rPr>
                <w:rFonts w:hint="eastAsia" w:ascii="Times New Roman" w:hAnsi="Times New Roman" w:eastAsia="宋体"/>
                <w:color w:val="000000" w:themeColor="text1"/>
                <w:sz w:val="18"/>
                <w:szCs w:val="18"/>
                <w:lang w:val="en-US" w:eastAsia="zh-CN"/>
                <w14:textFill>
                  <w14:solidFill>
                    <w14:schemeClr w14:val="tx1"/>
                  </w14:solidFill>
                </w14:textFill>
              </w:rPr>
              <w:t>, we found that Akkermansia was negatively correlated with lactic acid value(OR 0.750,P=0.050) and ICU hospitalization time(OR 0.736,P=0.036) of ARDS patients with sepsis. (Figure 7A,8A)</w:t>
            </w:r>
          </w:p>
        </w:tc>
      </w:tr>
      <w:tr>
        <w:tblPrEx>
          <w:tblCellMar>
            <w:top w:w="0" w:type="dxa"/>
            <w:left w:w="108" w:type="dxa"/>
            <w:bottom w:w="0" w:type="dxa"/>
            <w:right w:w="108" w:type="dxa"/>
          </w:tblCellMar>
        </w:tblPrEx>
        <w:trPr>
          <w:trHeight w:val="1245" w:hRule="atLeast"/>
        </w:trPr>
        <w:tc>
          <w:tcPr>
            <w:tcW w:w="614" w:type="dxa"/>
            <w:tcBorders>
              <w:bottom w:val="single" w:color="7F7F7F" w:sz="6" w:space="0"/>
            </w:tcBorders>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tcBorders>
              <w:bottom w:val="single" w:color="7F7F7F" w:sz="6" w:space="0"/>
            </w:tcBorders>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e)</w:t>
            </w:r>
          </w:p>
        </w:tc>
        <w:tc>
          <w:tcPr>
            <w:tcW w:w="520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Consider additional plots to visualize results (e.g., leave-one-out analyses)</w:t>
            </w:r>
          </w:p>
        </w:tc>
        <w:tc>
          <w:tcPr>
            <w:tcW w:w="1070" w:type="dxa"/>
            <w:tcBorders>
              <w:bottom w:val="single" w:color="7F7F7F" w:sz="6" w:space="0"/>
            </w:tcBorders>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11-14</w:t>
            </w:r>
          </w:p>
        </w:tc>
        <w:tc>
          <w:tcPr>
            <w:tcW w:w="6861" w:type="dxa"/>
            <w:tcBorders>
              <w:bottom w:val="single" w:color="7F7F7F" w:sz="6" w:space="0"/>
            </w:tcBorders>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Additional visualizations of the results, including scatter plot</w:t>
            </w:r>
            <w:r>
              <w:rPr>
                <w:rFonts w:hint="eastAsia" w:ascii="Times New Roman" w:hAnsi="Times New Roman" w:eastAsia="宋体"/>
                <w:color w:val="000000" w:themeColor="text1"/>
                <w:sz w:val="18"/>
                <w:szCs w:val="18"/>
                <w:lang w:val="en-US" w:eastAsia="zh-CN"/>
                <w14:textFill>
                  <w14:solidFill>
                    <w14:schemeClr w14:val="tx1"/>
                  </w14:solidFill>
                </w14:textFill>
              </w:rPr>
              <w:t>(FigureS1,FigureS2)</w:t>
            </w:r>
            <w:r>
              <w:rPr>
                <w:rFonts w:ascii="Times New Roman" w:hAnsi="Times New Roman" w:eastAsia="Times New Roman"/>
                <w:color w:val="000000" w:themeColor="text1"/>
                <w:sz w:val="18"/>
                <w:szCs w:val="18"/>
                <w:lang w:val="en-GB" w:eastAsia="en-GB"/>
                <w14:textFill>
                  <w14:solidFill>
                    <w14:schemeClr w14:val="tx1"/>
                  </w14:solidFill>
                </w14:textFill>
              </w:rPr>
              <w:t>, forest plot</w:t>
            </w:r>
            <w:r>
              <w:rPr>
                <w:rFonts w:hint="eastAsia" w:ascii="Times New Roman" w:hAnsi="Times New Roman" w:eastAsia="宋体"/>
                <w:color w:val="000000" w:themeColor="text1"/>
                <w:sz w:val="18"/>
                <w:szCs w:val="18"/>
                <w:lang w:val="en-US" w:eastAsia="zh-CN"/>
                <w14:textFill>
                  <w14:solidFill>
                    <w14:schemeClr w14:val="tx1"/>
                  </w14:solidFill>
                </w14:textFill>
              </w:rPr>
              <w:t>(Figure5,Figure6)</w:t>
            </w:r>
            <w:r>
              <w:rPr>
                <w:rFonts w:ascii="Times New Roman" w:hAnsi="Times New Roman" w:eastAsia="Times New Roman"/>
                <w:color w:val="000000" w:themeColor="text1"/>
                <w:sz w:val="18"/>
                <w:szCs w:val="18"/>
                <w:lang w:val="en-GB" w:eastAsia="en-GB"/>
                <w14:textFill>
                  <w14:solidFill>
                    <w14:schemeClr w14:val="tx1"/>
                  </w14:solidFill>
                </w14:textFill>
              </w:rPr>
              <w:t>, and leave-one-out plot</w:t>
            </w:r>
            <w:r>
              <w:rPr>
                <w:rFonts w:hint="eastAsia" w:ascii="Times New Roman" w:hAnsi="Times New Roman" w:eastAsia="宋体"/>
                <w:color w:val="000000" w:themeColor="text1"/>
                <w:sz w:val="18"/>
                <w:szCs w:val="18"/>
                <w:lang w:val="en-US" w:eastAsia="zh-CN"/>
                <w14:textFill>
                  <w14:solidFill>
                    <w14:schemeClr w14:val="tx1"/>
                  </w14:solidFill>
                </w14:textFill>
              </w:rPr>
              <w:t>(FigureS3,FigureS4)</w:t>
            </w:r>
            <w:r>
              <w:rPr>
                <w:rFonts w:ascii="Times New Roman" w:hAnsi="Times New Roman" w:eastAsia="Times New Roman"/>
                <w:color w:val="000000" w:themeColor="text1"/>
                <w:sz w:val="18"/>
                <w:szCs w:val="18"/>
                <w:lang w:val="en-GB" w:eastAsia="en-GB"/>
                <w14:textFill>
                  <w14:solidFill>
                    <w14:schemeClr w14:val="tx1"/>
                  </w14:solidFill>
                </w14:textFill>
              </w:rPr>
              <w:t xml:space="preserve"> </w:t>
            </w:r>
            <w:r>
              <w:rPr>
                <w:rFonts w:hint="eastAsia" w:ascii="Times New Roman" w:hAnsi="Times New Roman" w:eastAsia="宋体"/>
                <w:color w:val="000000" w:themeColor="text1"/>
                <w:sz w:val="18"/>
                <w:szCs w:val="18"/>
                <w:lang w:val="en-US" w:eastAsia="zh-CN"/>
                <w14:textFill>
                  <w14:solidFill>
                    <w14:schemeClr w14:val="tx1"/>
                  </w14:solidFill>
                </w14:textFill>
              </w:rPr>
              <w:t>,MR plot(Figure3,Figure4).</w:t>
            </w:r>
          </w:p>
        </w:tc>
      </w:tr>
      <w:tr>
        <w:tblPrEx>
          <w:tblCellMar>
            <w:top w:w="0" w:type="dxa"/>
            <w:left w:w="108" w:type="dxa"/>
            <w:bottom w:w="0" w:type="dxa"/>
            <w:right w:w="108" w:type="dxa"/>
          </w:tblCellMar>
        </w:tblPrEx>
        <w:tc>
          <w:tcPr>
            <w:tcW w:w="614"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p>
        </w:tc>
        <w:tc>
          <w:tcPr>
            <w:tcW w:w="1706" w:type="dxa"/>
            <w:tcBorders>
              <w:top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DISCUSSION</w:t>
            </w:r>
          </w:p>
        </w:tc>
        <w:tc>
          <w:tcPr>
            <w:tcW w:w="5201" w:type="dxa"/>
            <w:tcBorders>
              <w:top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14</w:t>
            </w:r>
          </w:p>
        </w:tc>
        <w:tc>
          <w:tcPr>
            <w:tcW w:w="1706"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Key results </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Summarize key results with reference to study objectives</w:t>
            </w:r>
          </w:p>
        </w:tc>
        <w:tc>
          <w:tcPr>
            <w:tcW w:w="1070" w:type="dxa"/>
            <w:shd w:val="clear" w:color="auto" w:fill="EEEEEE"/>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17</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hint="eastAsia" w:ascii="Times New Roman" w:hAnsi="Times New Roman" w:eastAsia="Times New Roman"/>
                <w:color w:val="000000" w:themeColor="text1"/>
                <w:sz w:val="18"/>
                <w:szCs w:val="18"/>
                <w:lang w:val="en-GB" w:eastAsia="en-GB"/>
                <w14:textFill>
                  <w14:solidFill>
                    <w14:schemeClr w14:val="tx1"/>
                  </w14:solidFill>
                </w14:textFill>
              </w:rPr>
              <w:t xml:space="preserve">In our Mendelian randomization analysis study, we found a potential association between gut microbiota and pneumonia, of which 11 gut microbiota taxa had a potential association with pneumonia(critical care), and 9 gut microbiota taxa had a potential association with pneumonia(28 day death in critical care), and through Cochran Q and I2 test, we considered the results across the microbiota cohort to be robust.Notably, the results demonstrated a negative association between the genus Akkermansia and lactate values as well as the length of ICU days in patients with septic ARDS, consistent with the findings of the MR analysis showing a negative association between the genus Akkermansia and 28-day mortality in severe pneumonia. </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15</w:t>
            </w:r>
          </w:p>
        </w:tc>
        <w:tc>
          <w:tcPr>
            <w:tcW w:w="1706"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Limitations</w:t>
            </w:r>
          </w:p>
        </w:tc>
        <w:tc>
          <w:tcPr>
            <w:tcW w:w="5201"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Discuss limitations of the study, taking into account the validity of the IV assumptions, other sources of potential bias, and imprecision. Discuss both direction and magnitude of any potential bias and any efforts to address them</w:t>
            </w:r>
            <w:r>
              <w:rPr>
                <w:rFonts w:ascii="Times New Roman" w:hAnsi="Times New Roman" w:eastAsia="Times New Roman"/>
                <w:color w:val="000000" w:themeColor="text1"/>
                <w:sz w:val="18"/>
                <w:szCs w:val="18"/>
                <w:shd w:val="clear" w:color="auto" w:fill="FFFFFF"/>
                <w:lang w:val="en-GB" w:eastAsia="en-GB"/>
                <w14:textFill>
                  <w14:solidFill>
                    <w14:schemeClr w14:val="tx1"/>
                  </w14:solidFill>
                </w14:textFill>
              </w:rPr>
              <w:t> </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19-20</w:t>
            </w:r>
          </w:p>
        </w:tc>
        <w:tc>
          <w:tcPr>
            <w:tcW w:w="6861" w:type="dxa"/>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First, the GWAS data used in this study mainly consisted of the European population, and the lack of samples from other populations may limit the generalizability of the results. Second, although we enrolled patients with the development of strict criteria for septic ARDS to collect specimens explicitly, it did not fully overlap with severe pneumonia in the MR analysis, and the specimens were sourced from a single center. Third, our findings report a causal relationship between intestinal flora (e.g., Akkermansia) and severe pneumonia, but the specific mechanisms underlying the relationship remain to be further investigated.</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16</w:t>
            </w:r>
          </w:p>
        </w:tc>
        <w:tc>
          <w:tcPr>
            <w:tcW w:w="1706"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Interpretation</w:t>
            </w:r>
          </w:p>
        </w:tc>
        <w:tc>
          <w:tcPr>
            <w:tcW w:w="520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a)</w:t>
            </w:r>
          </w:p>
        </w:tc>
        <w:tc>
          <w:tcPr>
            <w:tcW w:w="5201" w:type="dxa"/>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Meaning: Give a cautious overall interpretation of results in the context of their limitations and in comparison with other studies</w:t>
            </w:r>
          </w:p>
        </w:tc>
        <w:tc>
          <w:tcPr>
            <w:tcW w:w="1070" w:type="dxa"/>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17</w:t>
            </w:r>
          </w:p>
        </w:tc>
        <w:tc>
          <w:tcPr>
            <w:tcW w:w="6861" w:type="dxa"/>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hint="eastAsia" w:ascii="Times New Roman" w:hAnsi="Times New Roman" w:eastAsia="宋体"/>
                <w:color w:val="000000" w:themeColor="text1"/>
                <w:sz w:val="18"/>
                <w:szCs w:val="18"/>
                <w14:textFill>
                  <w14:solidFill>
                    <w14:schemeClr w14:val="tx1"/>
                  </w14:solidFill>
                </w14:textFill>
              </w:rPr>
              <w:t xml:space="preserve">In our Mendelian randomization analysis study, we found a potential association between </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gut </w:t>
            </w:r>
            <w:r>
              <w:rPr>
                <w:rFonts w:hint="eastAsia" w:ascii="Times New Roman" w:hAnsi="Times New Roman" w:eastAsia="宋体"/>
                <w:color w:val="000000" w:themeColor="text1"/>
                <w:sz w:val="18"/>
                <w:szCs w:val="18"/>
                <w14:textFill>
                  <w14:solidFill>
                    <w14:schemeClr w14:val="tx1"/>
                  </w14:solidFill>
                </w14:textFill>
              </w:rPr>
              <w:t>microbiota and pneumonia, of which 11</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gut</w:t>
            </w:r>
            <w:r>
              <w:rPr>
                <w:rFonts w:hint="eastAsia" w:ascii="Times New Roman" w:hAnsi="Times New Roman" w:eastAsia="宋体"/>
                <w:color w:val="000000" w:themeColor="text1"/>
                <w:sz w:val="18"/>
                <w:szCs w:val="18"/>
                <w14:textFill>
                  <w14:solidFill>
                    <w14:schemeClr w14:val="tx1"/>
                  </w14:solidFill>
                </w14:textFill>
              </w:rPr>
              <w:t xml:space="preserve"> microbiota</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taxa</w:t>
            </w:r>
            <w:r>
              <w:rPr>
                <w:rFonts w:hint="eastAsia" w:ascii="Times New Roman" w:hAnsi="Times New Roman" w:eastAsia="宋体"/>
                <w:color w:val="000000" w:themeColor="text1"/>
                <w:sz w:val="18"/>
                <w:szCs w:val="18"/>
                <w14:textFill>
                  <w14:solidFill>
                    <w14:schemeClr w14:val="tx1"/>
                  </w14:solidFill>
                </w14:textFill>
              </w:rPr>
              <w:t xml:space="preserve"> had a potential association with pneumonia</w:t>
            </w:r>
            <w:r>
              <w:rPr>
                <w:rFonts w:hint="eastAsia" w:ascii="Times New Roman" w:hAnsi="Times New Roman" w:eastAsia="宋体"/>
                <w:color w:val="000000" w:themeColor="text1"/>
                <w:sz w:val="18"/>
                <w:szCs w:val="18"/>
                <w:lang w:val="en-US" w:eastAsia="zh-CN"/>
                <w14:textFill>
                  <w14:solidFill>
                    <w14:schemeClr w14:val="tx1"/>
                  </w14:solidFill>
                </w14:textFill>
              </w:rPr>
              <w:t>(critical care)</w:t>
            </w:r>
            <w:r>
              <w:rPr>
                <w:rFonts w:hint="eastAsia" w:ascii="Times New Roman" w:hAnsi="Times New Roman" w:eastAsia="宋体"/>
                <w:color w:val="000000" w:themeColor="text1"/>
                <w:sz w:val="18"/>
                <w:szCs w:val="18"/>
                <w14:textFill>
                  <w14:solidFill>
                    <w14:schemeClr w14:val="tx1"/>
                  </w14:solidFill>
                </w14:textFill>
              </w:rPr>
              <w:t>, and 9</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gut</w:t>
            </w:r>
            <w:r>
              <w:rPr>
                <w:rFonts w:hint="eastAsia" w:ascii="Times New Roman" w:hAnsi="Times New Roman" w:eastAsia="宋体"/>
                <w:color w:val="000000" w:themeColor="text1"/>
                <w:sz w:val="18"/>
                <w:szCs w:val="18"/>
                <w14:textFill>
                  <w14:solidFill>
                    <w14:schemeClr w14:val="tx1"/>
                  </w14:solidFill>
                </w14:textFill>
              </w:rPr>
              <w:t xml:space="preserve"> microbiota</w:t>
            </w:r>
            <w:r>
              <w:rPr>
                <w:rFonts w:hint="eastAsia" w:ascii="Times New Roman" w:hAnsi="Times New Roman" w:eastAsia="宋体"/>
                <w:color w:val="000000" w:themeColor="text1"/>
                <w:sz w:val="18"/>
                <w:szCs w:val="18"/>
                <w:lang w:val="en-US" w:eastAsia="zh-CN"/>
                <w14:textFill>
                  <w14:solidFill>
                    <w14:schemeClr w14:val="tx1"/>
                  </w14:solidFill>
                </w14:textFill>
              </w:rPr>
              <w:t xml:space="preserve"> taxa</w:t>
            </w:r>
            <w:r>
              <w:rPr>
                <w:rFonts w:hint="eastAsia" w:ascii="Times New Roman" w:hAnsi="Times New Roman" w:eastAsia="宋体"/>
                <w:color w:val="000000" w:themeColor="text1"/>
                <w:sz w:val="18"/>
                <w:szCs w:val="18"/>
                <w14:textFill>
                  <w14:solidFill>
                    <w14:schemeClr w14:val="tx1"/>
                  </w14:solidFill>
                </w14:textFill>
              </w:rPr>
              <w:t xml:space="preserve"> had a potential association with pneumonia</w:t>
            </w:r>
            <w:r>
              <w:rPr>
                <w:rFonts w:hint="eastAsia" w:ascii="Times New Roman" w:hAnsi="Times New Roman" w:eastAsia="宋体"/>
                <w:color w:val="000000" w:themeColor="text1"/>
                <w:sz w:val="18"/>
                <w:szCs w:val="18"/>
                <w:lang w:val="en-US" w:eastAsia="zh-CN"/>
                <w14:textFill>
                  <w14:solidFill>
                    <w14:schemeClr w14:val="tx1"/>
                  </w14:solidFill>
                </w14:textFill>
              </w:rPr>
              <w:t>(28 day death in critical care)</w:t>
            </w:r>
            <w:r>
              <w:rPr>
                <w:rFonts w:hint="eastAsia" w:ascii="Times New Roman" w:hAnsi="Times New Roman" w:eastAsia="宋体"/>
                <w:color w:val="000000" w:themeColor="text1"/>
                <w:sz w:val="18"/>
                <w:szCs w:val="18"/>
                <w14:textFill>
                  <w14:solidFill>
                    <w14:schemeClr w14:val="tx1"/>
                  </w14:solidFill>
                </w14:textFill>
              </w:rPr>
              <w:t xml:space="preserve">, and </w:t>
            </w:r>
            <w:r>
              <w:rPr>
                <w:rFonts w:hint="eastAsia" w:ascii="Times New Roman" w:hAnsi="Times New Roman" w:eastAsia="宋体"/>
                <w:color w:val="000000" w:themeColor="text1"/>
                <w:sz w:val="18"/>
                <w:szCs w:val="18"/>
                <w:lang w:val="en-US" w:eastAsia="zh-CN"/>
                <w14:textFill>
                  <w14:solidFill>
                    <w14:schemeClr w14:val="tx1"/>
                  </w14:solidFill>
                </w14:textFill>
              </w:rPr>
              <w:t>through</w:t>
            </w:r>
            <w:r>
              <w:rPr>
                <w:rFonts w:hint="eastAsia" w:ascii="Times New Roman" w:hAnsi="Times New Roman" w:eastAsia="宋体"/>
                <w:color w:val="000000" w:themeColor="text1"/>
                <w:sz w:val="18"/>
                <w:szCs w:val="18"/>
                <w14:textFill>
                  <w14:solidFill>
                    <w14:schemeClr w14:val="tx1"/>
                  </w14:solidFill>
                </w14:textFill>
              </w:rPr>
              <w:t xml:space="preserve"> </w:t>
            </w:r>
            <w:r>
              <w:rPr>
                <w:rFonts w:hint="eastAsia" w:ascii="Times New Roman" w:hAnsi="Times New Roman" w:eastAsia="宋体"/>
                <w:color w:val="000000" w:themeColor="text1"/>
                <w:sz w:val="18"/>
                <w:szCs w:val="18"/>
                <w:lang w:val="en-US" w:eastAsia="zh-CN"/>
                <w14:textFill>
                  <w14:solidFill>
                    <w14:schemeClr w14:val="tx1"/>
                  </w14:solidFill>
                </w14:textFill>
              </w:rPr>
              <w:t>Cochran Q</w:t>
            </w:r>
            <w:r>
              <w:rPr>
                <w:rFonts w:hint="eastAsia" w:ascii="Times New Roman" w:hAnsi="Times New Roman" w:eastAsia="宋体"/>
                <w:color w:val="000000" w:themeColor="text1"/>
                <w:sz w:val="18"/>
                <w:szCs w:val="18"/>
                <w14:textFill>
                  <w14:solidFill>
                    <w14:schemeClr w14:val="tx1"/>
                  </w14:solidFill>
                </w14:textFill>
              </w:rPr>
              <w:t xml:space="preserve"> and I2 test, we considered the results across the microbiota cohort to be robust</w:t>
            </w:r>
            <w:r>
              <w:rPr>
                <w:rFonts w:hint="eastAsia" w:ascii="Times New Roman" w:hAnsi="Times New Roman" w:eastAsia="宋体"/>
                <w:color w:val="000000" w:themeColor="text1"/>
                <w:sz w:val="18"/>
                <w:szCs w:val="18"/>
                <w:lang w:val="en-US" w:eastAsia="zh-CN"/>
                <w14:textFill>
                  <w14:solidFill>
                    <w14:schemeClr w14:val="tx1"/>
                  </w14:solidFill>
                </w14:textFill>
              </w:rPr>
              <w:t>.</w:t>
            </w:r>
            <w:r>
              <w:rPr>
                <w:rFonts w:ascii="Times New Roman" w:hAnsi="Times New Roman" w:eastAsia="宋体"/>
                <w:color w:val="000000" w:themeColor="text1"/>
                <w:sz w:val="18"/>
                <w:szCs w:val="18"/>
                <w14:textFill>
                  <w14:solidFill>
                    <w14:schemeClr w14:val="tx1"/>
                  </w14:solidFill>
                </w14:textFill>
              </w:rPr>
              <w:t>Notably, the results demonstrated a negative association between the genus Akkermansia and lactate values as well as the length of ICU days in patients with septic ARDS, consistent with the findings of the MR analysis showing a negative association between the genus Akkermansia and 28-day mortality in severe pneumonia. These results highlight the existence of the gut-lung axis</w:t>
            </w: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EEEEEE"/>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b)</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1070" w:type="dxa"/>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18</w:t>
            </w:r>
          </w:p>
        </w:tc>
        <w:tc>
          <w:tcPr>
            <w:tcW w:w="6861" w:type="dxa"/>
            <w:shd w:val="clear" w:color="auto" w:fill="EEEEEE"/>
          </w:tcPr>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Many studies have suggested a possible link between our selected gut microbiota and severe pneumonia. Dickson, Robert P et al. found that the progression of disease in ARDS patients was associated with the drive of gut-associated bacteria (e.g., Lachnospiraceae and Enterobacteriaceae) [</w:t>
            </w:r>
            <w:r>
              <w:rPr>
                <w:rFonts w:hint="eastAsia" w:ascii="Times New Roman" w:hAnsi="Times New Roman" w:eastAsia="宋体"/>
                <w:color w:val="000000" w:themeColor="text1"/>
                <w:sz w:val="18"/>
                <w:szCs w:val="18"/>
                <w14:textFill>
                  <w14:solidFill>
                    <w14:schemeClr w14:val="tx1"/>
                  </w14:solidFill>
                </w14:textFill>
              </w:rPr>
              <w:t>41</w:t>
            </w:r>
            <w:r>
              <w:rPr>
                <w:rFonts w:ascii="Times New Roman" w:hAnsi="Times New Roman" w:eastAsia="宋体"/>
                <w:color w:val="000000" w:themeColor="text1"/>
                <w:sz w:val="18"/>
                <w:szCs w:val="18"/>
                <w14:textFill>
                  <w14:solidFill>
                    <w14:schemeClr w14:val="tx1"/>
                  </w14:solidFill>
                </w14:textFill>
              </w:rPr>
              <w:t>]. Experimental and clinical observational studies have reported that gut microbes are associated with the pathogenesis of severe pneumonia (e.g., ARDS) [3</w:t>
            </w:r>
            <w:r>
              <w:rPr>
                <w:rFonts w:hint="eastAsia" w:ascii="Times New Roman" w:hAnsi="Times New Roman" w:eastAsia="宋体"/>
                <w:color w:val="000000" w:themeColor="text1"/>
                <w:sz w:val="18"/>
                <w:szCs w:val="18"/>
                <w14:textFill>
                  <w14:solidFill>
                    <w14:schemeClr w14:val="tx1"/>
                  </w14:solidFill>
                </w14:textFill>
              </w:rPr>
              <w:t>6</w:t>
            </w:r>
            <w:r>
              <w:rPr>
                <w:rFonts w:ascii="Times New Roman" w:hAnsi="Times New Roman" w:eastAsia="宋体"/>
                <w:color w:val="000000" w:themeColor="text1"/>
                <w:sz w:val="18"/>
                <w:szCs w:val="18"/>
                <w14:textFill>
                  <w14:solidFill>
                    <w14:schemeClr w14:val="tx1"/>
                  </w14:solidFill>
                </w14:textFill>
              </w:rPr>
              <w:t xml:space="preserve">, </w:t>
            </w:r>
            <w:r>
              <w:rPr>
                <w:rFonts w:hint="eastAsia" w:ascii="Times New Roman" w:hAnsi="Times New Roman" w:eastAsia="宋体"/>
                <w:color w:val="000000" w:themeColor="text1"/>
                <w:sz w:val="18"/>
                <w:szCs w:val="18"/>
                <w14:textFill>
                  <w14:solidFill>
                    <w14:schemeClr w14:val="tx1"/>
                  </w14:solidFill>
                </w14:textFill>
              </w:rPr>
              <w:t>42-43</w:t>
            </w:r>
            <w:r>
              <w:rPr>
                <w:rFonts w:ascii="Times New Roman" w:hAnsi="Times New Roman" w:eastAsia="宋体"/>
                <w:color w:val="000000" w:themeColor="text1"/>
                <w:sz w:val="18"/>
                <w:szCs w:val="18"/>
                <w14:textFill>
                  <w14:solidFill>
                    <w14:schemeClr w14:val="tx1"/>
                  </w14:solidFill>
                </w14:textFill>
              </w:rPr>
              <w:t>]. Recent studies have also found that antimicrobial therapy and critical care disrupt the microbiota, impairing the function of the flora colonizing the respiratory tract and leading to pulmonary infections, including pneumonia [4</w:t>
            </w:r>
            <w:r>
              <w:rPr>
                <w:rFonts w:hint="eastAsia" w:ascii="Times New Roman" w:hAnsi="Times New Roman" w:eastAsia="宋体"/>
                <w:color w:val="000000" w:themeColor="text1"/>
                <w:sz w:val="18"/>
                <w:szCs w:val="18"/>
                <w14:textFill>
                  <w14:solidFill>
                    <w14:schemeClr w14:val="tx1"/>
                  </w14:solidFill>
                </w14:textFill>
              </w:rPr>
              <w:t>4</w:t>
            </w:r>
            <w:r>
              <w:rPr>
                <w:rFonts w:ascii="Times New Roman" w:hAnsi="Times New Roman" w:eastAsia="宋体"/>
                <w:color w:val="000000" w:themeColor="text1"/>
                <w:sz w:val="18"/>
                <w:szCs w:val="18"/>
                <w14:textFill>
                  <w14:solidFill>
                    <w14:schemeClr w14:val="tx1"/>
                  </w14:solidFill>
                </w14:textFill>
              </w:rPr>
              <w:t>].  In a study by Wang et al., increased numbers of Enterobacteriaceae and decreased numbers of Lactobacillus/Lactococcus in the intestinal microbiota of mice with respiratory infections led to intestinal immune damage and inflammation[4</w:t>
            </w:r>
            <w:r>
              <w:rPr>
                <w:rFonts w:hint="eastAsia" w:ascii="Times New Roman" w:hAnsi="Times New Roman" w:eastAsia="宋体"/>
                <w:color w:val="000000" w:themeColor="text1"/>
                <w:sz w:val="18"/>
                <w:szCs w:val="18"/>
                <w14:textFill>
                  <w14:solidFill>
                    <w14:schemeClr w14:val="tx1"/>
                  </w14:solidFill>
                </w14:textFill>
              </w:rPr>
              <w:t>5</w:t>
            </w:r>
            <w:r>
              <w:rPr>
                <w:rFonts w:ascii="Times New Roman" w:hAnsi="Times New Roman" w:eastAsia="宋体"/>
                <w:color w:val="000000" w:themeColor="text1"/>
                <w:sz w:val="18"/>
                <w:szCs w:val="18"/>
                <w14:textFill>
                  <w14:solidFill>
                    <w14:schemeClr w14:val="tx1"/>
                  </w14:solidFill>
                </w14:textFill>
              </w:rPr>
              <w:t>]. At the level of causality, our findings revealed a positive causal relationship between six different taxonomic sets of bacteria and severe pneumonia, as well as a negative causal relationship between six different taxonomic sets of bacteria and severe pneumonia.</w:t>
            </w:r>
          </w:p>
          <w:p>
            <w:pPr>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jc w:val="right"/>
              <w:rPr>
                <w:rFonts w:ascii="Times New Roman" w:hAnsi="Times New Roman" w:eastAsia="Cambria"/>
                <w:b/>
                <w:bCs/>
                <w:color w:val="000000" w:themeColor="text1"/>
                <w:sz w:val="18"/>
                <w:szCs w:val="18"/>
                <w:lang w:val="en-GB" w:eastAsia="en-US"/>
                <w14:textFill>
                  <w14:solidFill>
                    <w14:schemeClr w14:val="tx1"/>
                  </w14:solidFill>
                </w14:textFill>
              </w:rPr>
            </w:pPr>
          </w:p>
        </w:tc>
        <w:tc>
          <w:tcPr>
            <w:tcW w:w="1706" w:type="dxa"/>
            <w:shd w:val="clear" w:color="auto" w:fill="auto"/>
          </w:tcPr>
          <w:p>
            <w:pPr>
              <w:spacing w:before="127" w:beforeLines="40" w:after="127" w:afterLines="40" w:line="24" w:lineRule="atLeast"/>
              <w:jc w:val="righ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Cambria"/>
                <w:color w:val="000000" w:themeColor="text1"/>
                <w:sz w:val="18"/>
                <w:szCs w:val="18"/>
                <w:lang w:val="en-GB" w:eastAsia="en-US"/>
                <w14:textFill>
                  <w14:solidFill>
                    <w14:schemeClr w14:val="tx1"/>
                  </w14:solidFill>
                </w14:textFill>
              </w:rPr>
              <w:t>c)</w:t>
            </w:r>
          </w:p>
        </w:tc>
        <w:tc>
          <w:tcPr>
            <w:tcW w:w="5201" w:type="dxa"/>
            <w:shd w:val="clear" w:color="auto" w:fill="auto"/>
          </w:tcPr>
          <w:p>
            <w:pPr>
              <w:tabs>
                <w:tab w:val="left" w:pos="1350"/>
              </w:tabs>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Clinical relevance: Discuss whether the results have clinical or public policy relevance, and </w:t>
            </w:r>
            <w:r>
              <w:rPr>
                <w:rFonts w:ascii="Times New Roman" w:hAnsi="Times New Roman" w:eastAsia="Times New Roman"/>
                <w:color w:val="000000" w:themeColor="text1"/>
                <w:sz w:val="18"/>
                <w:szCs w:val="18"/>
                <w:lang w:eastAsia="en-GB"/>
                <w14:textFill>
                  <w14:solidFill>
                    <w14:schemeClr w14:val="tx1"/>
                  </w14:solidFill>
                </w14:textFill>
              </w:rPr>
              <w:t>to what extent they inform effect sizes of possible interventions</w:t>
            </w:r>
          </w:p>
        </w:tc>
        <w:tc>
          <w:tcPr>
            <w:tcW w:w="1070" w:type="dxa"/>
          </w:tcPr>
          <w:p>
            <w:pPr>
              <w:tabs>
                <w:tab w:val="left" w:pos="1350"/>
              </w:tabs>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17-18</w:t>
            </w:r>
          </w:p>
        </w:tc>
        <w:tc>
          <w:tcPr>
            <w:tcW w:w="6861" w:type="dxa"/>
          </w:tcPr>
          <w:p>
            <w:pPr>
              <w:tabs>
                <w:tab w:val="left" w:pos="1350"/>
              </w:tabs>
              <w:spacing w:before="127" w:beforeLines="40" w:after="127" w:afterLines="40" w:line="24" w:lineRule="atLeast"/>
              <w:rPr>
                <w:rFonts w:ascii="Times New Roman" w:hAnsi="Times New Roman" w:eastAsia="宋体"/>
                <w:color w:val="000000" w:themeColor="text1"/>
                <w:sz w:val="18"/>
                <w:szCs w:val="18"/>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Several retrospective analyses and clinical trial studies have associated gut microbiota with respiratory disease , however, the causal relationship between gut flora and severe pneumonia has not been established.Herein, we used MR analysis, as SNPs were randomly assigned at the time of conception, thus effectively avoiding confounding bias.The central finding of our study was that there was a negative causal direction between genus.Akkermansia and severe pneumonia and its 28-day mortality could be negatively associated with lactate values and length of ICU stay in patients with septic ARDS.</w:t>
            </w:r>
          </w:p>
        </w:tc>
      </w:tr>
      <w:tr>
        <w:tblPrEx>
          <w:tblCellMar>
            <w:top w:w="0" w:type="dxa"/>
            <w:left w:w="108" w:type="dxa"/>
            <w:bottom w:w="0" w:type="dxa"/>
            <w:right w:w="108" w:type="dxa"/>
          </w:tblCellMar>
        </w:tblPrEx>
        <w:tc>
          <w:tcPr>
            <w:tcW w:w="614"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17</w:t>
            </w:r>
          </w:p>
        </w:tc>
        <w:tc>
          <w:tcPr>
            <w:tcW w:w="1706"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 xml:space="preserve">Generalizability  </w:t>
            </w:r>
            <w:r>
              <w:rPr>
                <w:rFonts w:ascii="Times New Roman" w:hAnsi="Times New Roman" w:eastAsia="Times New Roman"/>
                <w:color w:val="000000" w:themeColor="text1"/>
                <w:sz w:val="18"/>
                <w:szCs w:val="18"/>
                <w:lang w:val="en-GB" w:eastAsia="en-GB"/>
                <w14:textFill>
                  <w14:solidFill>
                    <w14:schemeClr w14:val="tx1"/>
                  </w14:solidFill>
                </w14:textFill>
              </w:rPr>
              <w:t> </w:t>
            </w:r>
          </w:p>
        </w:tc>
        <w:tc>
          <w:tcPr>
            <w:tcW w:w="520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color w:val="000000" w:themeColor="text1"/>
                <w:sz w:val="18"/>
                <w:szCs w:val="18"/>
                <w:highlight w:val="none"/>
                <w:lang w:val="en-GB" w:eastAsia="en-GB"/>
                <w14:textFill>
                  <w14:solidFill>
                    <w14:schemeClr w14:val="tx1"/>
                  </w14:solidFill>
                </w14:textFill>
              </w:rPr>
              <w:t>Discuss the generalizability of the study results (a) to other populations, (b) across other exposure periods/timings, and (c) across other levels of exposure</w:t>
            </w:r>
          </w:p>
        </w:tc>
        <w:tc>
          <w:tcPr>
            <w:tcW w:w="1070" w:type="dxa"/>
            <w:tcBorders>
              <w:bottom w:val="single" w:color="7F7F7F" w:sz="6" w:space="0"/>
            </w:tcBorders>
            <w:shd w:val="clear" w:color="auto" w:fill="EEEEEE"/>
          </w:tcPr>
          <w:p>
            <w:pPr>
              <w:spacing w:before="127" w:beforeLines="40" w:after="127" w:afterLines="40" w:line="24" w:lineRule="atLeast"/>
              <w:rPr>
                <w:rFonts w:hint="default" w:ascii="Times New Roman" w:hAnsi="Times New Roman" w:eastAsia="宋体"/>
                <w:color w:val="000000" w:themeColor="text1"/>
                <w:sz w:val="18"/>
                <w:szCs w:val="18"/>
                <w:lang w:val="en-US" w:eastAsia="zh-CN"/>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16-20</w:t>
            </w:r>
          </w:p>
        </w:tc>
        <w:tc>
          <w:tcPr>
            <w:tcW w:w="686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hint="eastAsia" w:ascii="Times New Roman" w:hAnsi="Times New Roman" w:eastAsia="宋体"/>
                <w:color w:val="000000" w:themeColor="text1"/>
                <w:sz w:val="18"/>
                <w:szCs w:val="18"/>
                <w:lang w:val="en-US" w:eastAsia="zh-CN"/>
                <w14:textFill>
                  <w14:solidFill>
                    <w14:schemeClr w14:val="tx1"/>
                  </w14:solidFill>
                </w14:textFill>
              </w:rPr>
              <w:t>T</w:t>
            </w:r>
            <w:r>
              <w:rPr>
                <w:rFonts w:ascii="Times New Roman" w:hAnsi="Times New Roman" w:eastAsia="Times New Roman"/>
                <w:color w:val="000000" w:themeColor="text1"/>
                <w:sz w:val="18"/>
                <w:szCs w:val="18"/>
                <w:lang w:val="en-GB" w:eastAsia="en-GB"/>
                <w14:textFill>
                  <w14:solidFill>
                    <w14:schemeClr w14:val="tx1"/>
                  </w14:solidFill>
                </w14:textFill>
              </w:rPr>
              <w:t>he GWAS data used in this study mainly consisted of the European population, and the lack of samples from other populations may limit the generalizability of the results</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 xml:space="preserve">This study provides a comprehensive investigation of the association between gut microbiota and the risk of severe pneumonia and 28-day mortality in European populations, which employed Mendelian randomization (MR) analysis and clinical prospective studies and validated the findings by 16s rRNA analysis and PERMANOVA analysis of anal swab sampling specimens from patients in clinical centers. </w:t>
            </w:r>
          </w:p>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The central finding of our study was that there was a negative causal direction between genus.Akkermansia and severe pneumonia and its 28-day mortality could be negatively associated with lactate values and length of ICU stay in patients with septic ARDS.</w:t>
            </w:r>
          </w:p>
        </w:tc>
      </w:tr>
      <w:tr>
        <w:tblPrEx>
          <w:tblCellMar>
            <w:top w:w="0" w:type="dxa"/>
            <w:left w:w="108" w:type="dxa"/>
            <w:bottom w:w="0" w:type="dxa"/>
            <w:right w:w="108" w:type="dxa"/>
          </w:tblCellMar>
        </w:tblPrEx>
        <w:tc>
          <w:tcPr>
            <w:tcW w:w="614"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p>
        </w:tc>
        <w:tc>
          <w:tcPr>
            <w:tcW w:w="1706" w:type="dxa"/>
            <w:tcBorders>
              <w:top w:val="single" w:color="7F7F7F" w:sz="6" w:space="0"/>
            </w:tcBorders>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OTHER INFORMATION</w:t>
            </w:r>
          </w:p>
        </w:tc>
        <w:tc>
          <w:tcPr>
            <w:tcW w:w="5201" w:type="dxa"/>
            <w:tcBorders>
              <w:top w:val="single" w:color="7F7F7F" w:sz="6" w:space="0"/>
            </w:tcBorders>
            <w:shd w:val="clear" w:color="auto" w:fill="auto"/>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1070"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c>
          <w:tcPr>
            <w:tcW w:w="6861" w:type="dxa"/>
            <w:tcBorders>
              <w:top w:val="single" w:color="7F7F7F" w:sz="6" w:space="0"/>
            </w:tcBorders>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p>
        </w:tc>
      </w:tr>
      <w:tr>
        <w:tblPrEx>
          <w:tblCellMar>
            <w:top w:w="0" w:type="dxa"/>
            <w:left w:w="108" w:type="dxa"/>
            <w:bottom w:w="0" w:type="dxa"/>
            <w:right w:w="108" w:type="dxa"/>
          </w:tblCellMar>
        </w:tblPrEx>
        <w:tc>
          <w:tcPr>
            <w:tcW w:w="614" w:type="dxa"/>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18</w:t>
            </w:r>
          </w:p>
        </w:tc>
        <w:tc>
          <w:tcPr>
            <w:tcW w:w="1706" w:type="dxa"/>
            <w:shd w:val="clear" w:color="auto" w:fill="EEEEEE"/>
          </w:tcPr>
          <w:p>
            <w:pPr>
              <w:spacing w:before="127" w:beforeLines="40" w:after="127" w:afterLines="40" w:line="24" w:lineRule="atLeast"/>
              <w:rPr>
                <w:rFonts w:ascii="Times New Roman" w:hAnsi="Times New Roman" w:eastAsia="Cambria"/>
                <w:color w:val="000000" w:themeColor="text1"/>
                <w:sz w:val="18"/>
                <w:szCs w:val="18"/>
                <w:lang w:val="en-GB" w:eastAsia="en-US"/>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Funding</w:t>
            </w:r>
          </w:p>
        </w:tc>
        <w:tc>
          <w:tcPr>
            <w:tcW w:w="520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Describe sources of funding and the role of funders in the present study and, if applicable, sources of funding for the databases and original study or studies on which the present study is based</w:t>
            </w:r>
          </w:p>
        </w:tc>
        <w:tc>
          <w:tcPr>
            <w:tcW w:w="1070" w:type="dxa"/>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2</w:t>
            </w:r>
            <w:r>
              <w:rPr>
                <w:rFonts w:hint="eastAsia" w:ascii="Times New Roman" w:hAnsi="Times New Roman" w:eastAsia="宋体"/>
                <w:color w:val="000000" w:themeColor="text1"/>
                <w:sz w:val="18"/>
                <w:szCs w:val="18"/>
                <w:lang w:val="en-US" w:eastAsia="zh-CN"/>
                <w14:textFill>
                  <w14:solidFill>
                    <w14:schemeClr w14:val="tx1"/>
                  </w14:solidFill>
                </w14:textFill>
              </w:rPr>
              <w:t>2</w:t>
            </w:r>
          </w:p>
        </w:tc>
        <w:tc>
          <w:tcPr>
            <w:tcW w:w="6861" w:type="dxa"/>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hint="eastAsia" w:ascii="Times New Roman" w:hAnsi="Times New Roman" w:eastAsia="Times New Roman"/>
                <w:color w:val="000000" w:themeColor="text1"/>
                <w:sz w:val="18"/>
                <w:szCs w:val="18"/>
                <w:lang w:val="en-GB" w:eastAsia="en-GB"/>
                <w14:textFill>
                  <w14:solidFill>
                    <w14:schemeClr w14:val="tx1"/>
                  </w14:solidFill>
                </w14:textFill>
              </w:rPr>
              <w:t>Funding for this study came from the National Natural Science Foundation of China-Regional Innovation and Development Joint Fund (U20A20366), the Natural Science Foundation of Heilongjiang Province (JQ2021H003)</w:t>
            </w:r>
          </w:p>
        </w:tc>
      </w:tr>
      <w:tr>
        <w:tblPrEx>
          <w:tblCellMar>
            <w:top w:w="0" w:type="dxa"/>
            <w:left w:w="108" w:type="dxa"/>
            <w:bottom w:w="0" w:type="dxa"/>
            <w:right w:w="108" w:type="dxa"/>
          </w:tblCellMar>
        </w:tblPrEx>
        <w:tc>
          <w:tcPr>
            <w:tcW w:w="614" w:type="dxa"/>
            <w:shd w:val="clear" w:color="auto" w:fill="auto"/>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19</w:t>
            </w:r>
          </w:p>
        </w:tc>
        <w:tc>
          <w:tcPr>
            <w:tcW w:w="1706"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Data and data sharing </w:t>
            </w:r>
          </w:p>
        </w:tc>
        <w:tc>
          <w:tcPr>
            <w:tcW w:w="5201" w:type="dxa"/>
            <w:shd w:val="clear" w:color="auto" w:fill="auto"/>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1070" w:type="dxa"/>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2</w:t>
            </w:r>
            <w:r>
              <w:rPr>
                <w:rFonts w:hint="eastAsia" w:ascii="Times New Roman" w:hAnsi="Times New Roman" w:eastAsia="宋体"/>
                <w:color w:val="000000" w:themeColor="text1"/>
                <w:sz w:val="18"/>
                <w:szCs w:val="18"/>
                <w:lang w:val="en-US" w:eastAsia="zh-CN"/>
                <w14:textFill>
                  <w14:solidFill>
                    <w14:schemeClr w14:val="tx1"/>
                  </w14:solidFill>
                </w14:textFill>
              </w:rPr>
              <w:t>1</w:t>
            </w:r>
          </w:p>
        </w:tc>
        <w:tc>
          <w:tcPr>
            <w:tcW w:w="6861" w:type="dxa"/>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hint="eastAsia" w:ascii="Times New Roman" w:hAnsi="Times New Roman" w:eastAsia="Times New Roman"/>
                <w:color w:val="000000" w:themeColor="text1"/>
                <w:sz w:val="18"/>
                <w:szCs w:val="18"/>
                <w:lang w:val="en-GB" w:eastAsia="en-GB"/>
                <w14:textFill>
                  <w14:solidFill>
                    <w14:schemeClr w14:val="tx1"/>
                  </w14:solidFill>
                </w14:textFill>
              </w:rPr>
              <w:t>The data in the clinical validation are available from the the corresponding author upon reasonable request.The summary-level data of Genome-Wide Association Studies (GWAS) used in Mendelian randomization study can be accessed from the Mibiogen consortium (https://mibiogen.gcc.rug.nl/) and  the IEU Open GWAS Project (https://gwas.mrcieu.ac.uk/).The eligible proxy SNPs were searched through the LDlink online platform (https://ldlink.nci.nih.gov/).</w:t>
            </w:r>
          </w:p>
        </w:tc>
      </w:tr>
      <w:tr>
        <w:tblPrEx>
          <w:tblCellMar>
            <w:top w:w="0" w:type="dxa"/>
            <w:left w:w="108" w:type="dxa"/>
            <w:bottom w:w="0" w:type="dxa"/>
            <w:right w:w="108" w:type="dxa"/>
          </w:tblCellMar>
        </w:tblPrEx>
        <w:tc>
          <w:tcPr>
            <w:tcW w:w="614"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b/>
                <w:bCs/>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20</w:t>
            </w:r>
          </w:p>
        </w:tc>
        <w:tc>
          <w:tcPr>
            <w:tcW w:w="1706"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b/>
                <w:bCs/>
                <w:color w:val="000000" w:themeColor="text1"/>
                <w:sz w:val="18"/>
                <w:szCs w:val="18"/>
                <w:lang w:val="en-GB" w:eastAsia="en-GB"/>
                <w14:textFill>
                  <w14:solidFill>
                    <w14:schemeClr w14:val="tx1"/>
                  </w14:solidFill>
                </w14:textFill>
              </w:rPr>
              <w:t>Conflicts of Interest  </w:t>
            </w:r>
          </w:p>
        </w:tc>
        <w:tc>
          <w:tcPr>
            <w:tcW w:w="520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ascii="Times New Roman" w:hAnsi="Times New Roman" w:eastAsia="Times New Roman"/>
                <w:color w:val="000000" w:themeColor="text1"/>
                <w:sz w:val="18"/>
                <w:szCs w:val="18"/>
                <w:lang w:val="en-GB" w:eastAsia="en-GB"/>
                <w14:textFill>
                  <w14:solidFill>
                    <w14:schemeClr w14:val="tx1"/>
                  </w14:solidFill>
                </w14:textFill>
              </w:rPr>
              <w:t>All authors should declare all potential conflicts of interest</w:t>
            </w:r>
          </w:p>
        </w:tc>
        <w:tc>
          <w:tcPr>
            <w:tcW w:w="1070" w:type="dxa"/>
            <w:tcBorders>
              <w:bottom w:val="single" w:color="7F7F7F" w:sz="6" w:space="0"/>
            </w:tcBorders>
            <w:shd w:val="clear" w:color="auto" w:fill="EEEEEE"/>
          </w:tcPr>
          <w:p>
            <w:pPr>
              <w:spacing w:before="127" w:beforeLines="40" w:after="127" w:afterLines="40" w:line="24" w:lineRule="atLeast"/>
              <w:rPr>
                <w:rFonts w:hint="eastAsia" w:ascii="Times New Roman" w:hAnsi="Times New Roman" w:eastAsia="宋体"/>
                <w:color w:val="000000" w:themeColor="text1"/>
                <w:sz w:val="18"/>
                <w:szCs w:val="18"/>
                <w:lang w:val="en-US" w:eastAsia="zh-CN"/>
                <w14:textFill>
                  <w14:solidFill>
                    <w14:schemeClr w14:val="tx1"/>
                  </w14:solidFill>
                </w14:textFill>
              </w:rPr>
            </w:pPr>
            <w:r>
              <w:rPr>
                <w:rFonts w:ascii="Times New Roman" w:hAnsi="Times New Roman" w:eastAsia="宋体"/>
                <w:color w:val="000000" w:themeColor="text1"/>
                <w:sz w:val="18"/>
                <w:szCs w:val="18"/>
                <w14:textFill>
                  <w14:solidFill>
                    <w14:schemeClr w14:val="tx1"/>
                  </w14:solidFill>
                </w14:textFill>
              </w:rPr>
              <w:t>2</w:t>
            </w:r>
            <w:r>
              <w:rPr>
                <w:rFonts w:hint="eastAsia" w:ascii="Times New Roman" w:hAnsi="Times New Roman" w:eastAsia="宋体"/>
                <w:color w:val="000000" w:themeColor="text1"/>
                <w:sz w:val="18"/>
                <w:szCs w:val="18"/>
                <w:lang w:val="en-US" w:eastAsia="zh-CN"/>
                <w14:textFill>
                  <w14:solidFill>
                    <w14:schemeClr w14:val="tx1"/>
                  </w14:solidFill>
                </w14:textFill>
              </w:rPr>
              <w:t>1</w:t>
            </w:r>
          </w:p>
        </w:tc>
        <w:tc>
          <w:tcPr>
            <w:tcW w:w="6861" w:type="dxa"/>
            <w:tcBorders>
              <w:bottom w:val="single" w:color="7F7F7F" w:sz="6" w:space="0"/>
            </w:tcBorders>
            <w:shd w:val="clear" w:color="auto" w:fill="EEEEEE"/>
          </w:tcPr>
          <w:p>
            <w:pPr>
              <w:spacing w:before="127" w:beforeLines="40" w:after="127" w:afterLines="40" w:line="24" w:lineRule="atLeast"/>
              <w:rPr>
                <w:rFonts w:ascii="Times New Roman" w:hAnsi="Times New Roman" w:eastAsia="Times New Roman"/>
                <w:color w:val="000000" w:themeColor="text1"/>
                <w:sz w:val="18"/>
                <w:szCs w:val="18"/>
                <w:lang w:val="en-GB" w:eastAsia="en-GB"/>
                <w14:textFill>
                  <w14:solidFill>
                    <w14:schemeClr w14:val="tx1"/>
                  </w14:solidFill>
                </w14:textFill>
              </w:rPr>
            </w:pPr>
            <w:r>
              <w:rPr>
                <w:rFonts w:hint="eastAsia" w:ascii="Times New Roman" w:hAnsi="Times New Roman" w:eastAsia="Times New Roman"/>
                <w:color w:val="000000" w:themeColor="text1"/>
                <w:sz w:val="18"/>
                <w:szCs w:val="18"/>
                <w:lang w:val="en-GB" w:eastAsia="en-GB"/>
                <w14:textFill>
                  <w14:solidFill>
                    <w14:schemeClr w14:val="tx1"/>
                  </w14:solidFill>
                </w14:textFill>
              </w:rPr>
              <w:t>The authors declare that they have no competing interests.</w:t>
            </w:r>
          </w:p>
        </w:tc>
      </w:tr>
    </w:tbl>
    <w:p/>
    <w:p>
      <w:pPr>
        <w:rPr>
          <w:rFonts w:hint="default" w:eastAsia="等线"/>
          <w:lang w:val="en-US" w:eastAsia="zh-CN"/>
        </w:rPr>
      </w:pPr>
      <w:r>
        <w:rPr>
          <w:rFonts w:ascii="Times New Roman" w:hAnsi="Times New Roman"/>
          <w:color w:val="000000" w:themeColor="text1"/>
          <w:sz w:val="18"/>
          <w:szCs w:val="18"/>
          <w14:textFill>
            <w14:solidFill>
              <w14:schemeClr w14:val="tx1"/>
            </w14:solidFill>
          </w14:textFill>
        </w:rPr>
        <w:t>[1]</w:t>
      </w:r>
      <w:bookmarkStart w:id="7" w:name="_GoBack"/>
      <w:r>
        <w:rPr>
          <w:rFonts w:ascii="Times New Roman" w:hAnsi="Times New Roman"/>
          <w:color w:val="000000" w:themeColor="text1"/>
          <w:sz w:val="18"/>
          <w:szCs w:val="18"/>
          <w14:textFill>
            <w14:solidFill>
              <w14:schemeClr w14:val="tx1"/>
            </w14:solidFill>
          </w14:textFill>
        </w:rPr>
        <w:t xml:space="preserve"> Davies NM, Holmes MV, Davey Smith G. Reading Mendelian randomisation studies: a guide, glossary, and checklist for clinicians. BMJ. 2018 Jul 12;362:k601. doi: 10.1136/bmj.k601.</w:t>
      </w:r>
    </w:p>
    <w:bookmarkEnd w:id="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xYWE4ODA3OGFmYWZiY2IwN2UyODE1MGZkYTgzM2IifQ=="/>
  </w:docVars>
  <w:rsids>
    <w:rsidRoot w:val="3378745A"/>
    <w:rsid w:val="0A2A11DF"/>
    <w:rsid w:val="2FCB2F12"/>
    <w:rsid w:val="3378745A"/>
    <w:rsid w:val="3E6E10F2"/>
    <w:rsid w:val="6B425B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3761</Words>
  <Characters>22048</Characters>
  <Lines>0</Lines>
  <Paragraphs>0</Paragraphs>
  <TotalTime>0</TotalTime>
  <ScaleCrop>false</ScaleCrop>
  <LinksUpToDate>false</LinksUpToDate>
  <CharactersWithSpaces>25629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2023-06-18T00:15:00Z</dcterms:created>
  <dc:creator>h</dc:creator>
  <cp:lastModifiedBy>h</cp:lastModifiedBy>
  <dcterms:modified xsi:type="dcterms:W3CDTF">2023-06-20T03:44:06Z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092914B1AF6B47C48D01F25A30EC3496_11</vt:lpwstr>
  </property>
</Properties>
</file>