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8CCDD" w14:textId="56EF8C5B" w:rsidR="00E015B9" w:rsidRPr="00722609" w:rsidRDefault="00444895">
      <w:pPr>
        <w:rPr>
          <w:b/>
          <w:bCs/>
          <w:lang w:val="en-GB"/>
        </w:rPr>
      </w:pPr>
      <w:r w:rsidRPr="00722609">
        <w:rPr>
          <w:b/>
          <w:bCs/>
          <w:lang w:val="en-GB"/>
        </w:rPr>
        <w:t>SUPPLEMENTARY MATERIAL</w:t>
      </w:r>
    </w:p>
    <w:p w14:paraId="6D7276D7" w14:textId="496AFE67" w:rsidR="00AC70E8" w:rsidRPr="002D15CD" w:rsidRDefault="00444895" w:rsidP="00AC70E8">
      <w:pPr>
        <w:spacing w:line="480" w:lineRule="auto"/>
        <w:jc w:val="both"/>
        <w:rPr>
          <w:rFonts w:ascii="Calibri" w:hAnsi="Calibri" w:cs="Calibri"/>
          <w:lang w:val="en-GB"/>
        </w:rPr>
      </w:pPr>
      <w:r w:rsidRPr="00444895">
        <w:rPr>
          <w:rFonts w:ascii="Calibri" w:hAnsi="Calibri" w:cs="Calibri"/>
          <w:noProof/>
        </w:rPr>
        <w:drawing>
          <wp:inline distT="0" distB="0" distL="0" distR="0" wp14:anchorId="28AEA117" wp14:editId="0D938073">
            <wp:extent cx="6454140" cy="3649980"/>
            <wp:effectExtent l="0" t="0" r="3810" b="7620"/>
            <wp:docPr id="12" name="Immagine 11" descr="Immagine che contiene testo, diagramma, mappa, linea">
              <a:extLst xmlns:a="http://schemas.openxmlformats.org/drawingml/2006/main">
                <a:ext uri="{FF2B5EF4-FFF2-40B4-BE49-F238E27FC236}">
                  <a16:creationId xmlns:a16="http://schemas.microsoft.com/office/drawing/2014/main" id="{CD2DCD83-6309-7A69-6524-38614C3808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1" descr="Immagine che contiene testo, diagramma, mappa, linea">
                      <a:extLst>
                        <a:ext uri="{FF2B5EF4-FFF2-40B4-BE49-F238E27FC236}">
                          <a16:creationId xmlns:a16="http://schemas.microsoft.com/office/drawing/2014/main" id="{CD2DCD83-6309-7A69-6524-38614C3808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rcRect l="2750" r="1569"/>
                    <a:stretch/>
                  </pic:blipFill>
                  <pic:spPr>
                    <a:xfrm>
                      <a:off x="0" y="0"/>
                      <a:ext cx="6456443" cy="365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FD011" w14:textId="0F5FB906" w:rsidR="00C809F1" w:rsidRDefault="00C809F1" w:rsidP="00BB2340">
      <w:pPr>
        <w:rPr>
          <w:i/>
          <w:iCs/>
          <w:color w:val="0E2841" w:themeColor="text2"/>
          <w:sz w:val="18"/>
          <w:szCs w:val="18"/>
          <w:lang w:val="en-GB"/>
        </w:rPr>
      </w:pPr>
    </w:p>
    <w:p w14:paraId="1D405D5F" w14:textId="1CF712BF" w:rsidR="001F7CC0" w:rsidRPr="0091126F" w:rsidRDefault="00C809F1" w:rsidP="00444895">
      <w:pPr>
        <w:spacing w:line="480" w:lineRule="auto"/>
        <w:jc w:val="both"/>
        <w:rPr>
          <w:i/>
          <w:iCs/>
          <w:color w:val="0E2841" w:themeColor="text2"/>
          <w:sz w:val="18"/>
          <w:szCs w:val="18"/>
          <w:lang w:val="en-GB"/>
        </w:rPr>
      </w:pPr>
      <w:r w:rsidRPr="0056026D">
        <w:rPr>
          <w:i/>
          <w:iCs/>
          <w:color w:val="0E2841" w:themeColor="text2"/>
          <w:sz w:val="18"/>
          <w:szCs w:val="18"/>
          <w:lang w:val="en-GB"/>
        </w:rPr>
        <w:t xml:space="preserve"> </w:t>
      </w:r>
    </w:p>
    <w:p w14:paraId="004EEFE8" w14:textId="4D96F0A5" w:rsidR="004F2734" w:rsidRDefault="004F2734" w:rsidP="004F2734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890785">
        <w:rPr>
          <w:rFonts w:ascii="Times New Roman" w:hAnsi="Times New Roman" w:cs="Times New Roman"/>
          <w:b/>
          <w:bCs/>
          <w:sz w:val="28"/>
          <w:szCs w:val="28"/>
          <w:lang w:val="en-GB"/>
        </w:rPr>
        <w:t> </w:t>
      </w:r>
    </w:p>
    <w:p w14:paraId="39530F1E" w14:textId="1D20E680" w:rsidR="00444895" w:rsidRPr="00784CF7" w:rsidRDefault="00444895" w:rsidP="00444895">
      <w:pPr>
        <w:spacing w:line="480" w:lineRule="auto"/>
        <w:jc w:val="both"/>
        <w:rPr>
          <w:rFonts w:ascii="Calibri" w:hAnsi="Calibri" w:cs="Calibri"/>
          <w:lang w:val="en-GB"/>
        </w:rPr>
      </w:pPr>
      <w:r w:rsidRPr="00784CF7">
        <w:rPr>
          <w:rFonts w:ascii="Calibri" w:hAnsi="Calibri" w:cs="Calibri"/>
          <w:lang w:val="en-GB"/>
        </w:rPr>
        <w:t>Figure</w:t>
      </w:r>
      <w:r w:rsidR="00722609" w:rsidRPr="00784CF7">
        <w:rPr>
          <w:rFonts w:ascii="Calibri" w:hAnsi="Calibri" w:cs="Calibri"/>
          <w:lang w:val="en-GB"/>
        </w:rPr>
        <w:t>s 1</w:t>
      </w:r>
      <w:r w:rsidRPr="00784CF7">
        <w:rPr>
          <w:rFonts w:ascii="Calibri" w:hAnsi="Calibri" w:cs="Calibri"/>
          <w:lang w:val="en-GB"/>
        </w:rPr>
        <w:t xml:space="preserve">. A) </w:t>
      </w:r>
      <w:r w:rsidR="004F2734" w:rsidRPr="00784CF7">
        <w:rPr>
          <w:rFonts w:ascii="Calibri" w:hAnsi="Calibri" w:cs="Calibri"/>
          <w:lang w:val="en-GB"/>
        </w:rPr>
        <w:t xml:space="preserve">Kaplan-Meier curves for progression-free survival (PFS) in patients treated with </w:t>
      </w:r>
      <w:proofErr w:type="spellStart"/>
      <w:r w:rsidR="004F2734" w:rsidRPr="00784CF7">
        <w:rPr>
          <w:rFonts w:ascii="Calibri" w:hAnsi="Calibri" w:cs="Calibri"/>
          <w:lang w:val="en-GB"/>
        </w:rPr>
        <w:t>Nintedanib</w:t>
      </w:r>
      <w:proofErr w:type="spellEnd"/>
      <w:r w:rsidR="004F2734" w:rsidRPr="00784CF7">
        <w:rPr>
          <w:rFonts w:ascii="Calibri" w:hAnsi="Calibri" w:cs="Calibri"/>
          <w:lang w:val="en-GB"/>
        </w:rPr>
        <w:t xml:space="preserve"> by dosage (standard dosage in red, reduced dosage in green). The median PFS in patients treated with standard dosage was 28 months (95% CI: 21.5–34.5), whereas for patients under reduced dosage the median PFS was 30 months (95% CI: 24.3–35.7), with no statistical significance (p = 0.744). </w:t>
      </w:r>
      <w:r w:rsidRPr="00784CF7">
        <w:rPr>
          <w:rFonts w:ascii="Calibri" w:hAnsi="Calibri" w:cs="Calibri"/>
          <w:lang w:val="en-GB"/>
        </w:rPr>
        <w:t xml:space="preserve">B) Kaplan-Meier survival curves for progression-free survival (PFS) in patients treated with Pirfenidone, stratified by dose reduction status. While standard dosage group (red) demonstrated a longer median PFS (38 months) compared to the dose reduction group (green, 26 months), the difference was not statistically significant (Log-Rank test, p = 0.095). </w:t>
      </w:r>
    </w:p>
    <w:p w14:paraId="6F564DE7" w14:textId="4277C020" w:rsidR="004F2734" w:rsidRPr="0091126F" w:rsidRDefault="004F2734" w:rsidP="004F2734">
      <w:pPr>
        <w:spacing w:line="480" w:lineRule="auto"/>
        <w:jc w:val="both"/>
        <w:rPr>
          <w:i/>
          <w:iCs/>
          <w:color w:val="0E2841" w:themeColor="text2"/>
          <w:sz w:val="18"/>
          <w:szCs w:val="18"/>
          <w:lang w:val="en-GB"/>
        </w:rPr>
      </w:pPr>
    </w:p>
    <w:p w14:paraId="37D4BB1E" w14:textId="1C0CFD03" w:rsidR="00D02D5A" w:rsidRPr="00394CAA" w:rsidRDefault="00D02D5A" w:rsidP="00D02D5A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94CAA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 </w:t>
      </w:r>
    </w:p>
    <w:p w14:paraId="771B365A" w14:textId="6FFEC65E" w:rsidR="00D02D5A" w:rsidRPr="0091126F" w:rsidRDefault="00D02D5A" w:rsidP="00D02D5A">
      <w:pPr>
        <w:spacing w:line="480" w:lineRule="auto"/>
        <w:jc w:val="both"/>
        <w:rPr>
          <w:i/>
          <w:iCs/>
          <w:color w:val="0E2841" w:themeColor="text2"/>
          <w:sz w:val="18"/>
          <w:szCs w:val="18"/>
          <w:lang w:val="en-GB"/>
        </w:rPr>
      </w:pPr>
    </w:p>
    <w:p w14:paraId="45C62C05" w14:textId="77777777" w:rsidR="00C809F1" w:rsidRDefault="00C809F1" w:rsidP="00BB2340">
      <w:pPr>
        <w:rPr>
          <w:lang w:val="en-GB"/>
        </w:rPr>
      </w:pPr>
    </w:p>
    <w:p w14:paraId="2758EED0" w14:textId="77777777" w:rsidR="006A1CF1" w:rsidRDefault="006A1CF1" w:rsidP="006A1CF1">
      <w:pPr>
        <w:keepNext/>
      </w:pPr>
      <w:r>
        <w:rPr>
          <w:noProof/>
        </w:rPr>
        <w:drawing>
          <wp:inline distT="0" distB="0" distL="0" distR="0" wp14:anchorId="0638AF37" wp14:editId="0088E3AF">
            <wp:extent cx="6120130" cy="3024505"/>
            <wp:effectExtent l="0" t="0" r="13970" b="4445"/>
            <wp:docPr id="321204002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77D14A79-EAAE-8675-550C-45EAC8A1F0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FED3EB1" w14:textId="501367BC" w:rsidR="006A1CF1" w:rsidRPr="00784CF7" w:rsidRDefault="006A1CF1" w:rsidP="006A1CF1">
      <w:pPr>
        <w:spacing w:line="480" w:lineRule="auto"/>
        <w:jc w:val="both"/>
        <w:rPr>
          <w:rFonts w:ascii="Calibri" w:hAnsi="Calibri" w:cs="Calibri"/>
          <w:lang w:val="en-GB"/>
        </w:rPr>
      </w:pPr>
      <w:r w:rsidRPr="00784CF7">
        <w:rPr>
          <w:rFonts w:ascii="Calibri" w:hAnsi="Calibri" w:cs="Calibri"/>
          <w:lang w:val="en-GB"/>
        </w:rPr>
        <w:t>Figure</w:t>
      </w:r>
      <w:r w:rsidR="00722609" w:rsidRPr="00784CF7">
        <w:rPr>
          <w:rFonts w:ascii="Calibri" w:hAnsi="Calibri" w:cs="Calibri"/>
          <w:lang w:val="en-GB"/>
        </w:rPr>
        <w:t xml:space="preserve"> 2</w:t>
      </w:r>
      <w:r w:rsidRPr="00784CF7">
        <w:rPr>
          <w:rFonts w:ascii="Calibri" w:hAnsi="Calibri" w:cs="Calibri"/>
          <w:lang w:val="en-GB"/>
        </w:rPr>
        <w:t xml:space="preserve">.  Change from Baseline over 5 years of observational period in Forced Vital Capacity (FVC) according to </w:t>
      </w:r>
      <w:r w:rsidR="00444895" w:rsidRPr="00784CF7">
        <w:rPr>
          <w:rFonts w:ascii="Calibri" w:hAnsi="Calibri" w:cs="Calibri"/>
          <w:lang w:val="en-GB"/>
        </w:rPr>
        <w:t>dosage group</w:t>
      </w:r>
      <w:r w:rsidRPr="00784CF7">
        <w:rPr>
          <w:rFonts w:ascii="Calibri" w:hAnsi="Calibri" w:cs="Calibri"/>
          <w:lang w:val="en-GB"/>
        </w:rPr>
        <w:t xml:space="preserve"> </w:t>
      </w:r>
      <w:r w:rsidR="00DE1F30" w:rsidRPr="00784CF7">
        <w:rPr>
          <w:rFonts w:ascii="Calibri" w:hAnsi="Calibri" w:cs="Calibri"/>
          <w:lang w:val="en-GB"/>
        </w:rPr>
        <w:t xml:space="preserve">(reduced and standard dosage) </w:t>
      </w:r>
      <w:r w:rsidRPr="00784CF7">
        <w:rPr>
          <w:rFonts w:ascii="Calibri" w:hAnsi="Calibri" w:cs="Calibri"/>
          <w:lang w:val="en-GB"/>
        </w:rPr>
        <w:t xml:space="preserve">expressed in </w:t>
      </w:r>
      <w:proofErr w:type="spellStart"/>
      <w:r w:rsidRPr="00784CF7">
        <w:rPr>
          <w:rFonts w:ascii="Calibri" w:hAnsi="Calibri" w:cs="Calibri"/>
          <w:lang w:val="en-GB"/>
        </w:rPr>
        <w:t>mL.</w:t>
      </w:r>
      <w:proofErr w:type="spellEnd"/>
      <w:r w:rsidRPr="00784CF7">
        <w:rPr>
          <w:rFonts w:ascii="Calibri" w:hAnsi="Calibri" w:cs="Calibri"/>
          <w:lang w:val="en-GB"/>
        </w:rPr>
        <w:t xml:space="preserve"> No significant difference between groups </w:t>
      </w:r>
      <w:r w:rsidR="00444895" w:rsidRPr="00784CF7">
        <w:rPr>
          <w:rFonts w:ascii="Calibri" w:hAnsi="Calibri" w:cs="Calibri"/>
          <w:lang w:val="en-GB"/>
        </w:rPr>
        <w:t xml:space="preserve">(p=0.82) over the follow-up period. </w:t>
      </w:r>
    </w:p>
    <w:p w14:paraId="6A81B486" w14:textId="77777777" w:rsidR="00A87CAE" w:rsidRDefault="00A87CAE" w:rsidP="006A1CF1">
      <w:pPr>
        <w:spacing w:line="480" w:lineRule="auto"/>
        <w:jc w:val="both"/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15"/>
        <w:gridCol w:w="1693"/>
        <w:gridCol w:w="1515"/>
        <w:gridCol w:w="1577"/>
        <w:gridCol w:w="1128"/>
      </w:tblGrid>
      <w:tr w:rsidR="00D62B0D" w14:paraId="47F80470" w14:textId="77777777" w:rsidTr="00784CF7">
        <w:trPr>
          <w:trHeight w:val="943"/>
        </w:trPr>
        <w:tc>
          <w:tcPr>
            <w:tcW w:w="3715" w:type="dxa"/>
          </w:tcPr>
          <w:p w14:paraId="5727E75D" w14:textId="55B1A9B2" w:rsidR="00D62B0D" w:rsidRPr="00784CF7" w:rsidRDefault="004F039C" w:rsidP="006A1CF1">
            <w:pPr>
              <w:spacing w:line="480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>Clinical outcomes</w:t>
            </w:r>
          </w:p>
        </w:tc>
        <w:tc>
          <w:tcPr>
            <w:tcW w:w="1693" w:type="dxa"/>
          </w:tcPr>
          <w:p w14:paraId="6CC3A72E" w14:textId="430F6A73" w:rsidR="00D62B0D" w:rsidRPr="00784CF7" w:rsidRDefault="00D62B0D" w:rsidP="00E75FC1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Overall population</w:t>
            </w:r>
          </w:p>
          <w:p w14:paraId="30E3B394" w14:textId="4E48A120" w:rsidR="00D62B0D" w:rsidRPr="00784CF7" w:rsidRDefault="00D62B0D" w:rsidP="00E75FC1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(N=267)</w:t>
            </w:r>
          </w:p>
        </w:tc>
        <w:tc>
          <w:tcPr>
            <w:tcW w:w="1515" w:type="dxa"/>
          </w:tcPr>
          <w:p w14:paraId="4392C4C8" w14:textId="77777777" w:rsidR="00D62B0D" w:rsidRPr="00784CF7" w:rsidRDefault="00D62B0D" w:rsidP="00E75FC1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proofErr w:type="spellStart"/>
            <w:r w:rsidRPr="00784CF7">
              <w:rPr>
                <w:rFonts w:ascii="Calibri" w:hAnsi="Calibri" w:cs="Calibri"/>
                <w:lang w:val="en-GB"/>
              </w:rPr>
              <w:t>Nintedanib</w:t>
            </w:r>
            <w:proofErr w:type="spellEnd"/>
          </w:p>
          <w:p w14:paraId="2A6CF19C" w14:textId="00D8EA46" w:rsidR="00D62B0D" w:rsidRPr="00784CF7" w:rsidRDefault="00D62B0D" w:rsidP="00E75FC1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(N=137)</w:t>
            </w:r>
          </w:p>
        </w:tc>
        <w:tc>
          <w:tcPr>
            <w:tcW w:w="1577" w:type="dxa"/>
          </w:tcPr>
          <w:p w14:paraId="4985B7AD" w14:textId="77777777" w:rsidR="00D62B0D" w:rsidRPr="00784CF7" w:rsidRDefault="00D62B0D" w:rsidP="00E75FC1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Pirfenidone</w:t>
            </w:r>
          </w:p>
          <w:p w14:paraId="307DB408" w14:textId="6CC4548D" w:rsidR="00D62B0D" w:rsidRPr="00784CF7" w:rsidRDefault="00D62B0D" w:rsidP="00E75FC1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(N=130)</w:t>
            </w:r>
          </w:p>
        </w:tc>
        <w:tc>
          <w:tcPr>
            <w:tcW w:w="1128" w:type="dxa"/>
          </w:tcPr>
          <w:p w14:paraId="5745F093" w14:textId="41738602" w:rsidR="00BC4C91" w:rsidRPr="00784CF7" w:rsidRDefault="00D62B0D" w:rsidP="00E75FC1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Log Rank</w:t>
            </w:r>
          </w:p>
          <w:p w14:paraId="61705FE2" w14:textId="1B098527" w:rsidR="00D62B0D" w:rsidRPr="00784CF7" w:rsidRDefault="00D62B0D" w:rsidP="00E75FC1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p-value</w:t>
            </w:r>
          </w:p>
        </w:tc>
      </w:tr>
      <w:tr w:rsidR="00D62B0D" w14:paraId="7289632C" w14:textId="77777777" w:rsidTr="00784CF7">
        <w:tc>
          <w:tcPr>
            <w:tcW w:w="3715" w:type="dxa"/>
          </w:tcPr>
          <w:p w14:paraId="3A4E6A6C" w14:textId="495BD71F" w:rsidR="00D62B0D" w:rsidRDefault="00D62B0D" w:rsidP="00497EF1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>Progression-Free survival</w:t>
            </w:r>
            <w:r w:rsidR="00263A3C" w:rsidRPr="00784CF7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="0007353F" w:rsidRPr="00784CF7">
              <w:rPr>
                <w:rFonts w:ascii="Calibri" w:hAnsi="Calibri" w:cs="Calibri"/>
                <w:b/>
                <w:bCs/>
                <w:lang w:val="en-GB"/>
              </w:rPr>
              <w:t>(months)</w:t>
            </w:r>
          </w:p>
          <w:p w14:paraId="39F8DAC8" w14:textId="77777777" w:rsidR="00784CF7" w:rsidRPr="00784CF7" w:rsidRDefault="00784CF7" w:rsidP="00497EF1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</w:p>
          <w:p w14:paraId="10CF29B6" w14:textId="7565D311" w:rsidR="00D62B0D" w:rsidRPr="00784CF7" w:rsidRDefault="00D62B0D" w:rsidP="0007353F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 xml:space="preserve">95% CIs                         </w:t>
            </w:r>
          </w:p>
        </w:tc>
        <w:tc>
          <w:tcPr>
            <w:tcW w:w="1693" w:type="dxa"/>
          </w:tcPr>
          <w:p w14:paraId="7F2A3DE9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32</w:t>
            </w:r>
          </w:p>
          <w:p w14:paraId="5E9FC734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56E68D06" w14:textId="5EB2DA74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27.5-36.5</w:t>
            </w:r>
          </w:p>
          <w:p w14:paraId="767FE99B" w14:textId="1A0ACD28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5" w:type="dxa"/>
          </w:tcPr>
          <w:p w14:paraId="7D888544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31</w:t>
            </w:r>
          </w:p>
          <w:p w14:paraId="7831BDA1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2431CBE2" w14:textId="273F59DA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25.7-36.3</w:t>
            </w:r>
          </w:p>
        </w:tc>
        <w:tc>
          <w:tcPr>
            <w:tcW w:w="1577" w:type="dxa"/>
          </w:tcPr>
          <w:p w14:paraId="33CB165D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37</w:t>
            </w:r>
          </w:p>
          <w:p w14:paraId="6F966BBF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25675839" w14:textId="350E7309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30.2-43.8</w:t>
            </w:r>
          </w:p>
        </w:tc>
        <w:tc>
          <w:tcPr>
            <w:tcW w:w="1128" w:type="dxa"/>
          </w:tcPr>
          <w:p w14:paraId="1D8782EB" w14:textId="77777777" w:rsidR="0007353F" w:rsidRPr="00784CF7" w:rsidRDefault="0007353F" w:rsidP="0007353F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08B04240" w14:textId="72B63FBE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0.12</w:t>
            </w:r>
          </w:p>
        </w:tc>
      </w:tr>
      <w:tr w:rsidR="00D62B0D" w14:paraId="34AB7746" w14:textId="77777777" w:rsidTr="00784CF7">
        <w:trPr>
          <w:trHeight w:val="1079"/>
        </w:trPr>
        <w:tc>
          <w:tcPr>
            <w:tcW w:w="3715" w:type="dxa"/>
          </w:tcPr>
          <w:p w14:paraId="3118C3D2" w14:textId="3B727AAA" w:rsidR="00D62B0D" w:rsidRPr="00784CF7" w:rsidRDefault="00D62B0D" w:rsidP="00151AFB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>Overall survival (months)</w:t>
            </w:r>
          </w:p>
          <w:p w14:paraId="1910C473" w14:textId="77777777" w:rsidR="00263A3C" w:rsidRPr="00784CF7" w:rsidRDefault="00263A3C" w:rsidP="00151AFB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</w:p>
          <w:p w14:paraId="1E1D0C35" w14:textId="0B67D481" w:rsidR="00D62B0D" w:rsidRPr="00784CF7" w:rsidRDefault="00D62B0D" w:rsidP="00513F54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>95% C</w:t>
            </w:r>
            <w:r w:rsidR="0007353F" w:rsidRPr="00784CF7">
              <w:rPr>
                <w:rFonts w:ascii="Calibri" w:hAnsi="Calibri" w:cs="Calibri"/>
                <w:b/>
                <w:bCs/>
                <w:lang w:val="en-GB"/>
              </w:rPr>
              <w:t>I</w:t>
            </w:r>
            <w:r w:rsidRPr="00784CF7">
              <w:rPr>
                <w:rFonts w:ascii="Calibri" w:hAnsi="Calibri" w:cs="Calibri"/>
                <w:b/>
                <w:bCs/>
                <w:lang w:val="en-GB"/>
              </w:rPr>
              <w:t xml:space="preserve">s                         </w:t>
            </w:r>
          </w:p>
          <w:p w14:paraId="1BAE7351" w14:textId="11DFA7FA" w:rsidR="00D62B0D" w:rsidRPr="00784CF7" w:rsidRDefault="00D62B0D" w:rsidP="00151AFB">
            <w:pPr>
              <w:spacing w:line="480" w:lineRule="auto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693" w:type="dxa"/>
          </w:tcPr>
          <w:p w14:paraId="20B3783F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63</w:t>
            </w:r>
          </w:p>
          <w:p w14:paraId="34CF1DF0" w14:textId="77777777" w:rsidR="00263A3C" w:rsidRPr="00784CF7" w:rsidRDefault="00263A3C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0E8AA64C" w14:textId="0A46907C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56.4-69.6</w:t>
            </w:r>
          </w:p>
        </w:tc>
        <w:tc>
          <w:tcPr>
            <w:tcW w:w="1515" w:type="dxa"/>
          </w:tcPr>
          <w:p w14:paraId="320DB390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63</w:t>
            </w:r>
          </w:p>
          <w:p w14:paraId="39CE7322" w14:textId="77777777" w:rsidR="00263A3C" w:rsidRPr="00784CF7" w:rsidRDefault="00263A3C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781A6A1A" w14:textId="134277A5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57.1-69.0</w:t>
            </w:r>
          </w:p>
        </w:tc>
        <w:tc>
          <w:tcPr>
            <w:tcW w:w="1577" w:type="dxa"/>
          </w:tcPr>
          <w:p w14:paraId="657D440A" w14:textId="3A58CFC6" w:rsidR="00263A3C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54</w:t>
            </w:r>
          </w:p>
          <w:p w14:paraId="3578DEFE" w14:textId="77777777" w:rsidR="00263A3C" w:rsidRPr="00784CF7" w:rsidRDefault="00263A3C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28656600" w14:textId="0F433E4C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41.2-67.0</w:t>
            </w:r>
          </w:p>
        </w:tc>
        <w:tc>
          <w:tcPr>
            <w:tcW w:w="1128" w:type="dxa"/>
          </w:tcPr>
          <w:p w14:paraId="61BFE0BF" w14:textId="77777777" w:rsidR="00263A3C" w:rsidRPr="00784CF7" w:rsidRDefault="00263A3C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5506DFE5" w14:textId="790F79C8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0.97</w:t>
            </w:r>
          </w:p>
        </w:tc>
      </w:tr>
      <w:tr w:rsidR="00D62B0D" w14:paraId="299F8644" w14:textId="77777777" w:rsidTr="00784CF7">
        <w:tc>
          <w:tcPr>
            <w:tcW w:w="3715" w:type="dxa"/>
          </w:tcPr>
          <w:p w14:paraId="67B1B01F" w14:textId="27E1532C" w:rsidR="00D62B0D" w:rsidRPr="00784CF7" w:rsidRDefault="00D62B0D" w:rsidP="00151AFB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>Time to LTOT initiation (months)</w:t>
            </w:r>
          </w:p>
          <w:p w14:paraId="292357BE" w14:textId="77777777" w:rsidR="00263A3C" w:rsidRPr="00784CF7" w:rsidRDefault="00263A3C" w:rsidP="00151AFB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</w:p>
          <w:p w14:paraId="310B854F" w14:textId="5C816F7C" w:rsidR="00D62B0D" w:rsidRPr="00784CF7" w:rsidRDefault="00D62B0D" w:rsidP="00151AFB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>95% C</w:t>
            </w:r>
            <w:r w:rsidRPr="00784CF7">
              <w:rPr>
                <w:rFonts w:ascii="Calibri" w:hAnsi="Calibri" w:cs="Calibri"/>
                <w:b/>
                <w:bCs/>
                <w:lang w:val="en-GB"/>
              </w:rPr>
              <w:t>I</w:t>
            </w:r>
            <w:r w:rsidRPr="00784CF7">
              <w:rPr>
                <w:rFonts w:ascii="Calibri" w:hAnsi="Calibri" w:cs="Calibri"/>
                <w:b/>
                <w:bCs/>
                <w:lang w:val="en-GB"/>
              </w:rPr>
              <w:t>s</w:t>
            </w:r>
          </w:p>
        </w:tc>
        <w:tc>
          <w:tcPr>
            <w:tcW w:w="1693" w:type="dxa"/>
          </w:tcPr>
          <w:p w14:paraId="308C260C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17</w:t>
            </w:r>
          </w:p>
          <w:p w14:paraId="711FD07C" w14:textId="77777777" w:rsidR="00D62B0D" w:rsidRPr="00784CF7" w:rsidRDefault="00D62B0D" w:rsidP="00263A3C">
            <w:pPr>
              <w:spacing w:line="480" w:lineRule="auto"/>
              <w:rPr>
                <w:rFonts w:ascii="Calibri" w:hAnsi="Calibri" w:cs="Calibri"/>
                <w:lang w:val="en-GB"/>
              </w:rPr>
            </w:pPr>
          </w:p>
          <w:p w14:paraId="2205E91D" w14:textId="34E442A0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10.2-24.0</w:t>
            </w:r>
          </w:p>
        </w:tc>
        <w:tc>
          <w:tcPr>
            <w:tcW w:w="1515" w:type="dxa"/>
          </w:tcPr>
          <w:p w14:paraId="381E56AE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18</w:t>
            </w:r>
          </w:p>
          <w:p w14:paraId="23594CAA" w14:textId="77777777" w:rsidR="00D62B0D" w:rsidRPr="00784CF7" w:rsidRDefault="00D62B0D" w:rsidP="00263A3C">
            <w:pPr>
              <w:spacing w:line="480" w:lineRule="auto"/>
              <w:rPr>
                <w:rFonts w:ascii="Calibri" w:hAnsi="Calibri" w:cs="Calibri"/>
                <w:lang w:val="en-GB"/>
              </w:rPr>
            </w:pPr>
          </w:p>
          <w:p w14:paraId="57CCC6F7" w14:textId="219CD808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11.0-25.2</w:t>
            </w:r>
          </w:p>
        </w:tc>
        <w:tc>
          <w:tcPr>
            <w:tcW w:w="1577" w:type="dxa"/>
          </w:tcPr>
          <w:p w14:paraId="5B78B2C4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15</w:t>
            </w:r>
          </w:p>
          <w:p w14:paraId="590569D2" w14:textId="77777777" w:rsidR="00D62B0D" w:rsidRPr="00784CF7" w:rsidRDefault="00D62B0D" w:rsidP="00263A3C">
            <w:pPr>
              <w:spacing w:line="480" w:lineRule="auto"/>
              <w:rPr>
                <w:rFonts w:ascii="Calibri" w:hAnsi="Calibri" w:cs="Calibri"/>
                <w:lang w:val="en-GB"/>
              </w:rPr>
            </w:pPr>
          </w:p>
          <w:p w14:paraId="65F9CBDE" w14:textId="658D829D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5.6-24.4</w:t>
            </w:r>
          </w:p>
        </w:tc>
        <w:tc>
          <w:tcPr>
            <w:tcW w:w="1128" w:type="dxa"/>
          </w:tcPr>
          <w:p w14:paraId="55A9D5FF" w14:textId="77777777" w:rsidR="00263A3C" w:rsidRPr="00784CF7" w:rsidRDefault="00263A3C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3B0EF132" w14:textId="744351E6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0.87</w:t>
            </w:r>
          </w:p>
        </w:tc>
      </w:tr>
      <w:tr w:rsidR="00D62B0D" w14:paraId="27E9BBCD" w14:textId="77777777" w:rsidTr="00784CF7">
        <w:tc>
          <w:tcPr>
            <w:tcW w:w="3715" w:type="dxa"/>
          </w:tcPr>
          <w:p w14:paraId="01AB615B" w14:textId="160A4D0E" w:rsidR="00D62B0D" w:rsidRPr="00784CF7" w:rsidRDefault="00263A3C" w:rsidP="00151AFB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>T</w:t>
            </w:r>
            <w:r w:rsidR="00D62B0D" w:rsidRPr="00784CF7">
              <w:rPr>
                <w:rFonts w:ascii="Calibri" w:hAnsi="Calibri" w:cs="Calibri"/>
                <w:b/>
                <w:bCs/>
                <w:lang w:val="en-GB"/>
              </w:rPr>
              <w:t>ime to dose reduction (months)</w:t>
            </w:r>
          </w:p>
          <w:p w14:paraId="20B0A67A" w14:textId="77777777" w:rsidR="00263A3C" w:rsidRPr="00784CF7" w:rsidRDefault="00263A3C" w:rsidP="00151AFB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</w:p>
          <w:p w14:paraId="75B7F356" w14:textId="0F64665F" w:rsidR="00D62B0D" w:rsidRPr="00784CF7" w:rsidRDefault="00D62B0D" w:rsidP="00151AFB">
            <w:pPr>
              <w:spacing w:line="480" w:lineRule="auto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>95% CIs</w:t>
            </w:r>
          </w:p>
        </w:tc>
        <w:tc>
          <w:tcPr>
            <w:tcW w:w="1693" w:type="dxa"/>
          </w:tcPr>
          <w:p w14:paraId="4169D229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50</w:t>
            </w:r>
          </w:p>
          <w:p w14:paraId="783C7333" w14:textId="77777777" w:rsidR="00D62B0D" w:rsidRPr="00784CF7" w:rsidRDefault="00D62B0D" w:rsidP="00263A3C">
            <w:pPr>
              <w:spacing w:line="480" w:lineRule="auto"/>
              <w:rPr>
                <w:rFonts w:ascii="Calibri" w:hAnsi="Calibri" w:cs="Calibri"/>
                <w:lang w:val="en-GB"/>
              </w:rPr>
            </w:pPr>
          </w:p>
          <w:p w14:paraId="2CFF20A1" w14:textId="24CDF0A1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36.4-63.6</w:t>
            </w:r>
          </w:p>
        </w:tc>
        <w:tc>
          <w:tcPr>
            <w:tcW w:w="1515" w:type="dxa"/>
          </w:tcPr>
          <w:p w14:paraId="712D10B9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25</w:t>
            </w:r>
          </w:p>
          <w:p w14:paraId="61DE5C8A" w14:textId="77777777" w:rsidR="00D62B0D" w:rsidRPr="00784CF7" w:rsidRDefault="00D62B0D" w:rsidP="00263A3C">
            <w:pPr>
              <w:spacing w:line="480" w:lineRule="auto"/>
              <w:rPr>
                <w:rFonts w:ascii="Calibri" w:hAnsi="Calibri" w:cs="Calibri"/>
                <w:lang w:val="en-GB"/>
              </w:rPr>
            </w:pPr>
          </w:p>
          <w:p w14:paraId="52939A07" w14:textId="49029F95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20.6-29.3</w:t>
            </w:r>
          </w:p>
        </w:tc>
        <w:tc>
          <w:tcPr>
            <w:tcW w:w="1577" w:type="dxa"/>
          </w:tcPr>
          <w:p w14:paraId="13C883E1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784CF7">
              <w:rPr>
                <w:rFonts w:ascii="Calibri" w:hAnsi="Calibri" w:cs="Calibri"/>
                <w:lang w:val="en-GB"/>
              </w:rPr>
              <w:t>68</w:t>
            </w:r>
          </w:p>
          <w:p w14:paraId="2F7ACCD0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270F1BE5" w14:textId="77777777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  <w:p w14:paraId="0388DAB5" w14:textId="3B0308A2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128" w:type="dxa"/>
          </w:tcPr>
          <w:p w14:paraId="15802823" w14:textId="77777777" w:rsidR="00263A3C" w:rsidRPr="00784CF7" w:rsidRDefault="00263A3C" w:rsidP="006A1CF1">
            <w:pPr>
              <w:spacing w:line="480" w:lineRule="auto"/>
              <w:jc w:val="both"/>
              <w:rPr>
                <w:rFonts w:ascii="Calibri" w:hAnsi="Calibri" w:cs="Calibri"/>
                <w:lang w:val="en-GB"/>
              </w:rPr>
            </w:pPr>
          </w:p>
          <w:p w14:paraId="343B1544" w14:textId="01D2F7FC" w:rsidR="00D62B0D" w:rsidRPr="00784CF7" w:rsidRDefault="00D62B0D" w:rsidP="00263A3C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784CF7">
              <w:rPr>
                <w:rFonts w:ascii="Calibri" w:hAnsi="Calibri" w:cs="Calibri"/>
                <w:b/>
                <w:bCs/>
                <w:lang w:val="en-GB"/>
              </w:rPr>
              <w:t>&lt; 0.001</w:t>
            </w:r>
          </w:p>
        </w:tc>
      </w:tr>
    </w:tbl>
    <w:p w14:paraId="0D2D248B" w14:textId="38D55EE5" w:rsidR="00A87CAE" w:rsidRDefault="00A87CAE" w:rsidP="006A1CF1">
      <w:pPr>
        <w:spacing w:line="480" w:lineRule="auto"/>
        <w:jc w:val="both"/>
        <w:rPr>
          <w:lang w:val="en-GB"/>
        </w:rPr>
      </w:pPr>
    </w:p>
    <w:p w14:paraId="60773BF7" w14:textId="30904D4C" w:rsidR="004F039C" w:rsidRPr="00E24815" w:rsidRDefault="004F039C" w:rsidP="00E24815">
      <w:pPr>
        <w:spacing w:line="480" w:lineRule="auto"/>
        <w:rPr>
          <w:rFonts w:ascii="Calibri" w:hAnsi="Calibri" w:cs="Calibri"/>
          <w:lang w:val="en-GB"/>
        </w:rPr>
      </w:pPr>
      <w:r w:rsidRPr="00E24815">
        <w:rPr>
          <w:rFonts w:ascii="Calibri" w:hAnsi="Calibri" w:cs="Calibri"/>
          <w:lang w:val="en-GB"/>
        </w:rPr>
        <w:t>Table 1</w:t>
      </w:r>
      <w:r w:rsidR="00066961" w:rsidRPr="00E24815">
        <w:rPr>
          <w:rFonts w:ascii="Calibri" w:hAnsi="Calibri" w:cs="Calibri"/>
          <w:lang w:val="en-GB"/>
        </w:rPr>
        <w:t xml:space="preserve">. </w:t>
      </w:r>
      <w:r w:rsidR="00066961" w:rsidRPr="00E24815">
        <w:rPr>
          <w:rFonts w:ascii="Calibri" w:hAnsi="Calibri" w:cs="Calibri"/>
          <w:lang w:val="en-GB"/>
        </w:rPr>
        <w:t xml:space="preserve">Clinical outcomes in patients treated with </w:t>
      </w:r>
      <w:proofErr w:type="spellStart"/>
      <w:r w:rsidR="00066961" w:rsidRPr="00E24815">
        <w:rPr>
          <w:rFonts w:ascii="Calibri" w:hAnsi="Calibri" w:cs="Calibri"/>
          <w:lang w:val="en-GB"/>
        </w:rPr>
        <w:t>Nintedanib</w:t>
      </w:r>
      <w:proofErr w:type="spellEnd"/>
      <w:r w:rsidR="00066961" w:rsidRPr="00E24815">
        <w:rPr>
          <w:rFonts w:ascii="Calibri" w:hAnsi="Calibri" w:cs="Calibri"/>
          <w:lang w:val="en-GB"/>
        </w:rPr>
        <w:t xml:space="preserve"> (N=137) and Pirfenidone (N=130), excluding the 25 patients who switched therapy</w:t>
      </w:r>
      <w:r w:rsidR="00784CF7">
        <w:rPr>
          <w:rFonts w:ascii="Calibri" w:hAnsi="Calibri" w:cs="Calibri"/>
          <w:lang w:val="en-GB"/>
        </w:rPr>
        <w:t xml:space="preserve"> during follow-up time</w:t>
      </w:r>
      <w:r w:rsidR="00066961" w:rsidRPr="00E24815">
        <w:rPr>
          <w:rFonts w:ascii="Calibri" w:hAnsi="Calibri" w:cs="Calibri"/>
          <w:lang w:val="en-GB"/>
        </w:rPr>
        <w:t>.</w:t>
      </w:r>
      <w:r w:rsidR="00E24815">
        <w:rPr>
          <w:rFonts w:ascii="Calibri" w:hAnsi="Calibri" w:cs="Calibri"/>
          <w:lang w:val="en-GB"/>
        </w:rPr>
        <w:t xml:space="preserve"> </w:t>
      </w:r>
      <w:r w:rsidR="00487865">
        <w:rPr>
          <w:rFonts w:ascii="Calibri" w:hAnsi="Calibri" w:cs="Calibri"/>
          <w:lang w:val="en-GB"/>
        </w:rPr>
        <w:t xml:space="preserve">Median time is expressed </w:t>
      </w:r>
      <w:r w:rsidR="00066961" w:rsidRPr="00E24815">
        <w:rPr>
          <w:rFonts w:ascii="Calibri" w:hAnsi="Calibri" w:cs="Calibri"/>
          <w:lang w:val="en-GB"/>
        </w:rPr>
        <w:t xml:space="preserve">for progression-free survival (PFS), overall survival (OS), time to initiation of long-term oxygen therapy (LTOT), and time to dose reduction. Results are reported in months, with </w:t>
      </w:r>
      <w:r w:rsidR="00784CF7">
        <w:rPr>
          <w:rFonts w:ascii="Calibri" w:hAnsi="Calibri" w:cs="Calibri"/>
          <w:lang w:val="en-GB"/>
        </w:rPr>
        <w:t xml:space="preserve">their </w:t>
      </w:r>
      <w:r w:rsidR="00066961" w:rsidRPr="00E24815">
        <w:rPr>
          <w:rFonts w:ascii="Calibri" w:hAnsi="Calibri" w:cs="Calibri"/>
          <w:lang w:val="en-GB"/>
        </w:rPr>
        <w:t>95% confidence intervals (95% CIs) and p-values from the Log Rank test.</w:t>
      </w:r>
    </w:p>
    <w:p w14:paraId="1BC83654" w14:textId="5B8AF1FA" w:rsidR="006A1CF1" w:rsidRPr="005C3233" w:rsidRDefault="006A1CF1" w:rsidP="006A1CF1">
      <w:pPr>
        <w:pStyle w:val="Didascalia"/>
        <w:rPr>
          <w:lang w:val="en-GB"/>
        </w:rPr>
      </w:pPr>
    </w:p>
    <w:sectPr w:rsidR="006A1CF1" w:rsidRPr="005C32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B9"/>
    <w:rsid w:val="00013CFD"/>
    <w:rsid w:val="00066961"/>
    <w:rsid w:val="0007353F"/>
    <w:rsid w:val="00086156"/>
    <w:rsid w:val="00116150"/>
    <w:rsid w:val="0015062C"/>
    <w:rsid w:val="00151AFB"/>
    <w:rsid w:val="00151B34"/>
    <w:rsid w:val="001E2443"/>
    <w:rsid w:val="001F7CC0"/>
    <w:rsid w:val="00223F54"/>
    <w:rsid w:val="00263A3C"/>
    <w:rsid w:val="00307074"/>
    <w:rsid w:val="00313197"/>
    <w:rsid w:val="00342B62"/>
    <w:rsid w:val="003609B6"/>
    <w:rsid w:val="0042063B"/>
    <w:rsid w:val="00444895"/>
    <w:rsid w:val="00460C5D"/>
    <w:rsid w:val="0046603F"/>
    <w:rsid w:val="0047101E"/>
    <w:rsid w:val="00487865"/>
    <w:rsid w:val="00497EF1"/>
    <w:rsid w:val="004D7A5C"/>
    <w:rsid w:val="004F039C"/>
    <w:rsid w:val="004F2734"/>
    <w:rsid w:val="00513F54"/>
    <w:rsid w:val="005361C2"/>
    <w:rsid w:val="00572512"/>
    <w:rsid w:val="00574A4A"/>
    <w:rsid w:val="005C3233"/>
    <w:rsid w:val="005C3879"/>
    <w:rsid w:val="006460C5"/>
    <w:rsid w:val="006A1CF1"/>
    <w:rsid w:val="00722609"/>
    <w:rsid w:val="00784CF7"/>
    <w:rsid w:val="00792C87"/>
    <w:rsid w:val="007B1787"/>
    <w:rsid w:val="00810DE8"/>
    <w:rsid w:val="008A268D"/>
    <w:rsid w:val="008C1CE7"/>
    <w:rsid w:val="00965F19"/>
    <w:rsid w:val="009756F1"/>
    <w:rsid w:val="009903B2"/>
    <w:rsid w:val="0099209A"/>
    <w:rsid w:val="00A237DC"/>
    <w:rsid w:val="00A82237"/>
    <w:rsid w:val="00A87CAE"/>
    <w:rsid w:val="00A949E9"/>
    <w:rsid w:val="00AB0D59"/>
    <w:rsid w:val="00AC70E8"/>
    <w:rsid w:val="00B62982"/>
    <w:rsid w:val="00BB1A5A"/>
    <w:rsid w:val="00BB2340"/>
    <w:rsid w:val="00BC4C91"/>
    <w:rsid w:val="00C02F0A"/>
    <w:rsid w:val="00C44986"/>
    <w:rsid w:val="00C809F1"/>
    <w:rsid w:val="00C95847"/>
    <w:rsid w:val="00CE0370"/>
    <w:rsid w:val="00CF0B7C"/>
    <w:rsid w:val="00D017C3"/>
    <w:rsid w:val="00D02D5A"/>
    <w:rsid w:val="00D11A51"/>
    <w:rsid w:val="00D62321"/>
    <w:rsid w:val="00D62B0D"/>
    <w:rsid w:val="00DE1F30"/>
    <w:rsid w:val="00E015B9"/>
    <w:rsid w:val="00E24815"/>
    <w:rsid w:val="00E2691F"/>
    <w:rsid w:val="00E75FC1"/>
    <w:rsid w:val="00F3664E"/>
    <w:rsid w:val="00F63D4F"/>
    <w:rsid w:val="00F66AB7"/>
    <w:rsid w:val="00F80C45"/>
    <w:rsid w:val="00F94263"/>
    <w:rsid w:val="24D0ED86"/>
    <w:rsid w:val="5BDE0840"/>
    <w:rsid w:val="601CA2F7"/>
    <w:rsid w:val="677969B9"/>
    <w:rsid w:val="6E65A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24B4"/>
  <w15:chartTrackingRefBased/>
  <w15:docId w15:val="{DB1FC55F-9ECB-4099-8174-DA2FE44D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3233"/>
  </w:style>
  <w:style w:type="paragraph" w:styleId="Titolo1">
    <w:name w:val="heading 1"/>
    <w:basedOn w:val="Normale"/>
    <w:next w:val="Normale"/>
    <w:link w:val="Titolo1Carattere"/>
    <w:uiPriority w:val="9"/>
    <w:qFormat/>
    <w:rsid w:val="00E01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1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1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1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1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1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1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1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1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1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1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1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15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15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15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15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15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15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1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1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1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1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1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15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15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15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1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15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15B9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6A1CF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F63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0a51a311f7f7e138/Desktop/grafic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220561569148118"/>
          <c:y val="4.5776268487766045E-2"/>
          <c:w val="0.78998798305949458"/>
          <c:h val="0.71052228022059039"/>
        </c:manualLayout>
      </c:layout>
      <c:lineChart>
        <c:grouping val="standard"/>
        <c:varyColors val="0"/>
        <c:ser>
          <c:idx val="1"/>
          <c:order val="0"/>
          <c:tx>
            <c:strRef>
              <c:f>Foglio1!$B$24</c:f>
              <c:strCache>
                <c:ptCount val="1"/>
                <c:pt idx="0">
                  <c:v>Reduced dose</c:v>
                </c:pt>
              </c:strCache>
            </c:strRef>
          </c:tx>
          <c:spPr>
            <a:ln w="19050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Lit>
              <c:formatCode>General</c:formatCode>
              <c:ptCount val="11"/>
              <c:pt idx="0">
                <c:v>0</c:v>
              </c:pt>
              <c:pt idx="1">
                <c:v>6</c:v>
              </c:pt>
              <c:pt idx="2">
                <c:v>12</c:v>
              </c:pt>
              <c:pt idx="3">
                <c:v>18</c:v>
              </c:pt>
              <c:pt idx="4">
                <c:v>24</c:v>
              </c:pt>
              <c:pt idx="5">
                <c:v>30</c:v>
              </c:pt>
              <c:pt idx="6">
                <c:v>36</c:v>
              </c:pt>
              <c:pt idx="7">
                <c:v>42</c:v>
              </c:pt>
              <c:pt idx="8">
                <c:v>48</c:v>
              </c:pt>
              <c:pt idx="9">
                <c:v>54</c:v>
              </c:pt>
              <c:pt idx="10">
                <c:v>60</c:v>
              </c:pt>
            </c:numLit>
          </c:cat>
          <c:val>
            <c:numRef>
              <c:f>Foglio1!$B$25:$B$35</c:f>
              <c:numCache>
                <c:formatCode>General</c:formatCode>
                <c:ptCount val="11"/>
                <c:pt idx="0">
                  <c:v>0</c:v>
                </c:pt>
                <c:pt idx="1">
                  <c:v>-46</c:v>
                </c:pt>
                <c:pt idx="2">
                  <c:v>-59</c:v>
                </c:pt>
                <c:pt idx="3">
                  <c:v>-103</c:v>
                </c:pt>
                <c:pt idx="4">
                  <c:v>-167</c:v>
                </c:pt>
                <c:pt idx="5">
                  <c:v>-231</c:v>
                </c:pt>
                <c:pt idx="6">
                  <c:v>-297</c:v>
                </c:pt>
                <c:pt idx="7">
                  <c:v>-339</c:v>
                </c:pt>
                <c:pt idx="8">
                  <c:v>-470</c:v>
                </c:pt>
                <c:pt idx="9">
                  <c:v>-602</c:v>
                </c:pt>
                <c:pt idx="10">
                  <c:v>-1100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4E-48CD-92EB-C5CBD93C58EA}"/>
            </c:ext>
          </c:extLst>
        </c:ser>
        <c:ser>
          <c:idx val="2"/>
          <c:order val="1"/>
          <c:tx>
            <c:strRef>
              <c:f>Foglio1!$C$24</c:f>
              <c:strCache>
                <c:ptCount val="1"/>
                <c:pt idx="0">
                  <c:v>Standard dose</c:v>
                </c:pt>
              </c:strCache>
            </c:strRef>
          </c:tx>
          <c:spPr>
            <a:ln w="19050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2">
                  <a:lumMod val="60000"/>
                  <a:lumOff val="40000"/>
                </a:schemeClr>
              </a:solidFill>
              <a:ln w="9525">
                <a:solidFill>
                  <a:schemeClr val="tx2">
                    <a:lumMod val="60000"/>
                    <a:lumOff val="4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Lit>
              <c:formatCode>General</c:formatCode>
              <c:ptCount val="11"/>
              <c:pt idx="0">
                <c:v>0</c:v>
              </c:pt>
              <c:pt idx="1">
                <c:v>6</c:v>
              </c:pt>
              <c:pt idx="2">
                <c:v>12</c:v>
              </c:pt>
              <c:pt idx="3">
                <c:v>18</c:v>
              </c:pt>
              <c:pt idx="4">
                <c:v>24</c:v>
              </c:pt>
              <c:pt idx="5">
                <c:v>30</c:v>
              </c:pt>
              <c:pt idx="6">
                <c:v>36</c:v>
              </c:pt>
              <c:pt idx="7">
                <c:v>42</c:v>
              </c:pt>
              <c:pt idx="8">
                <c:v>48</c:v>
              </c:pt>
              <c:pt idx="9">
                <c:v>54</c:v>
              </c:pt>
              <c:pt idx="10">
                <c:v>60</c:v>
              </c:pt>
            </c:numLit>
          </c:cat>
          <c:val>
            <c:numRef>
              <c:f>Foglio1!$C$25:$C$35</c:f>
              <c:numCache>
                <c:formatCode>General</c:formatCode>
                <c:ptCount val="11"/>
                <c:pt idx="0">
                  <c:v>0</c:v>
                </c:pt>
                <c:pt idx="1">
                  <c:v>-7</c:v>
                </c:pt>
                <c:pt idx="2">
                  <c:v>-56</c:v>
                </c:pt>
                <c:pt idx="3">
                  <c:v>-95</c:v>
                </c:pt>
                <c:pt idx="4">
                  <c:v>-182</c:v>
                </c:pt>
                <c:pt idx="5">
                  <c:v>-239</c:v>
                </c:pt>
                <c:pt idx="6">
                  <c:v>-251</c:v>
                </c:pt>
                <c:pt idx="7">
                  <c:v>-399</c:v>
                </c:pt>
                <c:pt idx="8">
                  <c:v>-394</c:v>
                </c:pt>
                <c:pt idx="9">
                  <c:v>-514</c:v>
                </c:pt>
                <c:pt idx="10">
                  <c:v>-461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D4E-48CD-92EB-C5CBD93C58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20359456"/>
        <c:axId val="1820358016"/>
      </c:lineChart>
      <c:catAx>
        <c:axId val="182035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20358016"/>
        <c:crosses val="autoZero"/>
        <c:auto val="1"/>
        <c:lblAlgn val="ctr"/>
        <c:lblOffset val="100"/>
        <c:noMultiLvlLbl val="0"/>
      </c:catAx>
      <c:valAx>
        <c:axId val="1820358016"/>
        <c:scaling>
          <c:orientation val="minMax"/>
          <c:max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t-IT" sz="9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Mean observed change from baseline in FVC (mL)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203594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Lalla</dc:creator>
  <cp:keywords/>
  <dc:description/>
  <cp:lastModifiedBy>Francesca Lalla</cp:lastModifiedBy>
  <cp:revision>2</cp:revision>
  <dcterms:created xsi:type="dcterms:W3CDTF">2025-07-25T16:35:00Z</dcterms:created>
  <dcterms:modified xsi:type="dcterms:W3CDTF">2025-07-25T16:35:00Z</dcterms:modified>
</cp:coreProperties>
</file>