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AED7A">
      <w:pPr>
        <w:spacing w:line="480" w:lineRule="auto"/>
        <w:jc w:val="center"/>
        <w:rPr>
          <w:rFonts w:hint="eastAsia" w:ascii="Times New Roman" w:hAnsi="Times New Roman"/>
          <w:b/>
          <w:bCs/>
          <w:color w:val="242021"/>
          <w:kern w:val="0"/>
          <w:sz w:val="24"/>
          <w:highlight w:val="none"/>
          <w:lang w:val="en-US" w:eastAsia="zh-CN"/>
        </w:rPr>
      </w:pPr>
      <w:r>
        <w:rPr>
          <w:rFonts w:hint="eastAsia" w:ascii="Times New Roman" w:hAnsi="Times New Roman"/>
          <w:b/>
          <w:bCs/>
          <w:color w:val="242021"/>
          <w:kern w:val="0"/>
          <w:sz w:val="24"/>
          <w:highlight w:val="none"/>
          <w:lang w:val="en-US" w:eastAsia="zh-CN"/>
        </w:rPr>
        <w:drawing>
          <wp:inline distT="0" distB="0" distL="114300" distR="114300">
            <wp:extent cx="5269230" cy="4114800"/>
            <wp:effectExtent l="0" t="0" r="1270" b="0"/>
            <wp:docPr id="1" name="图片 1"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1"/>
                    <pic:cNvPicPr>
                      <a:picLocks noChangeAspect="1"/>
                    </pic:cNvPicPr>
                  </pic:nvPicPr>
                  <pic:blipFill>
                    <a:blip r:embed="rId4"/>
                    <a:stretch>
                      <a:fillRect/>
                    </a:stretch>
                  </pic:blipFill>
                  <pic:spPr>
                    <a:xfrm>
                      <a:off x="0" y="0"/>
                      <a:ext cx="5269230" cy="4114800"/>
                    </a:xfrm>
                    <a:prstGeom prst="rect">
                      <a:avLst/>
                    </a:prstGeom>
                  </pic:spPr>
                </pic:pic>
              </a:graphicData>
            </a:graphic>
          </wp:inline>
        </w:drawing>
      </w:r>
    </w:p>
    <w:p w14:paraId="4B77215C">
      <w:pPr>
        <w:spacing w:line="480" w:lineRule="auto"/>
        <w:rPr>
          <w:rFonts w:hint="eastAsia" w:ascii="Times New Roman" w:hAnsi="Times New Roman"/>
          <w:color w:val="242021"/>
          <w:kern w:val="0"/>
          <w:sz w:val="24"/>
          <w:lang w:val="en-US" w:eastAsia="zh-CN"/>
        </w:rPr>
      </w:pPr>
      <w:r>
        <w:rPr>
          <w:rFonts w:hint="eastAsia" w:ascii="Times New Roman" w:hAnsi="Times New Roman"/>
          <w:b/>
          <w:bCs/>
          <w:color w:val="242021"/>
          <w:kern w:val="0"/>
          <w:sz w:val="24"/>
          <w:highlight w:val="none"/>
          <w:lang w:val="en-US" w:eastAsia="zh-CN"/>
        </w:rPr>
        <w:t xml:space="preserve">Figure S1 </w:t>
      </w:r>
      <w:r>
        <w:rPr>
          <w:rFonts w:hint="eastAsia" w:ascii="Times New Roman" w:hAnsi="Times New Roman"/>
          <w:color w:val="242021"/>
          <w:kern w:val="0"/>
          <w:sz w:val="24"/>
          <w:highlight w:val="none"/>
          <w:lang w:val="en-US" w:eastAsia="zh-CN"/>
        </w:rPr>
        <w:t xml:space="preserve"> Flow di</w:t>
      </w:r>
      <w:r>
        <w:rPr>
          <w:rFonts w:hint="eastAsia" w:ascii="Times New Roman" w:hAnsi="Times New Roman"/>
          <w:color w:val="242021"/>
          <w:kern w:val="0"/>
          <w:sz w:val="24"/>
          <w:lang w:val="en-US" w:eastAsia="zh-CN"/>
        </w:rPr>
        <w:t xml:space="preserve">agram of study enrollment  </w:t>
      </w:r>
    </w:p>
    <w:p w14:paraId="7B122AA3">
      <w:pPr>
        <w:rPr>
          <w:rFonts w:hint="eastAsia" w:ascii="Times New Roman" w:hAnsi="Times New Roman"/>
          <w:color w:val="242021"/>
          <w:kern w:val="0"/>
          <w:sz w:val="24"/>
          <w:lang w:val="en-US" w:eastAsia="zh-CN"/>
        </w:rPr>
      </w:pPr>
      <w:r>
        <w:rPr>
          <w:rFonts w:hint="eastAsia" w:ascii="Times New Roman" w:hAnsi="Times New Roman"/>
          <w:color w:val="242021"/>
          <w:kern w:val="0"/>
          <w:sz w:val="24"/>
          <w:lang w:val="en-US" w:eastAsia="zh-CN"/>
        </w:rPr>
        <w:br w:type="page"/>
      </w:r>
    </w:p>
    <w:p w14:paraId="60C3D2AE">
      <w:pPr>
        <w:pStyle w:val="6"/>
        <w:spacing w:line="480" w:lineRule="auto"/>
        <w:rPr>
          <w:rFonts w:ascii="Times New Roman" w:hAnsi="Times New Roman" w:cs="Times New Roman"/>
          <w:b/>
          <w:bCs/>
          <w:color w:val="242021"/>
          <w:kern w:val="0"/>
          <w:sz w:val="24"/>
          <w:lang w:val="en-US" w:eastAsia="zh-CN"/>
        </w:rPr>
      </w:pPr>
      <w:r>
        <w:drawing>
          <wp:inline distT="0" distB="0" distL="114300" distR="114300">
            <wp:extent cx="5257165" cy="299085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5"/>
                    <a:srcRect l="313"/>
                    <a:stretch>
                      <a:fillRect/>
                    </a:stretch>
                  </pic:blipFill>
                  <pic:spPr>
                    <a:xfrm>
                      <a:off x="0" y="0"/>
                      <a:ext cx="5257165" cy="2990850"/>
                    </a:xfrm>
                    <a:prstGeom prst="rect">
                      <a:avLst/>
                    </a:prstGeom>
                    <a:noFill/>
                    <a:ln>
                      <a:noFill/>
                    </a:ln>
                  </pic:spPr>
                </pic:pic>
              </a:graphicData>
            </a:graphic>
          </wp:inline>
        </w:drawing>
      </w:r>
    </w:p>
    <w:p w14:paraId="6CF3A30F">
      <w:pPr>
        <w:pStyle w:val="6"/>
        <w:spacing w:line="480" w:lineRule="auto"/>
        <w:rPr>
          <w:rFonts w:ascii="Times New Roman" w:hAnsi="Times New Roman" w:cs="Times New Roman"/>
          <w:b/>
          <w:bCs/>
          <w:color w:val="242021"/>
          <w:kern w:val="0"/>
          <w:sz w:val="24"/>
          <w:lang w:val="en-US" w:eastAsia="zh-CN"/>
        </w:rPr>
      </w:pPr>
      <w:r>
        <w:rPr>
          <w:rFonts w:ascii="Times New Roman" w:hAnsi="Times New Roman" w:cs="Times New Roman"/>
          <w:b/>
          <w:bCs/>
          <w:color w:val="242021"/>
          <w:kern w:val="0"/>
          <w:sz w:val="24"/>
          <w:lang w:val="en-US" w:eastAsia="zh-CN"/>
        </w:rPr>
        <w:t xml:space="preserve">Figure </w:t>
      </w:r>
      <w:r>
        <w:rPr>
          <w:rFonts w:hint="eastAsia" w:ascii="Times New Roman" w:hAnsi="Times New Roman" w:cs="Times New Roman"/>
          <w:b/>
          <w:bCs/>
          <w:color w:val="242021"/>
          <w:kern w:val="0"/>
          <w:sz w:val="24"/>
          <w:lang w:val="en-US" w:eastAsia="zh-CN"/>
        </w:rPr>
        <w:t>S2</w:t>
      </w:r>
      <w:r>
        <w:rPr>
          <w:rFonts w:ascii="Times New Roman" w:hAnsi="Times New Roman" w:cs="Times New Roman"/>
          <w:b/>
          <w:bCs/>
          <w:color w:val="242021"/>
          <w:kern w:val="0"/>
          <w:sz w:val="24"/>
          <w:lang w:val="en-US" w:eastAsia="zh-CN"/>
        </w:rPr>
        <w:t>. Kaplan-Meier survival curves stratified by year of diagnosis in patients with MDA5⁺DM-ILD</w:t>
      </w:r>
    </w:p>
    <w:p w14:paraId="5E3F516A">
      <w:pPr>
        <w:pStyle w:val="6"/>
        <w:spacing w:line="480" w:lineRule="auto"/>
        <w:rPr>
          <w:rFonts w:ascii="Times New Roman" w:hAnsi="Times New Roman" w:cs="Times New Roman"/>
          <w:color w:val="242021"/>
          <w:kern w:val="0"/>
          <w:sz w:val="24"/>
          <w:lang w:val="en-US" w:eastAsia="zh-CN"/>
        </w:rPr>
      </w:pPr>
      <w:r>
        <w:rPr>
          <w:rFonts w:ascii="Times New Roman" w:hAnsi="Times New Roman" w:cs="Times New Roman"/>
          <w:color w:val="242021"/>
          <w:kern w:val="0"/>
          <w:sz w:val="24"/>
          <w:lang w:val="en-US" w:eastAsia="zh-CN"/>
        </w:rPr>
        <w:t>Kaplan-Meier analysis comparing survival outcomes in patients diagnosed before and after 2020. No significant difference in survival probability was observed between groups (Log-rank P = 0.298; HR 0.653, 95% CI 0.288–1.478). Shaded areas indicate 95% confidence intervals. HR: Hazard Ratio, CI: Confidence Interval.</w:t>
      </w:r>
    </w:p>
    <w:p w14:paraId="0CC97FED">
      <w:pPr>
        <w:spacing w:line="480" w:lineRule="auto"/>
        <w:jc w:val="center"/>
        <w:rPr>
          <w:rFonts w:hint="eastAsia" w:ascii="Times New Roman" w:hAnsi="Times New Roman"/>
          <w:color w:val="242021"/>
          <w:kern w:val="0"/>
          <w:sz w:val="24"/>
          <w:lang w:val="en-US" w:eastAsia="zh-CN"/>
        </w:rPr>
      </w:pPr>
    </w:p>
    <w:p w14:paraId="0B2B4BF3">
      <w:pPr>
        <w:spacing w:line="480" w:lineRule="auto"/>
        <w:jc w:val="center"/>
        <w:rPr>
          <w:rFonts w:hint="eastAsia" w:ascii="Times New Roman" w:hAnsi="Times New Roman"/>
          <w:color w:val="242021"/>
          <w:kern w:val="0"/>
          <w:sz w:val="24"/>
          <w:lang w:val="en-US" w:eastAsia="zh-CN"/>
        </w:rPr>
      </w:pPr>
    </w:p>
    <w:p w14:paraId="539F6BB0">
      <w:pPr>
        <w:spacing w:line="480" w:lineRule="auto"/>
        <w:jc w:val="center"/>
        <w:rPr>
          <w:rFonts w:hint="eastAsia" w:ascii="Times New Roman" w:hAnsi="Times New Roman"/>
          <w:color w:val="242021"/>
          <w:kern w:val="0"/>
          <w:sz w:val="24"/>
          <w:lang w:val="en-US" w:eastAsia="zh-CN"/>
        </w:rPr>
      </w:pPr>
    </w:p>
    <w:p w14:paraId="759E9AFC">
      <w:pPr>
        <w:spacing w:line="480" w:lineRule="auto"/>
        <w:jc w:val="center"/>
        <w:rPr>
          <w:rFonts w:hint="eastAsia" w:ascii="Times New Roman" w:hAnsi="Times New Roman"/>
          <w:color w:val="242021"/>
          <w:kern w:val="0"/>
          <w:sz w:val="24"/>
          <w:lang w:val="en-US" w:eastAsia="zh-CN"/>
        </w:rPr>
      </w:pPr>
    </w:p>
    <w:p w14:paraId="4FE0CD43">
      <w:pPr>
        <w:spacing w:line="480" w:lineRule="auto"/>
        <w:jc w:val="center"/>
        <w:rPr>
          <w:rFonts w:hint="eastAsia" w:ascii="Times New Roman" w:hAnsi="Times New Roman"/>
          <w:color w:val="242021"/>
          <w:kern w:val="0"/>
          <w:sz w:val="24"/>
          <w:lang w:val="en-US" w:eastAsia="zh-CN"/>
        </w:rPr>
      </w:pPr>
    </w:p>
    <w:p w14:paraId="5AE1B770">
      <w:pPr>
        <w:spacing w:line="480" w:lineRule="auto"/>
        <w:jc w:val="center"/>
        <w:rPr>
          <w:rFonts w:hint="eastAsia" w:ascii="Times New Roman" w:hAnsi="Times New Roman"/>
          <w:color w:val="242021"/>
          <w:kern w:val="0"/>
          <w:sz w:val="24"/>
          <w:lang w:val="en-US" w:eastAsia="zh-CN"/>
        </w:rPr>
      </w:pPr>
    </w:p>
    <w:p w14:paraId="6AEA555C">
      <w:pPr>
        <w:spacing w:line="480" w:lineRule="auto"/>
        <w:jc w:val="center"/>
        <w:rPr>
          <w:rFonts w:hint="eastAsia" w:ascii="Times New Roman" w:hAnsi="Times New Roman"/>
          <w:color w:val="242021"/>
          <w:kern w:val="0"/>
          <w:sz w:val="24"/>
          <w:lang w:val="en-US" w:eastAsia="zh-CN"/>
        </w:rPr>
      </w:pPr>
    </w:p>
    <w:p w14:paraId="3FBB04E6">
      <w:pPr>
        <w:spacing w:line="480" w:lineRule="auto"/>
        <w:jc w:val="center"/>
        <w:rPr>
          <w:rFonts w:hint="eastAsia" w:ascii="Times New Roman" w:hAnsi="Times New Roman"/>
          <w:color w:val="242021"/>
          <w:kern w:val="0"/>
          <w:sz w:val="24"/>
          <w:lang w:val="en-US" w:eastAsia="zh-CN"/>
        </w:rPr>
      </w:pPr>
    </w:p>
    <w:p w14:paraId="0B2CF519">
      <w:pPr>
        <w:spacing w:line="480" w:lineRule="auto"/>
        <w:jc w:val="center"/>
        <w:rPr>
          <w:rFonts w:hint="eastAsia" w:ascii="Times New Roman" w:hAnsi="Times New Roman"/>
          <w:color w:val="242021"/>
          <w:kern w:val="0"/>
          <w:sz w:val="24"/>
          <w:lang w:val="en-US" w:eastAsia="zh-CN"/>
        </w:rPr>
      </w:pPr>
      <w:r>
        <w:rPr>
          <w:rFonts w:hint="eastAsia" w:ascii="Times New Roman" w:hAnsi="Times New Roman"/>
          <w:color w:val="242021"/>
          <w:kern w:val="0"/>
          <w:sz w:val="24"/>
          <w:lang w:val="en-US" w:eastAsia="zh-CN"/>
        </w:rPr>
        <w:drawing>
          <wp:inline distT="0" distB="0" distL="114300" distR="114300">
            <wp:extent cx="4742815" cy="5928360"/>
            <wp:effectExtent l="0" t="0" r="6985" b="2540"/>
            <wp:docPr id="2" name="图片 2"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2"/>
                    <pic:cNvPicPr>
                      <a:picLocks noChangeAspect="1"/>
                    </pic:cNvPicPr>
                  </pic:nvPicPr>
                  <pic:blipFill>
                    <a:blip r:embed="rId6"/>
                    <a:stretch>
                      <a:fillRect/>
                    </a:stretch>
                  </pic:blipFill>
                  <pic:spPr>
                    <a:xfrm>
                      <a:off x="0" y="0"/>
                      <a:ext cx="4742815" cy="5928360"/>
                    </a:xfrm>
                    <a:prstGeom prst="rect">
                      <a:avLst/>
                    </a:prstGeom>
                  </pic:spPr>
                </pic:pic>
              </a:graphicData>
            </a:graphic>
          </wp:inline>
        </w:drawing>
      </w:r>
    </w:p>
    <w:p w14:paraId="22645C1D">
      <w:pPr>
        <w:spacing w:after="0" w:line="480" w:lineRule="auto"/>
        <w:rPr>
          <w:rFonts w:hint="eastAsia" w:ascii="Times New Roman" w:hAnsi="Times New Roman" w:eastAsia="宋体" w:cs="Times New Roman"/>
          <w:b/>
          <w:bCs/>
          <w:color w:val="242021"/>
          <w:kern w:val="0"/>
          <w:sz w:val="24"/>
          <w:lang w:val="en-US" w:eastAsia="zh-CN"/>
          <w14:ligatures w14:val="none"/>
        </w:rPr>
      </w:pPr>
      <w:r>
        <w:rPr>
          <w:rFonts w:hint="eastAsia" w:ascii="Times New Roman" w:hAnsi="Times New Roman" w:eastAsia="宋体" w:cs="Times New Roman"/>
          <w:b/>
          <w:bCs/>
          <w:color w:val="242021"/>
          <w:kern w:val="0"/>
          <w:sz w:val="24"/>
          <w:lang w:val="en-US" w:eastAsia="zh-CN"/>
          <w14:ligatures w14:val="none"/>
        </w:rPr>
        <w:t>Figure S3. Proportional hazards assumption testing using Schoenfeld residuals</w:t>
      </w:r>
    </w:p>
    <w:p w14:paraId="7DE2983E">
      <w:pPr>
        <w:spacing w:after="0" w:line="480" w:lineRule="auto"/>
        <w:rPr>
          <w:rFonts w:hint="eastAsia" w:ascii="Times New Roman" w:hAnsi="Times New Roman" w:eastAsia="宋体" w:cs="Times New Roman"/>
          <w:color w:val="242021"/>
          <w:kern w:val="0"/>
          <w:sz w:val="24"/>
          <w:lang w:val="en-US" w:eastAsia="zh-CN"/>
          <w14:ligatures w14:val="none"/>
        </w:rPr>
      </w:pPr>
      <w:r>
        <w:rPr>
          <w:rFonts w:hint="eastAsia" w:ascii="Times New Roman" w:hAnsi="Times New Roman" w:eastAsia="宋体" w:cs="Times New Roman"/>
          <w:color w:val="242021"/>
          <w:kern w:val="0"/>
          <w:sz w:val="24"/>
          <w:lang w:val="en-US" w:eastAsia="zh-CN"/>
          <w14:ligatures w14:val="none"/>
        </w:rPr>
        <w:t>Plots of scaled Schoenfeld residuals against time for each covariate included in the final Cox proportional hazards model. The solid line represents the smoothed estimate of the time-dependent effect, and dashed lines indicate the 95% confidence interval. Most variables satisfied the proportional hazards assumption, whereas some variables (neutrophil-to-lymphocyte ratio and antibiotic use) showed evidence of time-varying effects.</w:t>
      </w:r>
    </w:p>
    <w:p w14:paraId="0EEDEB86">
      <w:pPr>
        <w:spacing w:after="0" w:line="480" w:lineRule="auto"/>
        <w:rPr>
          <w:rFonts w:hint="default" w:ascii="Times New Roman" w:hAnsi="Times New Roman" w:eastAsia="宋体" w:cs="Times New Roman"/>
          <w:b/>
          <w:bCs/>
          <w:color w:val="242021"/>
          <w:kern w:val="0"/>
          <w:sz w:val="24"/>
          <w:lang w:val="en-US" w:eastAsia="zh-CN"/>
          <w14:ligatures w14:val="none"/>
        </w:rPr>
      </w:pPr>
      <w:r>
        <w:rPr>
          <w:rFonts w:hint="eastAsia" w:ascii="Times New Roman" w:hAnsi="Times New Roman" w:eastAsia="宋体" w:cs="Times New Roman"/>
          <w:b/>
          <w:bCs/>
          <w:color w:val="242021"/>
          <w:kern w:val="0"/>
          <w:sz w:val="24"/>
          <w:lang w:val="en-US" w:eastAsia="zh-CN"/>
          <w14:ligatures w14:val="none"/>
        </w:rPr>
        <w:drawing>
          <wp:anchor distT="0" distB="0" distL="114300" distR="114300" simplePos="0" relativeHeight="251660288" behindDoc="0" locked="0" layoutInCell="1" allowOverlap="1">
            <wp:simplePos x="0" y="0"/>
            <wp:positionH relativeFrom="column">
              <wp:posOffset>-330200</wp:posOffset>
            </wp:positionH>
            <wp:positionV relativeFrom="paragraph">
              <wp:posOffset>349885</wp:posOffset>
            </wp:positionV>
            <wp:extent cx="3048000" cy="2177415"/>
            <wp:effectExtent l="0" t="0" r="0" b="6985"/>
            <wp:wrapNone/>
            <wp:docPr id="3" name="图片 3" descr="Figure S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3A"/>
                    <pic:cNvPicPr>
                      <a:picLocks noChangeAspect="1"/>
                    </pic:cNvPicPr>
                  </pic:nvPicPr>
                  <pic:blipFill>
                    <a:blip r:embed="rId7"/>
                    <a:stretch>
                      <a:fillRect/>
                    </a:stretch>
                  </pic:blipFill>
                  <pic:spPr>
                    <a:xfrm>
                      <a:off x="0" y="0"/>
                      <a:ext cx="3048000" cy="2177415"/>
                    </a:xfrm>
                    <a:prstGeom prst="rect">
                      <a:avLst/>
                    </a:prstGeom>
                  </pic:spPr>
                </pic:pic>
              </a:graphicData>
            </a:graphic>
          </wp:anchor>
        </w:drawing>
      </w:r>
      <w:r>
        <w:rPr>
          <w:rFonts w:hint="eastAsia" w:ascii="Times New Roman" w:hAnsi="Times New Roman" w:eastAsia="宋体" w:cs="Times New Roman"/>
          <w:b/>
          <w:bCs/>
          <w:color w:val="242021"/>
          <w:kern w:val="0"/>
          <w:sz w:val="24"/>
          <w:lang w:val="en-US" w:eastAsia="zh-CN"/>
          <w14:ligatures w14:val="none"/>
        </w:rPr>
        <w:drawing>
          <wp:anchor distT="0" distB="0" distL="114300" distR="114300" simplePos="0" relativeHeight="251659264" behindDoc="0" locked="0" layoutInCell="1" allowOverlap="1">
            <wp:simplePos x="0" y="0"/>
            <wp:positionH relativeFrom="column">
              <wp:posOffset>2696210</wp:posOffset>
            </wp:positionH>
            <wp:positionV relativeFrom="paragraph">
              <wp:posOffset>302260</wp:posOffset>
            </wp:positionV>
            <wp:extent cx="3052445" cy="2180590"/>
            <wp:effectExtent l="0" t="0" r="8255" b="3810"/>
            <wp:wrapNone/>
            <wp:docPr id="4" name="图片 4" descr="Figure S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3B"/>
                    <pic:cNvPicPr>
                      <a:picLocks noChangeAspect="1"/>
                    </pic:cNvPicPr>
                  </pic:nvPicPr>
                  <pic:blipFill>
                    <a:blip r:embed="rId8"/>
                    <a:stretch>
                      <a:fillRect/>
                    </a:stretch>
                  </pic:blipFill>
                  <pic:spPr>
                    <a:xfrm>
                      <a:off x="0" y="0"/>
                      <a:ext cx="3052445" cy="2180590"/>
                    </a:xfrm>
                    <a:prstGeom prst="rect">
                      <a:avLst/>
                    </a:prstGeom>
                  </pic:spPr>
                </pic:pic>
              </a:graphicData>
            </a:graphic>
          </wp:anchor>
        </w:drawing>
      </w:r>
      <w:r>
        <w:rPr>
          <w:rFonts w:hint="eastAsia" w:ascii="Times New Roman" w:hAnsi="Times New Roman" w:eastAsia="宋体" w:cs="Times New Roman"/>
          <w:b/>
          <w:bCs/>
          <w:color w:val="242021"/>
          <w:kern w:val="0"/>
          <w:sz w:val="24"/>
          <w:lang w:val="en-US" w:eastAsia="zh-CN"/>
          <w14:ligatures w14:val="none"/>
        </w:rPr>
        <w:t>A                                       B</w:t>
      </w:r>
    </w:p>
    <w:p w14:paraId="72A57307">
      <w:pPr>
        <w:spacing w:after="0" w:line="480" w:lineRule="auto"/>
        <w:rPr>
          <w:rFonts w:hint="eastAsia" w:ascii="Times New Roman" w:hAnsi="Times New Roman" w:eastAsia="宋体" w:cs="Times New Roman"/>
          <w:b/>
          <w:bCs/>
          <w:color w:val="242021"/>
          <w:kern w:val="0"/>
          <w:sz w:val="24"/>
          <w:lang w:val="en-US" w:eastAsia="zh-CN"/>
          <w14:ligatures w14:val="none"/>
        </w:rPr>
      </w:pPr>
    </w:p>
    <w:p w14:paraId="2975FC29">
      <w:pPr>
        <w:spacing w:after="0" w:line="480" w:lineRule="auto"/>
        <w:rPr>
          <w:rFonts w:hint="eastAsia" w:ascii="Times New Roman" w:hAnsi="Times New Roman" w:eastAsia="宋体" w:cs="Times New Roman"/>
          <w:b/>
          <w:bCs/>
          <w:color w:val="242021"/>
          <w:kern w:val="0"/>
          <w:sz w:val="24"/>
          <w:lang w:val="en-US" w:eastAsia="zh-CN"/>
          <w14:ligatures w14:val="none"/>
        </w:rPr>
      </w:pPr>
    </w:p>
    <w:p w14:paraId="5CA7B3A0">
      <w:pPr>
        <w:spacing w:after="0" w:line="480" w:lineRule="auto"/>
        <w:rPr>
          <w:rFonts w:hint="eastAsia" w:ascii="Times New Roman" w:hAnsi="Times New Roman" w:eastAsia="宋体" w:cs="Times New Roman"/>
          <w:b/>
          <w:bCs/>
          <w:color w:val="242021"/>
          <w:kern w:val="0"/>
          <w:sz w:val="24"/>
          <w:lang w:val="en-US" w:eastAsia="zh-CN"/>
          <w14:ligatures w14:val="none"/>
        </w:rPr>
      </w:pPr>
    </w:p>
    <w:p w14:paraId="14E5612D">
      <w:pPr>
        <w:spacing w:after="0" w:line="480" w:lineRule="auto"/>
        <w:rPr>
          <w:rFonts w:hint="eastAsia" w:ascii="Times New Roman" w:hAnsi="Times New Roman" w:eastAsia="宋体" w:cs="Times New Roman"/>
          <w:b/>
          <w:bCs/>
          <w:color w:val="242021"/>
          <w:kern w:val="0"/>
          <w:sz w:val="24"/>
          <w:lang w:val="en-US" w:eastAsia="zh-CN"/>
          <w14:ligatures w14:val="none"/>
        </w:rPr>
      </w:pPr>
    </w:p>
    <w:p w14:paraId="5DD9C30D">
      <w:pPr>
        <w:spacing w:after="0" w:line="480" w:lineRule="auto"/>
        <w:rPr>
          <w:rFonts w:hint="eastAsia" w:ascii="Times New Roman" w:hAnsi="Times New Roman" w:eastAsia="宋体" w:cs="Times New Roman"/>
          <w:b/>
          <w:bCs/>
          <w:color w:val="242021"/>
          <w:kern w:val="0"/>
          <w:sz w:val="24"/>
          <w:lang w:val="en-US" w:eastAsia="zh-CN"/>
          <w14:ligatures w14:val="none"/>
        </w:rPr>
      </w:pPr>
    </w:p>
    <w:p w14:paraId="66C52A89">
      <w:pPr>
        <w:spacing w:after="0" w:line="480" w:lineRule="auto"/>
        <w:rPr>
          <w:rFonts w:hint="eastAsia" w:ascii="Times New Roman" w:hAnsi="Times New Roman" w:eastAsia="宋体" w:cs="Times New Roman"/>
          <w:b/>
          <w:bCs/>
          <w:color w:val="242021"/>
          <w:kern w:val="0"/>
          <w:sz w:val="24"/>
          <w:lang w:val="en-US" w:eastAsia="zh-CN"/>
          <w14:ligatures w14:val="none"/>
        </w:rPr>
      </w:pPr>
      <w:r>
        <w:rPr>
          <w:rFonts w:hint="eastAsia" w:ascii="Times New Roman" w:hAnsi="Times New Roman" w:eastAsia="宋体" w:cs="Times New Roman"/>
          <w:b/>
          <w:bCs/>
          <w:color w:val="242021"/>
          <w:kern w:val="0"/>
          <w:sz w:val="24"/>
          <w:lang w:val="en-US" w:eastAsia="zh-CN"/>
          <w14:ligatures w14:val="none"/>
        </w:rPr>
        <w:t>Figure S4. Time-varying effects of covariates violating the proportional hazards assumption.</w:t>
      </w:r>
    </w:p>
    <w:p w14:paraId="49FFE90D">
      <w:pPr>
        <w:spacing w:after="0" w:line="480" w:lineRule="auto"/>
        <w:rPr>
          <w:rFonts w:hint="eastAsia" w:ascii="Times New Roman" w:hAnsi="Times New Roman" w:eastAsia="宋体" w:cs="Times New Roman"/>
          <w:color w:val="242021"/>
          <w:kern w:val="0"/>
          <w:sz w:val="24"/>
          <w:lang w:val="en-US" w:eastAsia="zh-CN"/>
          <w14:ligatures w14:val="none"/>
        </w:rPr>
      </w:pPr>
      <w:r>
        <w:rPr>
          <w:rFonts w:hint="eastAsia" w:ascii="Times New Roman" w:hAnsi="Times New Roman" w:eastAsia="宋体" w:cs="Times New Roman"/>
          <w:color w:val="242021"/>
          <w:kern w:val="0"/>
          <w:sz w:val="24"/>
          <w:lang w:val="en-US" w:eastAsia="zh-CN"/>
          <w14:ligatures w14:val="none"/>
        </w:rPr>
        <w:t>(A) Time-varying hazard ratio (HR) of neutrophil-to-lymphocyte ratio (NLR), showing a gradual increase in risk over time.</w:t>
      </w:r>
    </w:p>
    <w:p w14:paraId="0FF20A42">
      <w:pPr>
        <w:spacing w:after="0" w:line="480" w:lineRule="auto"/>
        <w:rPr>
          <w:rFonts w:hint="eastAsia" w:ascii="Times New Roman" w:hAnsi="Times New Roman" w:eastAsia="宋体" w:cs="Times New Roman"/>
          <w:color w:val="242021"/>
          <w:kern w:val="0"/>
          <w:sz w:val="24"/>
          <w:lang w:val="en-US" w:eastAsia="zh-CN"/>
          <w14:ligatures w14:val="none"/>
        </w:rPr>
      </w:pPr>
      <w:r>
        <w:rPr>
          <w:rFonts w:hint="eastAsia" w:ascii="Times New Roman" w:hAnsi="Times New Roman" w:eastAsia="宋体" w:cs="Times New Roman"/>
          <w:color w:val="242021"/>
          <w:kern w:val="0"/>
          <w:sz w:val="24"/>
          <w:lang w:val="en-US" w:eastAsia="zh-CN"/>
          <w14:ligatures w14:val="none"/>
        </w:rPr>
        <w:t>(B) Time-varying hazard ratio (HR) of antibiotic use, demonstrating a strong time-dependent effect with increasing hazard across follow-up.</w:t>
      </w:r>
    </w:p>
    <w:p w14:paraId="16B35AE1">
      <w:pPr>
        <w:spacing w:after="0" w:line="480" w:lineRule="auto"/>
        <w:rPr>
          <w:rFonts w:hint="eastAsia" w:ascii="Times New Roman" w:hAnsi="Times New Roman" w:eastAsia="宋体" w:cs="Times New Roman"/>
          <w:color w:val="242021"/>
          <w:kern w:val="0"/>
          <w:sz w:val="24"/>
          <w:lang w:val="en-US" w:eastAsia="zh-CN"/>
          <w14:ligatures w14:val="none"/>
        </w:rPr>
      </w:pPr>
    </w:p>
    <w:p w14:paraId="6B8BC4EE">
      <w:pPr>
        <w:spacing w:after="0" w:line="480" w:lineRule="auto"/>
        <w:rPr>
          <w:rFonts w:hint="eastAsia" w:ascii="Times New Roman" w:hAnsi="Times New Roman" w:eastAsia="宋体" w:cs="Times New Roman"/>
          <w:color w:val="242021"/>
          <w:kern w:val="0"/>
          <w:sz w:val="24"/>
          <w:lang w:val="en-US" w:eastAsia="zh-CN"/>
          <w14:ligatures w14:val="none"/>
        </w:rPr>
      </w:pPr>
    </w:p>
    <w:p w14:paraId="62BE688B">
      <w:pPr>
        <w:spacing w:after="0" w:line="480" w:lineRule="auto"/>
        <w:rPr>
          <w:rFonts w:hint="eastAsia" w:ascii="Times New Roman" w:hAnsi="Times New Roman" w:eastAsia="宋体" w:cs="Times New Roman"/>
          <w:color w:val="242021"/>
          <w:kern w:val="0"/>
          <w:sz w:val="24"/>
          <w:lang w:val="en-US" w:eastAsia="zh-CN"/>
          <w14:ligatures w14:val="none"/>
        </w:rPr>
      </w:pPr>
    </w:p>
    <w:p w14:paraId="5267800B">
      <w:pPr>
        <w:spacing w:after="0" w:line="480" w:lineRule="auto"/>
        <w:rPr>
          <w:rFonts w:hint="eastAsia" w:ascii="Times New Roman" w:hAnsi="Times New Roman" w:eastAsia="宋体" w:cs="Times New Roman"/>
          <w:color w:val="242021"/>
          <w:kern w:val="0"/>
          <w:sz w:val="24"/>
          <w:lang w:val="en-US" w:eastAsia="zh-CN"/>
          <w14:ligatures w14:val="none"/>
        </w:rPr>
      </w:pPr>
    </w:p>
    <w:p w14:paraId="403BBF6B">
      <w:pPr>
        <w:spacing w:after="0" w:line="480" w:lineRule="auto"/>
        <w:rPr>
          <w:rFonts w:hint="eastAsia" w:ascii="Times New Roman" w:hAnsi="Times New Roman" w:eastAsia="宋体" w:cs="Times New Roman"/>
          <w:color w:val="242021"/>
          <w:kern w:val="0"/>
          <w:sz w:val="24"/>
          <w:lang w:val="en-US" w:eastAsia="zh-CN"/>
          <w14:ligatures w14:val="none"/>
        </w:rPr>
      </w:pPr>
    </w:p>
    <w:p w14:paraId="6265162F">
      <w:pPr>
        <w:spacing w:after="0" w:line="480" w:lineRule="auto"/>
        <w:rPr>
          <w:rFonts w:hint="eastAsia" w:ascii="Times New Roman" w:hAnsi="Times New Roman" w:eastAsia="宋体" w:cs="Times New Roman"/>
          <w:color w:val="242021"/>
          <w:kern w:val="0"/>
          <w:sz w:val="24"/>
          <w:lang w:val="en-US" w:eastAsia="zh-CN"/>
          <w14:ligatures w14:val="none"/>
        </w:rPr>
      </w:pPr>
    </w:p>
    <w:p w14:paraId="59EB6AE0">
      <w:pPr>
        <w:spacing w:after="0" w:line="480" w:lineRule="auto"/>
        <w:rPr>
          <w:rFonts w:hint="eastAsia" w:ascii="Times New Roman" w:hAnsi="Times New Roman" w:eastAsia="宋体" w:cs="Times New Roman"/>
          <w:color w:val="242021"/>
          <w:kern w:val="0"/>
          <w:sz w:val="24"/>
          <w:lang w:val="en-US" w:eastAsia="zh-CN"/>
          <w14:ligatures w14:val="none"/>
        </w:rPr>
      </w:pPr>
    </w:p>
    <w:p w14:paraId="6FCD285C">
      <w:pPr>
        <w:spacing w:after="0" w:line="480" w:lineRule="auto"/>
        <w:rPr>
          <w:rFonts w:hint="eastAsia" w:ascii="Times New Roman" w:hAnsi="Times New Roman" w:eastAsia="宋体" w:cs="Times New Roman"/>
          <w:color w:val="242021"/>
          <w:kern w:val="0"/>
          <w:sz w:val="24"/>
          <w:lang w:val="en-US" w:eastAsia="zh-CN"/>
          <w14:ligatures w14:val="none"/>
        </w:rPr>
      </w:pPr>
    </w:p>
    <w:p w14:paraId="7FE72C74">
      <w:pPr>
        <w:spacing w:after="0" w:line="480" w:lineRule="auto"/>
        <w:rPr>
          <w:rFonts w:hint="eastAsia" w:ascii="Times New Roman" w:hAnsi="Times New Roman" w:eastAsia="宋体" w:cs="Times New Roman"/>
          <w:color w:val="242021"/>
          <w:kern w:val="0"/>
          <w:sz w:val="24"/>
          <w:lang w:val="en-US" w:eastAsia="zh-CN"/>
          <w14:ligatures w14:val="none"/>
        </w:rPr>
      </w:pPr>
    </w:p>
    <w:p w14:paraId="545B066E">
      <w:pPr>
        <w:spacing w:after="0" w:line="480" w:lineRule="auto"/>
        <w:rPr>
          <w:rFonts w:hint="eastAsia" w:ascii="Times New Roman" w:hAnsi="Times New Roman" w:eastAsia="宋体" w:cs="Times New Roman"/>
          <w:color w:val="242021"/>
          <w:kern w:val="0"/>
          <w:sz w:val="24"/>
          <w:lang w:val="en-US" w:eastAsia="zh-CN"/>
          <w14:ligatures w14:val="none"/>
        </w:rPr>
      </w:pPr>
    </w:p>
    <w:p w14:paraId="3F6E32DC">
      <w:pPr>
        <w:spacing w:after="0" w:line="480" w:lineRule="auto"/>
      </w:pPr>
      <w:r>
        <w:rPr>
          <w:rFonts w:hint="eastAsia" w:ascii="Times New Roman" w:hAnsi="Times New Roman" w:eastAsia="宋体" w:cs="Times New Roman"/>
          <w:b/>
          <w:bCs/>
          <w:color w:val="242021"/>
          <w:kern w:val="0"/>
          <w:sz w:val="24"/>
          <w:lang w:val="en-US" w:eastAsia="zh-CN"/>
          <w14:ligatures w14:val="none"/>
        </w:rPr>
        <w:t>A                                       B</w:t>
      </w:r>
    </w:p>
    <w:p w14:paraId="4BE6BDF1">
      <w:pPr>
        <w:spacing w:after="0" w:line="480" w:lineRule="auto"/>
      </w:pPr>
      <w:r>
        <w:drawing>
          <wp:inline distT="0" distB="0" distL="114300" distR="114300">
            <wp:extent cx="2512695" cy="2390140"/>
            <wp:effectExtent l="0" t="0" r="1905" b="1016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9"/>
                    <a:srcRect l="1211" t="6032"/>
                    <a:stretch>
                      <a:fillRect/>
                    </a:stretch>
                  </pic:blipFill>
                  <pic:spPr>
                    <a:xfrm>
                      <a:off x="0" y="0"/>
                      <a:ext cx="2512695" cy="2390140"/>
                    </a:xfrm>
                    <a:prstGeom prst="rect">
                      <a:avLst/>
                    </a:prstGeom>
                    <a:noFill/>
                    <a:ln>
                      <a:noFill/>
                    </a:ln>
                  </pic:spPr>
                </pic:pic>
              </a:graphicData>
            </a:graphic>
          </wp:inline>
        </w:drawing>
      </w:r>
      <w:r>
        <w:drawing>
          <wp:inline distT="0" distB="0" distL="114300" distR="114300">
            <wp:extent cx="2679065" cy="2366010"/>
            <wp:effectExtent l="0" t="0" r="635" b="889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0"/>
                    <a:srcRect l="746" t="3159" b="2517"/>
                    <a:stretch>
                      <a:fillRect/>
                    </a:stretch>
                  </pic:blipFill>
                  <pic:spPr>
                    <a:xfrm>
                      <a:off x="0" y="0"/>
                      <a:ext cx="2679065" cy="2366010"/>
                    </a:xfrm>
                    <a:prstGeom prst="rect">
                      <a:avLst/>
                    </a:prstGeom>
                    <a:noFill/>
                    <a:ln>
                      <a:noFill/>
                    </a:ln>
                  </pic:spPr>
                </pic:pic>
              </a:graphicData>
            </a:graphic>
          </wp:inline>
        </w:drawing>
      </w:r>
    </w:p>
    <w:p w14:paraId="17428E3B">
      <w:pPr>
        <w:spacing w:after="0" w:line="480" w:lineRule="auto"/>
        <w:rPr>
          <w:rFonts w:hint="eastAsia" w:ascii="Times New Roman" w:hAnsi="Times New Roman" w:eastAsia="宋体" w:cs="Times New Roman"/>
          <w:color w:val="242021"/>
          <w:kern w:val="0"/>
          <w:sz w:val="24"/>
          <w:lang w:val="en-US" w:eastAsia="zh-CN"/>
          <w14:ligatures w14:val="none"/>
        </w:rPr>
      </w:pPr>
      <w:r>
        <w:rPr>
          <w:rFonts w:hint="eastAsia" w:ascii="Times New Roman" w:hAnsi="Times New Roman" w:eastAsia="宋体" w:cs="Times New Roman"/>
          <w:color w:val="242021"/>
          <w:kern w:val="0"/>
          <w:sz w:val="24"/>
          <w:lang w:val="en-US" w:eastAsia="zh-CN"/>
          <w14:ligatures w14:val="none"/>
        </w:rPr>
        <w:t>Figure S5. Incremental discrimination gained by adding laboratory markers on top of RP-ILD.</w:t>
      </w:r>
    </w:p>
    <w:p w14:paraId="3D55C8B5">
      <w:pPr>
        <w:numPr>
          <w:ilvl w:val="0"/>
          <w:numId w:val="1"/>
        </w:numPr>
        <w:spacing w:after="0" w:line="480" w:lineRule="auto"/>
        <w:rPr>
          <w:rFonts w:hint="eastAsia" w:ascii="Times New Roman" w:hAnsi="Times New Roman" w:eastAsia="宋体" w:cs="Times New Roman"/>
          <w:color w:val="242021"/>
          <w:kern w:val="0"/>
          <w:sz w:val="24"/>
          <w:lang w:val="en-US" w:eastAsia="zh-CN"/>
          <w14:ligatures w14:val="none"/>
        </w:rPr>
      </w:pPr>
      <w:r>
        <w:rPr>
          <w:rFonts w:hint="eastAsia" w:ascii="Times New Roman" w:hAnsi="Times New Roman" w:eastAsia="宋体" w:cs="Times New Roman"/>
          <w:color w:val="242021"/>
          <w:kern w:val="0"/>
          <w:sz w:val="24"/>
          <w:lang w:val="en-US" w:eastAsia="zh-CN"/>
          <w14:ligatures w14:val="none"/>
        </w:rPr>
        <w:t>ROC curve for the model using RP-ILD alone, showing AUC = 0.88 (95% CI 0.81–0.95).</w:t>
      </w:r>
    </w:p>
    <w:p w14:paraId="44EB66D5">
      <w:pPr>
        <w:numPr>
          <w:ilvl w:val="0"/>
          <w:numId w:val="1"/>
        </w:numPr>
        <w:spacing w:after="0" w:line="480" w:lineRule="auto"/>
        <w:rPr>
          <w:rFonts w:hint="eastAsia" w:ascii="Times New Roman" w:hAnsi="Times New Roman" w:eastAsia="宋体" w:cs="Times New Roman"/>
          <w:color w:val="242021"/>
          <w:kern w:val="0"/>
          <w:sz w:val="24"/>
          <w:lang w:val="en-US" w:eastAsia="zh-CN"/>
          <w14:ligatures w14:val="none"/>
        </w:rPr>
        <w:sectPr>
          <w:pgSz w:w="11906" w:h="16838"/>
          <w:pgMar w:top="1440" w:right="1800" w:bottom="1440" w:left="1800" w:header="851" w:footer="992" w:gutter="0"/>
          <w:cols w:space="425" w:num="1"/>
          <w:docGrid w:type="lines" w:linePitch="312" w:charSpace="0"/>
        </w:sectPr>
      </w:pPr>
      <w:bookmarkStart w:id="0" w:name="_GoBack"/>
      <w:bookmarkEnd w:id="0"/>
      <w:r>
        <w:rPr>
          <w:rFonts w:hint="eastAsia" w:ascii="Times New Roman" w:hAnsi="Times New Roman" w:eastAsia="宋体" w:cs="Times New Roman"/>
          <w:color w:val="242021"/>
          <w:kern w:val="0"/>
          <w:sz w:val="24"/>
          <w:lang w:val="en-US" w:eastAsia="zh-CN"/>
          <w14:ligatures w14:val="none"/>
        </w:rPr>
        <w:t>ROC curve for the combined model (RP-ILD + ferritin, CRP, ALB, and NLR), showing AUC = 0.97 (95% CI 0.94–1.00). The solid orange line denotes the ROC curve and the grey dashed line indicates the no-discrimination reference (AUC = 0.50). RP-ILD, rapidly progressive interstitial lung disease; ROC, receiver operating characteristic; AUC, area under the curve; CI, confidence interval; CRP, C-reactive protein; ALB, albumin; NLR, neutrophil-to-lymphocyte ratio.</w:t>
      </w:r>
    </w:p>
    <w:p w14:paraId="49BD8B6C">
      <w:pPr>
        <w:spacing w:after="0" w:line="480" w:lineRule="auto"/>
        <w:rPr>
          <w:rFonts w:hint="eastAsia" w:ascii="Times New Roman" w:hAnsi="Times New Roman" w:eastAsia="宋体" w:cs="Times New Roman"/>
          <w:color w:val="242021"/>
          <w:kern w:val="0"/>
          <w:sz w:val="24"/>
          <w:lang w:val="en-US" w:eastAsia="zh-CN"/>
          <w14:ligatures w14:val="none"/>
        </w:rPr>
      </w:pPr>
      <w:r>
        <w:rPr>
          <w:rFonts w:hint="eastAsia" w:ascii="Times New Roman" w:hAnsi="Times New Roman" w:eastAsia="宋体" w:cs="Times New Roman"/>
          <w:color w:val="242021"/>
          <w:kern w:val="0"/>
          <w:sz w:val="24"/>
          <w:lang w:val="en-US" w:eastAsia="zh-CN"/>
          <w14:ligatures w14:val="none"/>
        </w:rPr>
        <w:drawing>
          <wp:inline distT="0" distB="0" distL="114300" distR="114300">
            <wp:extent cx="5274310" cy="3767455"/>
            <wp:effectExtent l="0" t="0" r="0" b="0"/>
            <wp:docPr id="5" name="图片 5"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4"/>
                    <pic:cNvPicPr>
                      <a:picLocks noChangeAspect="1"/>
                    </pic:cNvPicPr>
                  </pic:nvPicPr>
                  <pic:blipFill>
                    <a:blip r:embed="rId11"/>
                    <a:stretch>
                      <a:fillRect/>
                    </a:stretch>
                  </pic:blipFill>
                  <pic:spPr>
                    <a:xfrm>
                      <a:off x="0" y="0"/>
                      <a:ext cx="5274310" cy="3767455"/>
                    </a:xfrm>
                    <a:prstGeom prst="rect">
                      <a:avLst/>
                    </a:prstGeom>
                  </pic:spPr>
                </pic:pic>
              </a:graphicData>
            </a:graphic>
          </wp:inline>
        </w:drawing>
      </w:r>
    </w:p>
    <w:p w14:paraId="10E87F61">
      <w:pPr>
        <w:spacing w:after="0" w:line="480" w:lineRule="auto"/>
        <w:rPr>
          <w:rFonts w:hint="eastAsia" w:ascii="Times New Roman" w:hAnsi="Times New Roman" w:eastAsia="宋体" w:cs="Times New Roman"/>
          <w:b/>
          <w:bCs/>
          <w:color w:val="242021"/>
          <w:kern w:val="0"/>
          <w:sz w:val="24"/>
          <w:lang w:val="en-US" w:eastAsia="zh-CN"/>
          <w14:ligatures w14:val="none"/>
        </w:rPr>
      </w:pPr>
      <w:r>
        <w:rPr>
          <w:rFonts w:hint="eastAsia" w:ascii="Times New Roman" w:hAnsi="Times New Roman" w:eastAsia="宋体" w:cs="Times New Roman"/>
          <w:b/>
          <w:bCs/>
          <w:color w:val="242021"/>
          <w:kern w:val="0"/>
          <w:sz w:val="24"/>
          <w:lang w:val="en-US" w:eastAsia="zh-CN"/>
          <w14:ligatures w14:val="none"/>
        </w:rPr>
        <w:t>Figure S6. Calibration plot for the prognostic model at 6 months</w:t>
      </w:r>
    </w:p>
    <w:p w14:paraId="01907D83">
      <w:pPr>
        <w:spacing w:after="0" w:line="480" w:lineRule="auto"/>
        <w:rPr>
          <w:rFonts w:hint="eastAsia" w:ascii="Times New Roman" w:hAnsi="Times New Roman" w:eastAsia="宋体" w:cs="Times New Roman"/>
          <w:color w:val="242021"/>
          <w:kern w:val="0"/>
          <w:sz w:val="24"/>
          <w:lang w:val="en-US" w:eastAsia="zh-CN"/>
          <w14:ligatures w14:val="none"/>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宋体" w:cs="Times New Roman"/>
          <w:color w:val="242021"/>
          <w:kern w:val="0"/>
          <w:sz w:val="24"/>
          <w:lang w:val="en-US" w:eastAsia="zh-CN"/>
          <w14:ligatures w14:val="none"/>
        </w:rPr>
        <w:t xml:space="preserve"> Calibration of the Cox regression–based nomogram for predicting 6-month survival in patients with MDA5</w:t>
      </w:r>
      <w:r>
        <w:rPr>
          <w:rFonts w:hint="default" w:ascii="Times New Roman" w:hAnsi="Times New Roman" w:eastAsia="宋体" w:cs="Times New Roman"/>
          <w:color w:val="242021"/>
          <w:kern w:val="0"/>
          <w:sz w:val="24"/>
          <w:lang w:val="en-US" w:eastAsia="zh-CN"/>
          <w14:ligatures w14:val="none"/>
        </w:rPr>
        <w:t>⁺</w:t>
      </w:r>
      <w:r>
        <w:rPr>
          <w:rFonts w:hint="eastAsia" w:ascii="Times New Roman" w:hAnsi="Times New Roman" w:eastAsia="宋体" w:cs="Times New Roman"/>
          <w:color w:val="242021"/>
          <w:kern w:val="0"/>
          <w:sz w:val="24"/>
          <w:lang w:val="en-US" w:eastAsia="zh-CN"/>
          <w14:ligatures w14:val="none"/>
        </w:rPr>
        <w:t>DM-ILD. The x-axis shows predicted survival probabilities (by deciles), while the y-axis shows observed Kaplan-Meier survival. The dashed diagonal line represents perfect calibration, and the solid line indicates model performance.</w:t>
      </w:r>
    </w:p>
    <w:p w14:paraId="42A49424">
      <w:pPr>
        <w:spacing w:after="0" w:line="480" w:lineRule="auto"/>
        <w:rPr>
          <w:rFonts w:hint="default" w:ascii="Times New Roman" w:hAnsi="Times New Roman" w:eastAsia="宋体" w:cs="Times New Roman"/>
          <w:color w:val="242021"/>
          <w:kern w:val="0"/>
          <w:sz w:val="24"/>
          <w:lang w:val="en-US" w:eastAsia="zh-CN"/>
          <w14:ligatures w14:val="none"/>
        </w:rPr>
      </w:pPr>
      <w:r>
        <w:drawing>
          <wp:anchor distT="0" distB="0" distL="114300" distR="114300" simplePos="0" relativeHeight="251661312" behindDoc="0" locked="0" layoutInCell="1" allowOverlap="1">
            <wp:simplePos x="0" y="0"/>
            <wp:positionH relativeFrom="column">
              <wp:posOffset>-248285</wp:posOffset>
            </wp:positionH>
            <wp:positionV relativeFrom="paragraph">
              <wp:posOffset>393700</wp:posOffset>
            </wp:positionV>
            <wp:extent cx="2887980" cy="2051050"/>
            <wp:effectExtent l="0" t="0" r="7620" b="6350"/>
            <wp:wrapNone/>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2887980" cy="2051050"/>
                    </a:xfrm>
                    <a:prstGeom prst="rect">
                      <a:avLst/>
                    </a:prstGeom>
                    <a:noFill/>
                    <a:ln>
                      <a:noFill/>
                    </a:ln>
                  </pic:spPr>
                </pic:pic>
              </a:graphicData>
            </a:graphic>
          </wp:anchor>
        </w:drawing>
      </w:r>
      <w:r>
        <w:rPr>
          <w:rFonts w:hint="eastAsia" w:ascii="Times New Roman" w:hAnsi="Times New Roman" w:eastAsia="宋体" w:cs="Times New Roman"/>
          <w:color w:val="242021"/>
          <w:kern w:val="0"/>
          <w:sz w:val="24"/>
          <w:lang w:val="en-US" w:eastAsia="zh-CN"/>
          <w14:ligatures w14:val="none"/>
        </w:rPr>
        <w:t>A                                      B</w:t>
      </w:r>
    </w:p>
    <w:p w14:paraId="79638B4A">
      <w:pPr>
        <w:spacing w:after="0" w:line="480" w:lineRule="auto"/>
        <w:rPr>
          <w:rFonts w:hint="eastAsia" w:ascii="Times New Roman" w:hAnsi="Times New Roman" w:eastAsia="宋体" w:cs="Times New Roman"/>
          <w:b/>
          <w:bCs/>
          <w:color w:val="242021"/>
          <w:kern w:val="0"/>
          <w:sz w:val="24"/>
          <w:lang w:val="en-US" w:eastAsia="zh-CN"/>
          <w14:ligatures w14:val="none"/>
        </w:rPr>
      </w:pPr>
      <w:r>
        <w:drawing>
          <wp:anchor distT="0" distB="0" distL="114300" distR="114300" simplePos="0" relativeHeight="251662336" behindDoc="0" locked="0" layoutInCell="1" allowOverlap="1">
            <wp:simplePos x="0" y="0"/>
            <wp:positionH relativeFrom="column">
              <wp:posOffset>2736850</wp:posOffset>
            </wp:positionH>
            <wp:positionV relativeFrom="paragraph">
              <wp:posOffset>53340</wp:posOffset>
            </wp:positionV>
            <wp:extent cx="2816860" cy="1979930"/>
            <wp:effectExtent l="0" t="0" r="2540" b="1270"/>
            <wp:wrapNone/>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3"/>
                    <a:stretch>
                      <a:fillRect/>
                    </a:stretch>
                  </pic:blipFill>
                  <pic:spPr>
                    <a:xfrm>
                      <a:off x="0" y="0"/>
                      <a:ext cx="2816860" cy="1979930"/>
                    </a:xfrm>
                    <a:prstGeom prst="rect">
                      <a:avLst/>
                    </a:prstGeom>
                    <a:noFill/>
                    <a:ln>
                      <a:noFill/>
                    </a:ln>
                  </pic:spPr>
                </pic:pic>
              </a:graphicData>
            </a:graphic>
          </wp:anchor>
        </w:drawing>
      </w:r>
    </w:p>
    <w:p w14:paraId="0799B954">
      <w:pPr>
        <w:spacing w:after="0" w:line="480" w:lineRule="auto"/>
        <w:rPr>
          <w:rFonts w:hint="eastAsia" w:ascii="Times New Roman" w:hAnsi="Times New Roman" w:eastAsia="宋体" w:cs="Times New Roman"/>
          <w:b/>
          <w:bCs/>
          <w:color w:val="242021"/>
          <w:kern w:val="0"/>
          <w:sz w:val="24"/>
          <w:lang w:val="en-US" w:eastAsia="zh-CN"/>
          <w14:ligatures w14:val="none"/>
        </w:rPr>
      </w:pPr>
    </w:p>
    <w:p w14:paraId="7EC037F8">
      <w:pPr>
        <w:spacing w:after="0" w:line="480" w:lineRule="auto"/>
        <w:rPr>
          <w:rFonts w:hint="eastAsia" w:ascii="Times New Roman" w:hAnsi="Times New Roman" w:eastAsia="宋体" w:cs="Times New Roman"/>
          <w:b/>
          <w:bCs/>
          <w:color w:val="242021"/>
          <w:kern w:val="0"/>
          <w:sz w:val="24"/>
          <w:lang w:val="en-US" w:eastAsia="zh-CN"/>
          <w14:ligatures w14:val="none"/>
        </w:rPr>
      </w:pPr>
    </w:p>
    <w:p w14:paraId="654A984E">
      <w:pPr>
        <w:spacing w:after="0" w:line="480" w:lineRule="auto"/>
        <w:rPr>
          <w:rFonts w:hint="eastAsia" w:ascii="Times New Roman" w:hAnsi="Times New Roman" w:eastAsia="宋体" w:cs="Times New Roman"/>
          <w:b/>
          <w:bCs/>
          <w:color w:val="242021"/>
          <w:kern w:val="0"/>
          <w:sz w:val="24"/>
          <w:lang w:val="en-US" w:eastAsia="zh-CN"/>
          <w14:ligatures w14:val="none"/>
        </w:rPr>
      </w:pPr>
    </w:p>
    <w:p w14:paraId="0F8541B1">
      <w:pPr>
        <w:spacing w:after="0" w:line="480" w:lineRule="auto"/>
        <w:rPr>
          <w:rFonts w:hint="eastAsia" w:ascii="Times New Roman" w:hAnsi="Times New Roman" w:eastAsia="宋体" w:cs="Times New Roman"/>
          <w:b/>
          <w:bCs/>
          <w:color w:val="242021"/>
          <w:kern w:val="0"/>
          <w:sz w:val="24"/>
          <w:lang w:val="en-US" w:eastAsia="zh-CN"/>
          <w14:ligatures w14:val="none"/>
        </w:rPr>
      </w:pPr>
    </w:p>
    <w:p w14:paraId="4CE6E835">
      <w:pPr>
        <w:spacing w:after="0" w:line="480" w:lineRule="auto"/>
        <w:rPr>
          <w:rFonts w:hint="eastAsia" w:ascii="Times New Roman" w:hAnsi="Times New Roman" w:eastAsia="宋体" w:cs="Times New Roman"/>
          <w:b/>
          <w:bCs/>
          <w:color w:val="242021"/>
          <w:kern w:val="0"/>
          <w:sz w:val="24"/>
          <w:lang w:val="en-US" w:eastAsia="zh-CN"/>
          <w14:ligatures w14:val="none"/>
        </w:rPr>
      </w:pPr>
      <w:r>
        <w:rPr>
          <w:rFonts w:hint="eastAsia" w:ascii="Times New Roman" w:hAnsi="Times New Roman" w:eastAsia="宋体" w:cs="Times New Roman"/>
          <w:b/>
          <w:bCs/>
          <w:color w:val="242021"/>
          <w:kern w:val="0"/>
          <w:sz w:val="24"/>
          <w:lang w:val="en-US" w:eastAsia="zh-CN"/>
          <w14:ligatures w14:val="none"/>
        </w:rPr>
        <w:t>Figure S7. Decision curve analysis (DCA) of the prognostic model</w:t>
      </w:r>
    </w:p>
    <w:p w14:paraId="64BA22D1">
      <w:pPr>
        <w:spacing w:after="0" w:line="480" w:lineRule="auto"/>
        <w:rPr>
          <w:rFonts w:hint="eastAsia" w:ascii="Times New Roman" w:hAnsi="Times New Roman" w:eastAsia="宋体" w:cs="Times New Roman"/>
          <w:color w:val="242021"/>
          <w:kern w:val="0"/>
          <w:sz w:val="24"/>
          <w:lang w:val="en-US" w:eastAsia="zh-CN"/>
          <w14:ligatures w14:val="none"/>
        </w:rPr>
      </w:pPr>
      <w:r>
        <w:rPr>
          <w:rFonts w:hint="eastAsia" w:ascii="Times New Roman" w:hAnsi="Times New Roman" w:eastAsia="宋体" w:cs="Times New Roman"/>
          <w:color w:val="242021"/>
          <w:kern w:val="0"/>
          <w:sz w:val="24"/>
          <w:lang w:val="en-US" w:eastAsia="zh-CN"/>
          <w14:ligatures w14:val="none"/>
        </w:rPr>
        <w:t>(A) DCA at 3 months. (B) DCA at 6 months. Legend: Decision curve analysis evaluating the net clinical benefit of the prognostic model compared with “treat all” and “treat none” strategies across a range of threshold probabilities. The blue line represents the net benefit of the model, the red line represents the assumption of treating all patients, and the green line represents treating none.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64CAC0"/>
    <w:multiLevelType w:val="singleLevel"/>
    <w:tmpl w:val="9F64CAC0"/>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4D4E86"/>
    <w:rsid w:val="53DE14ED"/>
    <w:rsid w:val="5EDE4D60"/>
    <w:rsid w:val="6C9F31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EndNote Bibliography"/>
    <w:basedOn w:val="1"/>
    <w:uiPriority w:val="0"/>
    <w:rPr>
      <w:rFonts w:cs="Calibri"/>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314</Words>
  <Characters>1888</Characters>
  <Lines>0</Lines>
  <Paragraphs>0</Paragraphs>
  <TotalTime>15</TotalTime>
  <ScaleCrop>false</ScaleCrop>
  <LinksUpToDate>false</LinksUpToDate>
  <CharactersWithSpaces>2261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2025-08-19T05:19:00Z</dcterms:created>
  <dc:creator>lenovo</dc:creator>
  <cp:lastModifiedBy>啦啦啦...璐</cp:lastModifiedBy>
  <dcterms:modified xsi:type="dcterms:W3CDTF">2025-10-03T11:53:46Z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eyJoZGlkIjoiNTJhNmQzYmQxMzZmODlhMDFkMTZjY2U3NGUzY2QzYjUiLCJ1c2VySWQiOiIyODA0MDAwMzgifQ==</vt:lpwstr>
  </property>
  <property fmtid="{D5CDD505-2E9C-101B-9397-08002B2CF9AE}" pid="4" name="ICV">
    <vt:lpwstr>616812D58DF24720B9A4191050F9FE4D_12</vt:lpwstr>
  </property>
</Properties>
</file>