
<file path=[Content_Types].xml><?xml version="1.0" encoding="utf-8"?>
<Types xmlns="http://schemas.openxmlformats.org/package/2006/content-types">
  <Default Extension="xml" ContentType="application/xml"/>
  <Default Extension="tiff" ContentType="image/tiff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8B6603">
      <w:pPr>
        <w:spacing w:line="48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hint="eastAsia" w:ascii="Times New Roman" w:hAnsi="Times New Roman" w:cs="Times New Roman"/>
          <w:b/>
          <w:bCs/>
          <w:sz w:val="28"/>
          <w:szCs w:val="28"/>
        </w:rPr>
        <w:t xml:space="preserve">Supplementary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Material </w:t>
      </w:r>
    </w:p>
    <w:p w14:paraId="28B86613">
      <w:pPr>
        <w:spacing w:line="480" w:lineRule="auto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bookmarkStart w:id="0" w:name="_Hlk124195406"/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Associations of </w:t>
      </w:r>
      <w:bookmarkStart w:id="1" w:name="_Hlk173916591"/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Weight-Derived Markers </w:t>
      </w:r>
      <w:bookmarkEnd w:id="1"/>
      <w:r>
        <w:rPr>
          <w:rFonts w:hint="eastAsia" w:ascii="Times New Roman" w:hAnsi="Times New Roman" w:cs="Times New Roman"/>
          <w:b/>
          <w:bCs/>
          <w:sz w:val="20"/>
          <w:szCs w:val="20"/>
        </w:rPr>
        <w:t>with Mortality in Patients with Corona Virus Disease 2019: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Evidence from hospitals and patients</w:t>
      </w:r>
    </w:p>
    <w:bookmarkEnd w:id="0"/>
    <w:p w14:paraId="4CFED5DA">
      <w:pPr>
        <w:widowControl/>
        <w:tabs>
          <w:tab w:val="left" w:pos="6072"/>
        </w:tabs>
        <w:spacing w:before="100" w:beforeAutospacing="1" w:line="480" w:lineRule="auto"/>
        <w:jc w:val="left"/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14:ligatures w14:val="none"/>
        </w:rPr>
        <w:t>Yanqiu Li</w:t>
      </w: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>1*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; Shuang-Shuang Song</w:t>
      </w: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>1*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; Hang Ruan</w:t>
      </w: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>2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;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Cancan Gong</w:t>
      </w: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>3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; Yingjie Chen</w:t>
      </w: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>1</w:t>
      </w:r>
      <w:r>
        <w:rPr>
          <w:rFonts w:ascii="Times New Roman" w:hAnsi="Times New Roman" w:eastAsia="宋体" w:cs="Times New Roman"/>
          <w:b/>
          <w:kern w:val="0"/>
          <w:sz w:val="20"/>
          <w:szCs w:val="20"/>
          <w:vertAlign w:val="superscript"/>
          <w14:ligatures w14:val="none"/>
        </w:rPr>
        <w:t>#</w:t>
      </w:r>
    </w:p>
    <w:p w14:paraId="675EE61B">
      <w:pPr>
        <w:widowControl/>
        <w:spacing w:line="480" w:lineRule="auto"/>
        <w:jc w:val="left"/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 xml:space="preserve">1 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Department of Respiratory and Critical Care Medicine, Yantai Yuhuangding Hospital, Affiliated with the Medical College of Qingdao, Yantai 264200, Shandong, China.</w:t>
      </w:r>
    </w:p>
    <w:p w14:paraId="3EAE98D0">
      <w:pPr>
        <w:widowControl/>
        <w:spacing w:line="480" w:lineRule="auto"/>
        <w:jc w:val="left"/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 xml:space="preserve">2 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 xml:space="preserve">Department of Critical-care Medicine, Tongji Hospital, Tongji Medical College, Huazhong University of Science and Technology, Wuhan, 430030, Hubei Province, China; </w:t>
      </w:r>
    </w:p>
    <w:p w14:paraId="4B2938D5">
      <w:pPr>
        <w:widowControl/>
        <w:spacing w:line="480" w:lineRule="auto"/>
        <w:jc w:val="left"/>
        <w:rPr>
          <w:rFonts w:ascii="Times New Roman" w:hAnsi="Times New Roman" w:eastAsia="宋体" w:cs="Times New Roman"/>
          <w:color w:val="000000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:vertAlign w:val="superscript"/>
          <w14:ligatures w14:val="none"/>
        </w:rPr>
        <w:t>3</w:t>
      </w:r>
      <w:r>
        <w:rPr>
          <w:rFonts w:hint="eastAsia" w:ascii="Times New Roman" w:hAnsi="Times New Roman" w:eastAsia="宋体" w:cs="Times New Roman"/>
          <w:color w:val="000000"/>
          <w:kern w:val="0"/>
          <w:sz w:val="20"/>
          <w:szCs w:val="20"/>
          <w14:ligatures w14:val="none"/>
        </w:rPr>
        <w:t xml:space="preserve"> </w:t>
      </w:r>
      <w:r>
        <w:rPr>
          <w:rFonts w:ascii="Times New Roman" w:hAnsi="Times New Roman" w:eastAsia="宋体" w:cs="Times New Roman"/>
          <w:color w:val="000000"/>
          <w:kern w:val="0"/>
          <w:sz w:val="20"/>
          <w:szCs w:val="20"/>
          <w14:ligatures w14:val="none"/>
        </w:rPr>
        <w:t>Department of Infectious Diseases, Yantai Shan Hospital, Yantai, 264001, Shandong Province, China</w:t>
      </w:r>
    </w:p>
    <w:p w14:paraId="077611FC">
      <w:pPr>
        <w:widowControl/>
        <w:spacing w:line="480" w:lineRule="auto"/>
        <w:jc w:val="left"/>
        <w:rPr>
          <w:rFonts w:ascii="Times New Roman" w:hAnsi="Times New Roman" w:eastAsia="宋体" w:cs="Times New Roman"/>
          <w:kern w:val="0"/>
          <w:sz w:val="20"/>
          <w:szCs w:val="20"/>
          <w:shd w:val="clear" w:color="auto" w:fill="FFFFFF"/>
          <w14:ligatures w14:val="none"/>
        </w:rPr>
      </w:pPr>
      <w:r>
        <w:rPr>
          <w:rFonts w:ascii="Times New Roman" w:hAnsi="Times New Roman" w:eastAsia="宋体" w:cs="Times New Roman"/>
          <w:kern w:val="0"/>
          <w:sz w:val="20"/>
          <w:szCs w:val="20"/>
          <w:vertAlign w:val="superscript"/>
          <w14:ligatures w14:val="none"/>
        </w:rPr>
        <w:t>*</w:t>
      </w:r>
      <w:r>
        <w:rPr>
          <w:rFonts w:ascii="Times New Roman" w:hAnsi="Times New Roman" w:eastAsia="宋体" w:cs="Times New Roman"/>
          <w:kern w:val="0"/>
          <w:sz w:val="20"/>
          <w:szCs w:val="20"/>
          <w:shd w:val="clear" w:color="auto" w:fill="FFFFFF"/>
          <w14:ligatures w14:val="none"/>
        </w:rPr>
        <w:t xml:space="preserve"> These authors contributed equally to this work.</w:t>
      </w:r>
    </w:p>
    <w:p w14:paraId="579C926A">
      <w:pPr>
        <w:spacing w:line="480" w:lineRule="auto"/>
        <w:rPr>
          <w:rFonts w:ascii="Times New Roman" w:hAnsi="Times New Roman" w:cs="Times New Roman"/>
          <w:b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 xml:space="preserve">#Corresponding authors: </w:t>
      </w:r>
    </w:p>
    <w:p w14:paraId="2CA9CA3F">
      <w:pPr>
        <w:spacing w:after="156" w:afterLines="50" w:line="480" w:lineRule="auto"/>
        <w:rPr>
          <w:rStyle w:val="9"/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Yingjie Chen: 20 Yuhuangding East Road, 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Yantai 264200</w:t>
      </w:r>
      <w:r>
        <w:rPr>
          <w:rFonts w:ascii="Times New Roman" w:hAnsi="Times New Roman" w:cs="Times New Roman"/>
          <w:sz w:val="20"/>
          <w:szCs w:val="20"/>
        </w:rPr>
        <w:t xml:space="preserve"> People’s Rep. of China; Tel. 86- 13695355990; Email:  </w:t>
      </w:r>
      <w:r>
        <w:rPr>
          <w:rStyle w:val="9"/>
          <w:rFonts w:ascii="Times New Roman" w:hAnsi="Times New Roman" w:cs="Times New Roman"/>
          <w:sz w:val="20"/>
          <w:szCs w:val="20"/>
        </w:rPr>
        <w:t>y13695355990@126.com</w:t>
      </w:r>
    </w:p>
    <w:p w14:paraId="05ED733C">
      <w:pPr>
        <w:spacing w:before="156" w:beforeLines="50" w:after="156" w:afterLines="50" w:line="480" w:lineRule="auto"/>
        <w:rPr>
          <w:rFonts w:hint="default" w:ascii="Times New Roman" w:hAnsi="Times New Roman" w:eastAsia="宋体" w:cs="Times New Roman"/>
          <w:kern w:val="0"/>
          <w:sz w:val="20"/>
          <w:szCs w:val="20"/>
          <w:lang w:val="en-US" w:eastAsia="zh-CN"/>
          <w14:ligatures w14:val="none"/>
        </w:rPr>
      </w:pPr>
      <w:r>
        <w:rPr>
          <w:rFonts w:ascii="Times New Roman" w:hAnsi="Times New Roman" w:eastAsia="宋体" w:cs="Times New Roman"/>
          <w:b/>
          <w:bCs/>
          <w:kern w:val="0"/>
          <w:sz w:val="20"/>
          <w:szCs w:val="20"/>
          <w14:ligatures w14:val="none"/>
        </w:rPr>
        <w:t>Key words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: Critical care; Cohort study; Risk factors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14:ligatures w14:val="none"/>
        </w:rPr>
        <w:t>; T</w:t>
      </w: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t>riglyceride-glucose index</w:t>
      </w:r>
      <w:r>
        <w:rPr>
          <w:rFonts w:hint="eastAsia" w:ascii="Times New Roman" w:hAnsi="Times New Roman" w:eastAsia="宋体" w:cs="Times New Roman"/>
          <w:kern w:val="0"/>
          <w:sz w:val="20"/>
          <w:szCs w:val="20"/>
          <w:lang w:val="en-US" w:eastAsia="zh-CN"/>
          <w14:ligatures w14:val="none"/>
        </w:rPr>
        <w:t>; Corona Virus Disease 2019</w:t>
      </w:r>
    </w:p>
    <w:p w14:paraId="166C3275">
      <w:pPr>
        <w:widowControl/>
        <w:jc w:val="left"/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</w:pPr>
      <w:r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  <w:br w:type="page"/>
      </w:r>
    </w:p>
    <w:sdt>
      <w:sdtPr>
        <w:rPr>
          <w:rFonts w:hint="default" w:ascii="Times New Roman" w:hAnsi="Times New Roman" w:cs="Times New Roman" w:eastAsiaTheme="minorEastAsia"/>
          <w:color w:val="auto"/>
          <w:kern w:val="2"/>
          <w:sz w:val="20"/>
          <w:szCs w:val="20"/>
          <w:lang w:val="zh-CN"/>
        </w:rPr>
        <w:id w:val="26612044"/>
        <w:docPartObj>
          <w:docPartGallery w:val="Table of Contents"/>
          <w:docPartUnique/>
        </w:docPartObj>
      </w:sdtPr>
      <w:sdtEndPr>
        <w:rPr>
          <w:rFonts w:asciiTheme="minorHAnsi" w:hAnsiTheme="minorHAnsi" w:eastAsiaTheme="minorEastAsia" w:cstheme="minorBidi"/>
          <w:b/>
          <w:bCs/>
          <w:color w:val="auto"/>
          <w:kern w:val="2"/>
          <w:sz w:val="21"/>
          <w:szCs w:val="22"/>
          <w:lang w:val="zh-CN"/>
        </w:rPr>
      </w:sdtEndPr>
      <w:sdtContent>
        <w:p w14:paraId="23597711">
          <w:pPr>
            <w:pStyle w:val="13"/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sz w:val="20"/>
              <w:szCs w:val="20"/>
              <w:lang w:val="zh-CN"/>
            </w:rPr>
            <w:t>Content</w:t>
          </w:r>
        </w:p>
        <w:p w14:paraId="7683098D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TOC \o "1-3" \h \z \u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HYPERLINK \l _Toc28696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Supplementary Figure 1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_Toc28696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3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</w:p>
        <w:p w14:paraId="5D09FB04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_Toc13034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Supplementary Figure 2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_Toc13034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4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668FBC02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_Toc18175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Figure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_Toc18175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5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333AEBEE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_Toc30223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able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 xml:space="preserve"> 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1: Formulas for Calculating Weight-Derived Markers and Serum Osmolarity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_Toc30223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6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74FD7066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_Toc25638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2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Testing for collinearity between BMI and Covariates.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_Toc25638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7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237D64B0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_Toc12411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3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Testing for collinearity between Weight and Covariates.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_Toc12411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8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28025E82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_Toc11871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Testing for collinearity between WBFM and Covariates.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_Toc11871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9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66608BCD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_Toc22522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5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Testing for collinearity between BMR and Covariates.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_Toc22522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10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5CCD1140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_Toc19838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Testing for collinearity between BFP and Covariates.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_Toc19838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11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0DBB47B3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_Toc16743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7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Testing for collinearity between LBM and Covariates.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_Toc16743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12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0FE40AB9">
          <w:pPr>
            <w:pStyle w:val="5"/>
            <w:tabs>
              <w:tab w:val="right" w:leader="dot" w:pos="8306"/>
            </w:tabs>
            <w:spacing w:line="480" w:lineRule="auto"/>
            <w:rPr>
              <w:rFonts w:hint="default" w:ascii="Times New Roman" w:hAnsi="Times New Roman" w:cs="Times New Roman"/>
              <w:sz w:val="20"/>
              <w:szCs w:val="20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begin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instrText xml:space="preserve"> HYPERLINK \l _Toc9727 </w:instrText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Supplementary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T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 xml:space="preserve">able </w:t>
          </w:r>
          <w:r>
            <w:rPr>
              <w:rFonts w:hint="default" w:ascii="Times New Roman" w:hAnsi="Times New Roman" w:cs="Times New Roman"/>
              <w:sz w:val="20"/>
              <w:szCs w:val="20"/>
              <w:lang w:val="en-US" w:eastAsia="zh-CN"/>
            </w:rPr>
            <w:t>8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>: Effect size of Weight-Derived Markers on secondary outcomes.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tab/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begin"/>
          </w:r>
          <w:r>
            <w:rPr>
              <w:rFonts w:hint="default" w:ascii="Times New Roman" w:hAnsi="Times New Roman" w:cs="Times New Roman"/>
              <w:sz w:val="20"/>
              <w:szCs w:val="20"/>
            </w:rPr>
            <w:instrText xml:space="preserve"> PAGEREF _Toc9727 \h </w:instrTex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separate"/>
          </w:r>
          <w:r>
            <w:rPr>
              <w:rFonts w:hint="default" w:ascii="Times New Roman" w:hAnsi="Times New Roman" w:cs="Times New Roman"/>
              <w:sz w:val="20"/>
              <w:szCs w:val="20"/>
            </w:rPr>
            <w:t>13</w:t>
          </w:r>
          <w:r>
            <w:rPr>
              <w:rFonts w:hint="default" w:ascii="Times New Roman" w:hAnsi="Times New Roman" w:cs="Times New Roman"/>
              <w:sz w:val="20"/>
              <w:szCs w:val="20"/>
            </w:rPr>
            <w:fldChar w:fldCharType="end"/>
          </w: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  <w:p w14:paraId="3A398178">
          <w:pPr>
            <w:spacing w:line="480" w:lineRule="auto"/>
            <w:rPr>
              <w:rFonts w:hint="eastAsia"/>
            </w:rPr>
          </w:pPr>
          <w:r>
            <w:rPr>
              <w:rFonts w:hint="default" w:ascii="Times New Roman" w:hAnsi="Times New Roman" w:cs="Times New Roman"/>
              <w:bCs/>
              <w:sz w:val="20"/>
              <w:szCs w:val="20"/>
              <w:lang w:val="zh-CN"/>
            </w:rPr>
            <w:fldChar w:fldCharType="end"/>
          </w:r>
        </w:p>
      </w:sdtContent>
    </w:sdt>
    <w:p w14:paraId="62A09DF9">
      <w:pPr>
        <w:spacing w:before="156" w:beforeLines="50" w:after="156" w:afterLines="50" w:line="480" w:lineRule="auto"/>
        <w:rPr>
          <w:rFonts w:ascii="Times New Roman" w:hAnsi="Times New Roman" w:eastAsia="宋体" w:cs="Times New Roman"/>
          <w:kern w:val="0"/>
          <w:sz w:val="20"/>
          <w:szCs w:val="20"/>
          <w14:ligatures w14:val="none"/>
        </w:rPr>
      </w:pPr>
      <w:bookmarkStart w:id="16" w:name="_GoBack"/>
      <w:bookmarkEnd w:id="16"/>
    </w:p>
    <w:p w14:paraId="1FCD796F">
      <w:pPr>
        <w:widowControl/>
        <w:jc w:val="left"/>
        <w:rPr>
          <w:rFonts w:hint="eastAsia"/>
        </w:rPr>
      </w:pPr>
      <w:r>
        <w:rPr>
          <w:rFonts w:hint="eastAsia"/>
        </w:rPr>
        <w:br w:type="page"/>
      </w:r>
    </w:p>
    <w:p w14:paraId="4398C8C5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2" w:name="_Toc28696"/>
      <w:bookmarkStart w:id="3" w:name="_Hlk174023424"/>
      <w:r>
        <w:rPr>
          <w:rFonts w:ascii="Times New Roman" w:hAnsi="Times New Roman" w:cs="Times New Roman"/>
          <w:sz w:val="20"/>
          <w:szCs w:val="20"/>
        </w:rPr>
        <w:t>Supplementary</w:t>
      </w:r>
      <w:r>
        <w:rPr>
          <w:rFonts w:hint="eastAsia" w:ascii="Times New Roman" w:hAnsi="Times New Roman" w:cs="Times New Roman"/>
          <w:sz w:val="20"/>
          <w:szCs w:val="20"/>
        </w:rPr>
        <w:t xml:space="preserve"> Figure</w:t>
      </w:r>
      <w:r>
        <w:rPr>
          <w:rFonts w:ascii="Times New Roman" w:hAnsi="Times New Roman" w:cs="Times New Roman"/>
          <w:sz w:val="20"/>
          <w:szCs w:val="20"/>
        </w:rPr>
        <w:t xml:space="preserve"> 1</w:t>
      </w:r>
      <w:bookmarkEnd w:id="2"/>
    </w:p>
    <w:p w14:paraId="606CA8E8">
      <w:pPr>
        <w:rPr>
          <w:rFonts w:ascii="Times New Roman" w:hAnsi="Times New Roman" w:cs="Times New Roman"/>
          <w:sz w:val="20"/>
          <w:szCs w:val="20"/>
        </w:rPr>
      </w:pPr>
      <w:r>
        <w:drawing>
          <wp:inline distT="0" distB="0" distL="0" distR="0">
            <wp:extent cx="5274310" cy="6980555"/>
            <wp:effectExtent l="0" t="0" r="0" b="0"/>
            <wp:docPr id="193580708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5807085" name="图片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980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262A027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5A2BE071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4" w:name="_Toc13034"/>
      <w:r>
        <w:rPr>
          <w:rFonts w:ascii="Times New Roman" w:hAnsi="Times New Roman" w:cs="Times New Roman"/>
          <w:sz w:val="20"/>
          <w:szCs w:val="20"/>
        </w:rPr>
        <w:t>Supplementary</w:t>
      </w:r>
      <w:r>
        <w:rPr>
          <w:rFonts w:hint="eastAsia" w:ascii="Times New Roman" w:hAnsi="Times New Roman" w:cs="Times New Roman"/>
          <w:sz w:val="20"/>
          <w:szCs w:val="20"/>
        </w:rPr>
        <w:t xml:space="preserve"> Figure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2</w:t>
      </w:r>
      <w:bookmarkEnd w:id="4"/>
    </w:p>
    <w:p w14:paraId="0AEADEA2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drawing>
          <wp:inline distT="0" distB="0" distL="0" distR="0">
            <wp:extent cx="5274310" cy="6205220"/>
            <wp:effectExtent l="0" t="0" r="0" b="0"/>
            <wp:docPr id="754288595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4288595" name="图片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62052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1690D2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2357765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5" w:name="_Toc18175"/>
      <w:r>
        <w:rPr>
          <w:rFonts w:ascii="Times New Roman" w:hAnsi="Times New Roman" w:cs="Times New Roman"/>
          <w:sz w:val="20"/>
          <w:szCs w:val="20"/>
        </w:rPr>
        <w:t>Supplementary</w:t>
      </w:r>
      <w:r>
        <w:rPr>
          <w:rFonts w:hint="eastAsia" w:ascii="Times New Roman" w:hAnsi="Times New Roman" w:cs="Times New Roman"/>
          <w:sz w:val="20"/>
          <w:szCs w:val="20"/>
        </w:rPr>
        <w:t xml:space="preserve"> Figure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3</w:t>
      </w:r>
      <w:bookmarkEnd w:id="5"/>
    </w:p>
    <w:p w14:paraId="5DE95755">
      <w:pPr>
        <w:widowControl/>
        <w:jc w:val="lef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drawing>
          <wp:inline distT="0" distB="0" distL="114300" distR="114300">
            <wp:extent cx="5271135" cy="3768725"/>
            <wp:effectExtent l="0" t="0" r="5715" b="3175"/>
            <wp:docPr id="1" name="图片 1" descr="Sfig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Sfig3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76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0163B959">
      <w:pPr>
        <w:pStyle w:val="2"/>
        <w:rPr>
          <w:rFonts w:hint="eastAsia" w:ascii="Times New Roman" w:hAnsi="Times New Roman" w:cs="Times New Roman" w:eastAsiaTheme="minorEastAsia"/>
          <w:sz w:val="20"/>
          <w:szCs w:val="20"/>
          <w:lang w:val="en-US" w:eastAsia="zh-CN"/>
        </w:rPr>
      </w:pPr>
      <w:bookmarkStart w:id="6" w:name="_Toc30223"/>
      <w:r>
        <w:rPr>
          <w:rFonts w:hint="eastAsia"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hint="eastAsia" w:ascii="Times New Roman" w:hAnsi="Times New Roman" w:cs="Times New Roman"/>
          <w:sz w:val="20"/>
          <w:szCs w:val="20"/>
        </w:rPr>
        <w:t>able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1: Formulas for Calculating Weight-Derived Markers and Serum Osmolarity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.</w:t>
      </w:r>
      <w:bookmarkEnd w:id="6"/>
    </w:p>
    <w:tbl>
      <w:tblPr>
        <w:tblStyle w:val="6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94"/>
        <w:gridCol w:w="5981"/>
        <w:gridCol w:w="549"/>
        <w:gridCol w:w="95"/>
      </w:tblGrid>
      <w:tr w14:paraId="0BBE99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111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54D26641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Marker Name</w:t>
            </w:r>
          </w:p>
        </w:tc>
        <w:tc>
          <w:tcPr>
            <w:tcW w:w="3509" w:type="pct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3A59E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Calculation Formula</w:t>
            </w:r>
          </w:p>
        </w:tc>
        <w:tc>
          <w:tcPr>
            <w:tcW w:w="378" w:type="pct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1058DB2F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Ref.</w:t>
            </w:r>
          </w:p>
        </w:tc>
      </w:tr>
      <w:tr w14:paraId="69A6CA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pct"/>
          <w:trHeight w:val="650" w:hRule="atLeast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E17C64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BMI</w:t>
            </w:r>
          </w:p>
        </w:tc>
        <w:tc>
          <w:tcPr>
            <w:tcW w:w="3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433D907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>BMI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 xml:space="preserve"> (kg/m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vertAlign w:val="superscript"/>
                <w:lang w:val="en-US" w:eastAsia="zh-CN"/>
              </w:rPr>
              <w:t>2</w:t>
            </w:r>
            <w:r>
              <w:rPr>
                <w:rFonts w:hint="eastAsia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  <w:lang w:val="en-US" w:eastAsia="zh-CN"/>
              </w:rPr>
              <w:t>)</w:t>
            </w: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  <w:t xml:space="preserve"> = Weight/(Height*Height)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362771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instrText xml:space="preserve"> ADDIN EN.CITE &lt;EndNote&gt;&lt;Cite&gt;&lt;Author&gt;Ruan&lt;/Author&gt;&lt;Year&gt;2023&lt;/Year&gt;&lt;RecNum&gt;57&lt;/RecNum&gt;&lt;DisplayText&gt;[1]&lt;/DisplayText&gt;&lt;record&gt;&lt;rec-number&gt;57&lt;/rec-number&gt;&lt;foreign-keys&gt;&lt;key app="EN" db-id="e00p5r09utfx9he92v3vepr7sfzv9vf9tfzx" timestamp="1690265561"&gt;57&lt;/key&gt;&lt;/foreign-keys&gt;&lt;ref-type name="Journal Article"&gt;17&lt;/ref-type&gt;&lt;contributors&gt;&lt;authors&gt;&lt;author&gt;Ruan, Hang&lt;/author&gt;&lt;author&gt;Li, Shu-Sheng&lt;/author&gt;&lt;author&gt;Zhang, Qin&lt;/author&gt;&lt;author&gt;Ran, Xiao&lt;/author&gt;&lt;/authors&gt;&lt;/contributors&gt;&lt;titles&gt;&lt;title&gt;Elevated MMP-8 levels, inversely associated with BMI, predict mortality in mechanically ventilated patients: an observational multicenter study&lt;/title&gt;&lt;secondary-title&gt;Critical care (London, England)&lt;/secondary-title&gt;&lt;/titles&gt;&lt;periodical&gt;&lt;full-title&gt;Critical care (London, England)&lt;/full-title&gt;&lt;/periodical&gt;&lt;pages&gt;290-290&lt;/pages&gt;&lt;volume&gt;27&lt;/volume&gt;&lt;number&gt;1&lt;/number&gt;&lt;dates&gt;&lt;year&gt;2023&lt;/year&gt;&lt;pub-dates&gt;&lt;date&gt;2023 Jul&lt;/date&gt;&lt;/pub-dates&gt;&lt;/dates&gt;&lt;accession-num&gt;MEDLINE:37464428&lt;/accession-num&gt;&lt;work-type&gt;Multicenter Study;&lt;/work-type&gt;&lt;urls&gt;&lt;related-urls&gt;&lt;url&gt;&amp;lt;Go to ISI&amp;gt;://MEDLINE:37464428&lt;/url&gt;&lt;/related-urls&gt;&lt;/urls&gt;&lt;electronic-resource-num&gt;10.1186/s13054-023-04579-3&lt;/electronic-resource-num&gt;&lt;/record&gt;&lt;/Cite&gt;&lt;/EndNote&gt;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  <w14:ligatures w14:val="standardContextual"/>
              </w:rPr>
              <w:t>[1]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end"/>
            </w:r>
          </w:p>
        </w:tc>
      </w:tr>
      <w:tr w14:paraId="61C715F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pct"/>
          <w:trHeight w:val="285" w:hRule="atLeast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41DAFF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LBM</w:t>
            </w:r>
          </w:p>
        </w:tc>
        <w:tc>
          <w:tcPr>
            <w:tcW w:w="3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A0265F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LBM (kg) = (0.29569 × Wt) + (0.41813 × Ht) – 43.2933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1FFD0952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instrText xml:space="preserve"> ADDIN EN.CITE &lt;EndNote&gt;&lt;Cite&gt;&lt;Author&gt;Li&lt;/Author&gt;&lt;Year&gt;2019&lt;/Year&gt;&lt;RecNum&gt;734&lt;/RecNum&gt;&lt;DisplayText&gt;[2]&lt;/DisplayText&gt;&lt;record&gt;&lt;rec-number&gt;734&lt;/rec-number&gt;&lt;foreign-keys&gt;&lt;key app="EN" db-id="e00p5r09utfx9he92v3vepr7sfzv9vf9tfzx" timestamp="1722559974"&gt;734&lt;/key&gt;&lt;/foreign-keys&gt;&lt;ref-type name="Journal Article"&gt;17&lt;/ref-type&gt;&lt;contributors&gt;&lt;authors&gt;&lt;author&gt;Li, Jinhua&lt;/author&gt;&lt;author&gt;Shang, Jingjie&lt;/author&gt;&lt;author&gt;Guo, Bin&lt;/author&gt;&lt;author&gt;Gong, Jian&lt;/author&gt;&lt;author&gt;Xu, Hao&lt;/author&gt;&lt;/authors&gt;&lt;/contributors&gt;&lt;titles&gt;&lt;title&gt;Establishment of Prediction Equations of Lean Body Mass Suitable for Chinese Adults&lt;/title&gt;&lt;secondary-title&gt;Biomed Research International&lt;/secondary-title&gt;&lt;/titles&gt;&lt;periodical&gt;&lt;full-title&gt;Biomed Research International&lt;/full-title&gt;&lt;/periodical&gt;&lt;volume&gt;2019&lt;/volume&gt;&lt;dates&gt;&lt;year&gt;2019&lt;/year&gt;&lt;pub-dates&gt;&lt;date&gt;2019&lt;/date&gt;&lt;/pub-dates&gt;&lt;/dates&gt;&lt;isbn&gt;2314-6133&lt;/isbn&gt;&lt;accession-num&gt;WOS:000474514600001&lt;/accession-num&gt;&lt;work-type&gt;Article&lt;/work-type&gt;&lt;urls&gt;&lt;related-urls&gt;&lt;url&gt;&amp;lt;Go to ISI&amp;gt;://WOS:000474514600001&lt;/url&gt;&lt;/related-urls&gt;&lt;/urls&gt;&lt;custom7&gt;1757954&lt;/custom7&gt;&lt;electronic-resource-num&gt;10.1155/2019/1757954&lt;/electronic-resource-num&gt;&lt;/record&gt;&lt;/Cite&gt;&lt;/EndNote&gt;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  <w14:ligatures w14:val="standardContextual"/>
              </w:rPr>
              <w:t>[2]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end"/>
            </w:r>
          </w:p>
        </w:tc>
      </w:tr>
      <w:tr w14:paraId="1E609C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pct"/>
          <w:trHeight w:val="285" w:hRule="atLeast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41F81DF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BFP</w:t>
            </w:r>
          </w:p>
        </w:tc>
        <w:tc>
          <w:tcPr>
            <w:tcW w:w="3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16DA806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BFP (%) = 1.20 × BMI + 0.23 × Age – 16.2 × Sex – 5.4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97A48E3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instrText xml:space="preserve"> ADDIN EN.CITE &lt;EndNote&gt;&lt;Cite&gt;&lt;Author&gt;Deurenberg-Yap&lt;/Author&gt;&lt;Year&gt;2000&lt;/Year&gt;&lt;RecNum&gt;546&lt;/RecNum&gt;&lt;DisplayText&gt;[3]&lt;/DisplayText&gt;&lt;record&gt;&lt;rec-number&gt;546&lt;/rec-number&gt;&lt;foreign-keys&gt;&lt;key app="EN" db-id="vrrtasdtrv5w2se0pse5rvd7fdwrvrv5d0w9" timestamp="1686591021"&gt;546&lt;/key&gt;&lt;/foreign-keys&gt;&lt;ref-type name="Journal Article"&gt;17&lt;/ref-type&gt;&lt;contributors&gt;&lt;authors&gt;&lt;author&gt;Deurenberg-Yap, M.&lt;/author&gt;&lt;author&gt;Schmidt, G.&lt;/author&gt;&lt;author&gt;van Staveren, W. A.&lt;/author&gt;&lt;author&gt;Deurenberg, P.&lt;/author&gt;&lt;/authors&gt;&lt;/contributors&gt;&lt;titles&gt;&lt;title&gt;The paradox of low body mass index and high body fat percentage among Chinese, Malays and Indians in Singapore&lt;/title&gt;&lt;secondary-title&gt;International Journal of Obesity&lt;/secondary-title&gt;&lt;/titles&gt;&lt;periodical&gt;&lt;full-title&gt;International Journal of Obesity&lt;/full-title&gt;&lt;/periodical&gt;&lt;pages&gt;1011-1017&lt;/pages&gt;&lt;volume&gt;24&lt;/volume&gt;&lt;number&gt;8&lt;/number&gt;&lt;dates&gt;&lt;year&gt;2000&lt;/year&gt;&lt;pub-dates&gt;&lt;date&gt;Aug&lt;/date&gt;&lt;/pub-dates&gt;&lt;/dates&gt;&lt;isbn&gt;0307-0565&lt;/isbn&gt;&lt;accession-num&gt;WOS:000088597000011&lt;/accession-num&gt;&lt;work-type&gt;Article&lt;/work-type&gt;&lt;urls&gt;&lt;related-urls&gt;&lt;url&gt;&amp;lt;Go to ISI&amp;gt;://WOS:000088597000011&lt;/url&gt;&lt;/related-urls&gt;&lt;/urls&gt;&lt;electronic-resource-num&gt;10.1038/sj.ijo.0801353&lt;/electronic-resource-num&gt;&lt;/record&gt;&lt;/Cite&gt;&lt;/EndNote&gt;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  <w14:ligatures w14:val="standardContextual"/>
              </w:rPr>
              <w:t>[3]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end"/>
            </w:r>
          </w:p>
        </w:tc>
      </w:tr>
      <w:tr w14:paraId="28EDF3B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pct"/>
          <w:trHeight w:val="285" w:hRule="atLeast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3842CF79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WBFM</w:t>
            </w:r>
          </w:p>
        </w:tc>
        <w:tc>
          <w:tcPr>
            <w:tcW w:w="3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094D13A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WBFM (kg) = Wt × (BFP / 100)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7074D44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instrText xml:space="preserve"> ADDIN EN.CITE &lt;EndNote&gt;&lt;Cite&gt;&lt;Author&gt;Umapathysivam&lt;/Author&gt;&lt;Year&gt;2017&lt;/Year&gt;&lt;RecNum&gt;735&lt;/RecNum&gt;&lt;DisplayText&gt;[4]&lt;/DisplayText&gt;&lt;record&gt;&lt;rec-number&gt;735&lt;/rec-number&gt;&lt;foreign-keys&gt;&lt;key app="EN" db-id="e00p5r09utfx9he92v3vepr7sfzv9vf9tfzx" timestamp="1722561657"&gt;735&lt;/key&gt;&lt;/foreign-keys&gt;&lt;ref-type name="Journal Article"&gt;17&lt;/ref-type&gt;&lt;contributors&gt;&lt;authors&gt;&lt;author&gt;Umapathysivam, Kandiah&lt;/author&gt;&lt;author&gt;Tufanaru, Catalin&lt;/author&gt;&lt;author&gt;Visvanathan, Renuka&lt;/author&gt;&lt;author&gt;Yu, Solomon&lt;/author&gt;&lt;/authors&gt;&lt;/contributors&gt;&lt;titles&gt;&lt;title&gt;Anthropometric prediction equations for estimating body mass composition: a scoping review protocol&lt;/title&gt;&lt;secondary-title&gt;JBI database of systematic reviews and implementation reports&lt;/secondary-title&gt;&lt;/titles&gt;&lt;periodical&gt;&lt;full-title&gt;JBI database of systematic reviews and implementation reports&lt;/full-title&gt;&lt;/periodical&gt;&lt;pages&gt;2427-2432&lt;/pages&gt;&lt;volume&gt;15&lt;/volume&gt;&lt;number&gt;10&lt;/number&gt;&lt;dates&gt;&lt;year&gt;2017&lt;/year&gt;&lt;pub-dates&gt;&lt;date&gt;2017-10&lt;/date&gt;&lt;/pub-dates&gt;&lt;/dates&gt;&lt;accession-num&gt;MEDLINE:29035951&lt;/accession-num&gt;&lt;work-type&gt;; Review&lt;/work-type&gt;&lt;urls&gt;&lt;related-urls&gt;&lt;url&gt;&amp;lt;Go to ISI&amp;gt;://MEDLINE:29035951&lt;/url&gt;&lt;/related-urls&gt;&lt;/urls&gt;&lt;electronic-resource-num&gt;10.11124/jbisrir-2016-003117&lt;/electronic-resource-num&gt;&lt;/record&gt;&lt;/Cite&gt;&lt;/EndNote&gt;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  <w14:ligatures w14:val="standardContextual"/>
              </w:rPr>
              <w:t>[4]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end"/>
            </w:r>
          </w:p>
        </w:tc>
      </w:tr>
      <w:tr w14:paraId="20363F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pct"/>
          <w:trHeight w:val="285" w:hRule="atLeast"/>
        </w:trPr>
        <w:tc>
          <w:tcPr>
            <w:tcW w:w="111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07590740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BMR</w:t>
            </w:r>
          </w:p>
        </w:tc>
        <w:tc>
          <w:tcPr>
            <w:tcW w:w="3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5225678E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 xml:space="preserve">Male: BMR (kcal/day) = (10 × Wt) + (6.25 × Ht) – (5 × Age) + 5 </w:t>
            </w:r>
          </w:p>
          <w:p w14:paraId="0EEAC584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Female: BMR (kcal/day) = (10 × Wt) + (6.25 × Ht) – (5 × Age) – 161</w:t>
            </w:r>
          </w:p>
        </w:tc>
        <w:tc>
          <w:tcPr>
            <w:tcW w:w="32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top"/>
          </w:tcPr>
          <w:p w14:paraId="67FA3F28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instrText xml:space="preserve"> ADDIN EN.CITE &lt;EndNote&gt;&lt;Cite&gt;&lt;Author&gt;Camps&lt;/Author&gt;&lt;Year&gt;2016&lt;/Year&gt;&lt;RecNum&gt;737&lt;/RecNum&gt;&lt;DisplayText&gt;[5]&lt;/DisplayText&gt;&lt;record&gt;&lt;rec-number&gt;737&lt;/rec-number&gt;&lt;foreign-keys&gt;&lt;key app="EN" db-id="e00p5r09utfx9he92v3vepr7sfzv9vf9tfzx" timestamp="1722561886"&gt;737&lt;/key&gt;&lt;/foreign-keys&gt;&lt;ref-type name="Journal Article"&gt;17&lt;/ref-type&gt;&lt;contributors&gt;&lt;authors&gt;&lt;author&gt;Camps, Stefan G.&lt;/author&gt;&lt;author&gt;Wang, Nan Xin&lt;/author&gt;&lt;author&gt;Tan, Wei Shuan Kimberly&lt;/author&gt;&lt;author&gt;Henry, C. Jeyakumar&lt;/author&gt;&lt;/authors&gt;&lt;/contributors&gt;&lt;titles&gt;&lt;title&gt;Estimation of basal metabolic rate in Chinese: are the current prediction equations applicable?&lt;/title&gt;&lt;secondary-title&gt;Nutrition Journal&lt;/secondary-title&gt;&lt;/titles&gt;&lt;periodical&gt;&lt;full-title&gt;Nutrition Journal&lt;/full-title&gt;&lt;/periodical&gt;&lt;volume&gt;15&lt;/volume&gt;&lt;dates&gt;&lt;year&gt;2016&lt;/year&gt;&lt;pub-dates&gt;&lt;date&gt;Aug 31&lt;/date&gt;&lt;/pub-dates&gt;&lt;/dates&gt;&lt;accession-num&gt;WOS:000383424700001&lt;/accession-num&gt;&lt;work-type&gt;Article&lt;/work-type&gt;&lt;urls&gt;&lt;related-urls&gt;&lt;url&gt;&amp;lt;Go to ISI&amp;gt;://WOS:000383424700001&lt;/url&gt;&lt;/related-urls&gt;&lt;/urls&gt;&lt;custom7&gt;79&lt;/custom7&gt;&lt;electronic-resource-num&gt;10.1186/s12937-016-0197-2&lt;/electronic-resource-num&gt;&lt;/record&gt;&lt;/Cite&gt;&lt;/EndNote&gt;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  <w14:ligatures w14:val="standardContextual"/>
              </w:rPr>
              <w:t>[5]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end"/>
            </w:r>
          </w:p>
        </w:tc>
      </w:tr>
      <w:tr w14:paraId="133DD3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55" w:type="pct"/>
          <w:trHeight w:val="285" w:hRule="atLeast"/>
        </w:trPr>
        <w:tc>
          <w:tcPr>
            <w:tcW w:w="1111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2D4CB51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Osmolarity</w:t>
            </w:r>
          </w:p>
        </w:tc>
        <w:tc>
          <w:tcPr>
            <w:tcW w:w="3509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6591C48C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  <w14:ligatures w14:val="standardContextual"/>
              </w:rPr>
              <w:t>Osmolarity, mmol/L = 2 × (Na⁺ + K⁺) + (Glu / 18) + (Urea / 2.8)</w:t>
            </w:r>
          </w:p>
        </w:tc>
        <w:tc>
          <w:tcPr>
            <w:tcW w:w="322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top"/>
          </w:tcPr>
          <w:p w14:paraId="025C93C5">
            <w:pPr>
              <w:keepNext w:val="0"/>
              <w:keepLines w:val="0"/>
              <w:widowControl/>
              <w:suppressLineNumbers w:val="0"/>
              <w:spacing w:line="480" w:lineRule="auto"/>
              <w:jc w:val="left"/>
              <w:textAlignment w:val="bottom"/>
              <w:rPr>
                <w:rFonts w:hint="default" w:ascii="Times New Roman" w:hAnsi="Times New Roman" w:eastAsia="等线" w:cs="Times New Roman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begin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instrText xml:space="preserve"> ADDIN EN.CITE &lt;EndNote&gt;&lt;Cite&gt;&lt;Author&gt;Shen&lt;/Author&gt;&lt;Year&gt;2017&lt;/Year&gt;&lt;RecNum&gt;754&lt;/RecNum&gt;&lt;DisplayText&gt;[6]&lt;/DisplayText&gt;&lt;record&gt;&lt;rec-number&gt;754&lt;/rec-number&gt;&lt;foreign-keys&gt;&lt;key app="EN" db-id="e00p5r09utfx9he92v3vepr7sfzv9vf9tfzx" timestamp="1723006347"&gt;754&lt;/key&gt;&lt;/foreign-keys&gt;&lt;ref-type name="Journal Article"&gt;17&lt;/ref-type&gt;&lt;contributors&gt;&lt;authors&gt;&lt;author&gt;Shen, Yanfei&lt;/author&gt;&lt;author&gt;Cheng, Xuping&lt;/author&gt;&lt;author&gt;Ying, Manzhen&lt;/author&gt;&lt;author&gt;Chang, Hao-Tang&lt;/author&gt;&lt;author&gt;Zhang, Weimin&lt;/author&gt;&lt;/authors&gt;&lt;/contributors&gt;&lt;titles&gt;&lt;title&gt;Association between serum osmolarity and mortality in patients who are critically ill: a retrospective cohort study&lt;/title&gt;&lt;secondary-title&gt;Bmj Open&lt;/secondary-title&gt;&lt;/titles&gt;&lt;periodical&gt;&lt;full-title&gt;Bmj Open&lt;/full-title&gt;&lt;/periodical&gt;&lt;volume&gt;7&lt;/volume&gt;&lt;number&gt;5&lt;/number&gt;&lt;dates&gt;&lt;year&gt;2017&lt;/year&gt;&lt;pub-dates&gt;&lt;date&gt;May&lt;/date&gt;&lt;/pub-dates&gt;&lt;/dates&gt;&lt;isbn&gt;2044-6055&lt;/isbn&gt;&lt;accession-num&gt;WOS:000402533300119&lt;/accession-num&gt;&lt;work-type&gt;Article&lt;/work-type&gt;&lt;urls&gt;&lt;related-urls&gt;&lt;url&gt;&amp;lt;Go to ISI&amp;gt;://WOS:000402533300119&lt;/url&gt;&lt;/related-urls&gt;&lt;/urls&gt;&lt;custom7&gt;e015729&lt;/custom7&gt;&lt;electronic-resource-num&gt;10.1136/bmjopen-2016-015729&lt;/electronic-resource-num&gt;&lt;/record&gt;&lt;/Cite&gt;&lt;/EndNote&gt;</w:instrTex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separate"/>
            </w:r>
            <w:r>
              <w:rPr>
                <w:rFonts w:hint="eastAsia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  <w14:ligatures w14:val="standardContextual"/>
              </w:rPr>
              <w:t>[6]</w:t>
            </w:r>
            <w:r>
              <w:rPr>
                <w:rFonts w:hint="default" w:ascii="Times New Roman" w:hAnsi="Times New Roman" w:eastAsia="等线" w:cs="Times New Roman"/>
                <w:kern w:val="2"/>
                <w:sz w:val="20"/>
                <w:szCs w:val="20"/>
                <w:lang w:val="en-US" w:eastAsia="zh-CN" w:bidi="ar"/>
              </w:rPr>
              <w:fldChar w:fldCharType="end"/>
            </w:r>
          </w:p>
        </w:tc>
      </w:tr>
    </w:tbl>
    <w:p w14:paraId="481525AF">
      <w:pPr>
        <w:spacing w:line="360" w:lineRule="auto"/>
        <w:rPr>
          <w:rFonts w:hint="eastAsia" w:ascii="Times New Roman" w:hAnsi="Times New Roman" w:cs="Times New Roman"/>
          <w:sz w:val="20"/>
          <w:szCs w:val="20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</w:rPr>
        <w:t xml:space="preserve">Abbreviations: </w:t>
      </w:r>
      <w:r>
        <w:rPr>
          <w:rFonts w:hint="eastAsia" w:ascii="Times New Roman" w:hAnsi="Times New Roman" w:cs="Times New Roman"/>
          <w:sz w:val="20"/>
          <w:szCs w:val="20"/>
        </w:rPr>
        <w:t>BFP: Body Fat Percentage; BMI: Body Mass Index; BMR: Basal Metabolic Rate; LBM: Lean Body Mass; WBFM: Whole-Body Fat Mass.</w:t>
      </w:r>
    </w:p>
    <w:p w14:paraId="5872A910">
      <w:pPr>
        <w:pStyle w:val="2"/>
        <w:rPr>
          <w:rFonts w:hint="eastAsia" w:ascii="Times New Roman" w:hAnsi="Times New Roman" w:cs="Times New Roman"/>
          <w:sz w:val="20"/>
          <w:szCs w:val="20"/>
        </w:rPr>
      </w:pPr>
    </w:p>
    <w:p w14:paraId="2B7606A0">
      <w:pPr>
        <w:pStyle w:val="2"/>
        <w:rPr>
          <w:rFonts w:ascii="Times New Roman" w:hAnsi="Times New Roman" w:cs="Times New Roman"/>
          <w:sz w:val="20"/>
          <w:szCs w:val="20"/>
        </w:rPr>
      </w:pPr>
    </w:p>
    <w:p w14:paraId="2238FEF6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2737FE3A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7" w:name="_Toc25638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: Testing for collinearity between BMI and Covariates.</w:t>
      </w:r>
      <w:bookmarkEnd w:id="7"/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991"/>
        <w:gridCol w:w="517"/>
        <w:gridCol w:w="1909"/>
        <w:gridCol w:w="757"/>
        <w:gridCol w:w="566"/>
        <w:gridCol w:w="1729"/>
        <w:gridCol w:w="566"/>
      </w:tblGrid>
      <w:tr w14:paraId="4BCDE6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52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16BEF9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2</w:t>
            </w:r>
          </w:p>
        </w:tc>
        <w:tc>
          <w:tcPr>
            <w:tcW w:w="303" w:type="pct"/>
            <w:vMerge w:val="restart"/>
            <w:tcBorders>
              <w:top w:val="single" w:color="auto" w:sz="4" w:space="0"/>
            </w:tcBorders>
            <w:noWrap/>
          </w:tcPr>
          <w:p w14:paraId="62562DF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64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4D2374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3</w:t>
            </w:r>
          </w:p>
        </w:tc>
        <w:tc>
          <w:tcPr>
            <w:tcW w:w="332" w:type="pct"/>
            <w:vMerge w:val="restart"/>
            <w:tcBorders>
              <w:top w:val="single" w:color="auto" w:sz="4" w:space="0"/>
            </w:tcBorders>
            <w:noWrap/>
          </w:tcPr>
          <w:p w14:paraId="26E1841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346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F9ED7E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1</w:t>
            </w:r>
          </w:p>
        </w:tc>
      </w:tr>
      <w:tr w14:paraId="0133F7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5005E5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581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6A2FF79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303" w:type="pct"/>
            <w:vMerge w:val="continue"/>
            <w:tcBorders>
              <w:bottom w:val="single" w:color="auto" w:sz="4" w:space="0"/>
            </w:tcBorders>
            <w:noWrap/>
          </w:tcPr>
          <w:p w14:paraId="46EE71D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4D3B0AD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444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6D1CAF6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332" w:type="pct"/>
            <w:vMerge w:val="continue"/>
            <w:tcBorders>
              <w:bottom w:val="single" w:color="auto" w:sz="4" w:space="0"/>
            </w:tcBorders>
            <w:noWrap/>
          </w:tcPr>
          <w:p w14:paraId="4892BE4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14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081EA9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310A91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1ABDC6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</w:tcBorders>
            <w:noWrap/>
          </w:tcPr>
          <w:p w14:paraId="41ACCEE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581" w:type="pct"/>
            <w:tcBorders>
              <w:top w:val="single" w:color="auto" w:sz="4" w:space="0"/>
            </w:tcBorders>
            <w:noWrap/>
          </w:tcPr>
          <w:p w14:paraId="1D8A3A9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1.05</w:t>
            </w:r>
          </w:p>
        </w:tc>
        <w:tc>
          <w:tcPr>
            <w:tcW w:w="303" w:type="pct"/>
            <w:tcBorders>
              <w:top w:val="single" w:color="auto" w:sz="4" w:space="0"/>
            </w:tcBorders>
            <w:noWrap/>
          </w:tcPr>
          <w:p w14:paraId="26BED17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single" w:color="auto" w:sz="4" w:space="0"/>
            </w:tcBorders>
            <w:noWrap/>
          </w:tcPr>
          <w:p w14:paraId="5AF779B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444" w:type="pct"/>
            <w:tcBorders>
              <w:top w:val="single" w:color="auto" w:sz="4" w:space="0"/>
            </w:tcBorders>
            <w:noWrap/>
          </w:tcPr>
          <w:p w14:paraId="6304614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32" w:type="pct"/>
            <w:tcBorders>
              <w:top w:val="single" w:color="auto" w:sz="4" w:space="0"/>
            </w:tcBorders>
            <w:noWrap/>
          </w:tcPr>
          <w:p w14:paraId="46155BF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tcBorders>
              <w:top w:val="single" w:color="auto" w:sz="4" w:space="0"/>
            </w:tcBorders>
            <w:noWrap/>
          </w:tcPr>
          <w:p w14:paraId="3A14C2C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332" w:type="pct"/>
            <w:tcBorders>
              <w:top w:val="single" w:color="auto" w:sz="4" w:space="0"/>
            </w:tcBorders>
            <w:noWrap/>
          </w:tcPr>
          <w:p w14:paraId="4981FC6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1.05</w:t>
            </w:r>
          </w:p>
        </w:tc>
      </w:tr>
      <w:tr w14:paraId="2E19B5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7D6796D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Osmolarity</w:t>
            </w:r>
          </w:p>
        </w:tc>
        <w:tc>
          <w:tcPr>
            <w:tcW w:w="581" w:type="pct"/>
            <w:noWrap/>
          </w:tcPr>
          <w:p w14:paraId="0A138E2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1.99</w:t>
            </w:r>
          </w:p>
        </w:tc>
        <w:tc>
          <w:tcPr>
            <w:tcW w:w="303" w:type="pct"/>
            <w:noWrap/>
          </w:tcPr>
          <w:p w14:paraId="5F1E9D6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noWrap/>
          </w:tcPr>
          <w:p w14:paraId="2B4231C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Cerebrovascular </w:t>
            </w:r>
          </w:p>
        </w:tc>
        <w:tc>
          <w:tcPr>
            <w:tcW w:w="444" w:type="pct"/>
            <w:noWrap/>
          </w:tcPr>
          <w:p w14:paraId="257CB2E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1.49</w:t>
            </w:r>
          </w:p>
        </w:tc>
        <w:tc>
          <w:tcPr>
            <w:tcW w:w="332" w:type="pct"/>
            <w:noWrap/>
          </w:tcPr>
          <w:p w14:paraId="65B16F1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3BE81B5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32" w:type="pct"/>
            <w:noWrap/>
          </w:tcPr>
          <w:p w14:paraId="526CAC4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</w:t>
            </w:r>
          </w:p>
        </w:tc>
      </w:tr>
      <w:tr w14:paraId="2D814F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2B5882F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581" w:type="pct"/>
            <w:noWrap/>
          </w:tcPr>
          <w:p w14:paraId="7DA4925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303" w:type="pct"/>
            <w:noWrap/>
          </w:tcPr>
          <w:p w14:paraId="297D862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noWrap/>
          </w:tcPr>
          <w:p w14:paraId="2D8F33A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Cardiovascular </w:t>
            </w:r>
          </w:p>
        </w:tc>
        <w:tc>
          <w:tcPr>
            <w:tcW w:w="444" w:type="pct"/>
            <w:noWrap/>
          </w:tcPr>
          <w:p w14:paraId="69BD66E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1.18</w:t>
            </w:r>
          </w:p>
        </w:tc>
        <w:tc>
          <w:tcPr>
            <w:tcW w:w="332" w:type="pct"/>
            <w:noWrap/>
          </w:tcPr>
          <w:p w14:paraId="56DFB98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2221B8E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332" w:type="pct"/>
            <w:noWrap/>
          </w:tcPr>
          <w:p w14:paraId="02C07CD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1.22</w:t>
            </w:r>
          </w:p>
        </w:tc>
      </w:tr>
      <w:tr w14:paraId="6F13E3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54D462E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581" w:type="pct"/>
            <w:noWrap/>
          </w:tcPr>
          <w:p w14:paraId="72E2401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3.42</w:t>
            </w:r>
          </w:p>
        </w:tc>
        <w:tc>
          <w:tcPr>
            <w:tcW w:w="303" w:type="pct"/>
            <w:noWrap/>
          </w:tcPr>
          <w:p w14:paraId="22B8E2E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noWrap/>
          </w:tcPr>
          <w:p w14:paraId="6CC23B0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444" w:type="pct"/>
            <w:noWrap/>
          </w:tcPr>
          <w:p w14:paraId="725E5E1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1.19</w:t>
            </w:r>
          </w:p>
        </w:tc>
        <w:tc>
          <w:tcPr>
            <w:tcW w:w="332" w:type="pct"/>
            <w:noWrap/>
          </w:tcPr>
          <w:p w14:paraId="34E9E7A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294D8D2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332" w:type="pct"/>
            <w:noWrap/>
          </w:tcPr>
          <w:p w14:paraId="1F2BD19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1.18</w:t>
            </w:r>
          </w:p>
        </w:tc>
      </w:tr>
      <w:tr w14:paraId="24F75C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68FDEE1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PaCO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581" w:type="pct"/>
            <w:noWrap/>
          </w:tcPr>
          <w:p w14:paraId="70A4A91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03" w:type="pct"/>
            <w:noWrap/>
          </w:tcPr>
          <w:p w14:paraId="490641C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noWrap/>
          </w:tcPr>
          <w:p w14:paraId="77F8FB4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444" w:type="pct"/>
            <w:noWrap/>
          </w:tcPr>
          <w:p w14:paraId="25CBC32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1.31</w:t>
            </w:r>
          </w:p>
        </w:tc>
        <w:tc>
          <w:tcPr>
            <w:tcW w:w="332" w:type="pct"/>
            <w:noWrap/>
          </w:tcPr>
          <w:p w14:paraId="23CC59E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3BAD679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54CBAEA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918ED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40B14B5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/FiO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581" w:type="pct"/>
            <w:noWrap/>
          </w:tcPr>
          <w:p w14:paraId="6CA535E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F0515C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910E5B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Hypoproteinemia</w:t>
            </w:r>
          </w:p>
        </w:tc>
        <w:tc>
          <w:tcPr>
            <w:tcW w:w="444" w:type="pct"/>
            <w:noWrap/>
          </w:tcPr>
          <w:p w14:paraId="3848489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332" w:type="pct"/>
            <w:noWrap/>
          </w:tcPr>
          <w:p w14:paraId="3F22CC4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67BDBC2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1D91AFF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4BC9B3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4C49EBE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CPIS </w:t>
            </w:r>
          </w:p>
        </w:tc>
        <w:tc>
          <w:tcPr>
            <w:tcW w:w="581" w:type="pct"/>
            <w:noWrap/>
          </w:tcPr>
          <w:p w14:paraId="4AEBC5F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30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3F818A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216BF1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444" w:type="pct"/>
            <w:noWrap/>
          </w:tcPr>
          <w:p w14:paraId="4DAEBDA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1.01</w:t>
            </w:r>
          </w:p>
        </w:tc>
        <w:tc>
          <w:tcPr>
            <w:tcW w:w="332" w:type="pct"/>
            <w:noWrap/>
          </w:tcPr>
          <w:p w14:paraId="1EEEECC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32D5254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4ACA3E6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23F1BC8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13FA7E9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aCCI</w:t>
            </w:r>
          </w:p>
        </w:tc>
        <w:tc>
          <w:tcPr>
            <w:tcW w:w="581" w:type="pct"/>
            <w:noWrap/>
          </w:tcPr>
          <w:p w14:paraId="0BD75A8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303" w:type="pct"/>
            <w:noWrap/>
          </w:tcPr>
          <w:p w14:paraId="3866EB3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noWrap/>
          </w:tcPr>
          <w:p w14:paraId="5D1A4C8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noWrap/>
          </w:tcPr>
          <w:p w14:paraId="684C76E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61C88B7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noWrap/>
          </w:tcPr>
          <w:p w14:paraId="7BEF568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7419FC5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651333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bottom w:val="single" w:color="auto" w:sz="4" w:space="0"/>
            </w:tcBorders>
            <w:noWrap/>
          </w:tcPr>
          <w:p w14:paraId="0BD9EEF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MAP </w:t>
            </w:r>
          </w:p>
        </w:tc>
        <w:tc>
          <w:tcPr>
            <w:tcW w:w="581" w:type="pct"/>
            <w:tcBorders>
              <w:bottom w:val="single" w:color="auto" w:sz="4" w:space="0"/>
            </w:tcBorders>
            <w:noWrap/>
          </w:tcPr>
          <w:p w14:paraId="42B2545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303" w:type="pct"/>
            <w:tcBorders>
              <w:bottom w:val="single" w:color="auto" w:sz="4" w:space="0"/>
            </w:tcBorders>
            <w:noWrap/>
          </w:tcPr>
          <w:p w14:paraId="41332C5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120" w:type="pct"/>
            <w:tcBorders>
              <w:bottom w:val="single" w:color="auto" w:sz="4" w:space="0"/>
            </w:tcBorders>
            <w:noWrap/>
          </w:tcPr>
          <w:p w14:paraId="7BD9B69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4" w:type="pct"/>
            <w:tcBorders>
              <w:bottom w:val="single" w:color="auto" w:sz="4" w:space="0"/>
            </w:tcBorders>
            <w:noWrap/>
          </w:tcPr>
          <w:p w14:paraId="0A4B7BD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0B70D13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14" w:type="pct"/>
            <w:tcBorders>
              <w:bottom w:val="single" w:color="auto" w:sz="4" w:space="0"/>
            </w:tcBorders>
            <w:noWrap/>
          </w:tcPr>
          <w:p w14:paraId="03AC078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121C5C7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bookmarkEnd w:id="3"/>
    </w:tbl>
    <w:p w14:paraId="134BBE0A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bbreviations:</w:t>
      </w:r>
      <w:r>
        <w:rPr>
          <w:rFonts w:hint="eastAsia" w:ascii="Times New Roman" w:hAnsi="Times New Roman" w:cs="Times New Roman"/>
          <w:sz w:val="20"/>
          <w:szCs w:val="20"/>
        </w:rPr>
        <w:t xml:space="preserve"> BMI: Body Mass Index; BUN: Blood Urea Nitrogen; PaCO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: Partial Pressure of Carbon Dioxide in Arterial Blood; SpO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/FiO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 xml:space="preserve"> ratio: Oxygen Saturation/Fraction of Inspired Oxygen Ratio; CPIS: Clinical Pulmonary Infection Score; aCCI: age-Adjusted Charlson Comorbidity Index; MAP: Mean Arterial Pressure.</w:t>
      </w:r>
    </w:p>
    <w:p w14:paraId="403E37CB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7751062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8" w:name="_Toc12411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3</w:t>
      </w:r>
      <w:r>
        <w:rPr>
          <w:rFonts w:hint="eastAsia" w:ascii="Times New Roman" w:hAnsi="Times New Roman" w:cs="Times New Roman"/>
          <w:sz w:val="20"/>
          <w:szCs w:val="20"/>
        </w:rPr>
        <w:t>: Testing for collinearity between Weight and Covariates.</w:t>
      </w:r>
      <w:bookmarkEnd w:id="8"/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981"/>
        <w:gridCol w:w="820"/>
        <w:gridCol w:w="1616"/>
        <w:gridCol w:w="1096"/>
        <w:gridCol w:w="384"/>
        <w:gridCol w:w="1572"/>
        <w:gridCol w:w="566"/>
      </w:tblGrid>
      <w:tr w14:paraId="3A4B0CA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46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11027AA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2</w:t>
            </w:r>
          </w:p>
        </w:tc>
        <w:tc>
          <w:tcPr>
            <w:tcW w:w="481" w:type="pct"/>
            <w:vMerge w:val="restart"/>
            <w:tcBorders>
              <w:top w:val="single" w:color="auto" w:sz="4" w:space="0"/>
            </w:tcBorders>
            <w:noWrap/>
          </w:tcPr>
          <w:p w14:paraId="3474BF2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591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7277C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3</w:t>
            </w:r>
          </w:p>
        </w:tc>
        <w:tc>
          <w:tcPr>
            <w:tcW w:w="225" w:type="pct"/>
            <w:vMerge w:val="restart"/>
            <w:tcBorders>
              <w:top w:val="single" w:color="auto" w:sz="4" w:space="0"/>
            </w:tcBorders>
            <w:noWrap/>
          </w:tcPr>
          <w:p w14:paraId="0CCA577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54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0DD712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1</w:t>
            </w:r>
          </w:p>
        </w:tc>
      </w:tr>
      <w:tr w14:paraId="50141A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6C307B6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57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AFB862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481" w:type="pct"/>
            <w:vMerge w:val="continue"/>
            <w:tcBorders>
              <w:bottom w:val="single" w:color="auto" w:sz="4" w:space="0"/>
            </w:tcBorders>
            <w:noWrap/>
          </w:tcPr>
          <w:p w14:paraId="531B49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E5718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643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E5E7F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225" w:type="pct"/>
            <w:vMerge w:val="continue"/>
            <w:tcBorders>
              <w:bottom w:val="single" w:color="auto" w:sz="4" w:space="0"/>
            </w:tcBorders>
            <w:noWrap/>
          </w:tcPr>
          <w:p w14:paraId="4243C4B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2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A4D6E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7A13FA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36EBE3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</w:tcBorders>
            <w:noWrap/>
          </w:tcPr>
          <w:p w14:paraId="2E468DE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BDD91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1.04</w:t>
            </w:r>
          </w:p>
        </w:tc>
        <w:tc>
          <w:tcPr>
            <w:tcW w:w="481" w:type="pct"/>
            <w:tcBorders>
              <w:top w:val="single" w:color="auto" w:sz="4" w:space="0"/>
            </w:tcBorders>
            <w:noWrap/>
          </w:tcPr>
          <w:p w14:paraId="5E04205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single" w:color="auto" w:sz="4" w:space="0"/>
            </w:tcBorders>
            <w:noWrap/>
          </w:tcPr>
          <w:p w14:paraId="053F085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E301DD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225" w:type="pct"/>
            <w:tcBorders>
              <w:top w:val="single" w:color="auto" w:sz="4" w:space="0"/>
            </w:tcBorders>
            <w:noWrap/>
          </w:tcPr>
          <w:p w14:paraId="61016FB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tcBorders>
              <w:top w:val="single" w:color="auto" w:sz="4" w:space="0"/>
            </w:tcBorders>
            <w:noWrap/>
          </w:tcPr>
          <w:p w14:paraId="76F697D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2B73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</w:tr>
      <w:tr w14:paraId="5CD1D2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12948E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Osmolarity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2FCC6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1.97</w:t>
            </w:r>
          </w:p>
        </w:tc>
        <w:tc>
          <w:tcPr>
            <w:tcW w:w="481" w:type="pct"/>
            <w:noWrap/>
          </w:tcPr>
          <w:p w14:paraId="3B0057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0CC0EA6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Cerebrovascular 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FEC3AB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225" w:type="pct"/>
            <w:noWrap/>
          </w:tcPr>
          <w:p w14:paraId="21E4904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04966B0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993F9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</w:t>
            </w:r>
          </w:p>
        </w:tc>
      </w:tr>
      <w:tr w14:paraId="6AB8231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78828C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568E6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2.05</w:t>
            </w:r>
          </w:p>
        </w:tc>
        <w:tc>
          <w:tcPr>
            <w:tcW w:w="481" w:type="pct"/>
            <w:noWrap/>
          </w:tcPr>
          <w:p w14:paraId="32CE54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6AA110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Cardiovascular 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EFDE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25" w:type="pct"/>
            <w:noWrap/>
          </w:tcPr>
          <w:p w14:paraId="7D3F74A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703274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A9D970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1.31</w:t>
            </w:r>
          </w:p>
        </w:tc>
      </w:tr>
      <w:tr w14:paraId="0A8EDBE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3526F5A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AA1E3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3.38</w:t>
            </w:r>
          </w:p>
        </w:tc>
        <w:tc>
          <w:tcPr>
            <w:tcW w:w="481" w:type="pct"/>
            <w:noWrap/>
          </w:tcPr>
          <w:p w14:paraId="3843829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43571AE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B0A6D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225" w:type="pct"/>
            <w:noWrap/>
          </w:tcPr>
          <w:p w14:paraId="76D2A28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36FEC2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68154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1.17</w:t>
            </w:r>
          </w:p>
        </w:tc>
      </w:tr>
      <w:tr w14:paraId="5ED8A88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25976F3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PaCO2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921D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481" w:type="pct"/>
            <w:noWrap/>
          </w:tcPr>
          <w:p w14:paraId="477D15C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2990B0C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DAA80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225" w:type="pct"/>
            <w:noWrap/>
          </w:tcPr>
          <w:p w14:paraId="5FAF3AB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34C67B0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29D8023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09EAE0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38C538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/FiO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07069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1.5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81290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595402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Hypoproteinemia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9C9E0F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225" w:type="pct"/>
            <w:noWrap/>
          </w:tcPr>
          <w:p w14:paraId="400726A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6A4FE4D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03C3CF0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45D8379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12AC5EE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CPIS </w:t>
            </w:r>
          </w:p>
        </w:tc>
        <w:tc>
          <w:tcPr>
            <w:tcW w:w="57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C2088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481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12CBE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3CE14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64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0312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225" w:type="pct"/>
            <w:noWrap/>
          </w:tcPr>
          <w:p w14:paraId="3432337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512A077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0AB466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E93B17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12D8638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aCCI</w:t>
            </w:r>
          </w:p>
        </w:tc>
        <w:tc>
          <w:tcPr>
            <w:tcW w:w="57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126F38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1.14</w:t>
            </w:r>
          </w:p>
        </w:tc>
        <w:tc>
          <w:tcPr>
            <w:tcW w:w="481" w:type="pct"/>
            <w:noWrap/>
          </w:tcPr>
          <w:p w14:paraId="1A7D59C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42DCBC6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pct"/>
            <w:noWrap/>
          </w:tcPr>
          <w:p w14:paraId="4E57422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noWrap/>
          </w:tcPr>
          <w:p w14:paraId="6DCAFC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pct"/>
            <w:noWrap/>
          </w:tcPr>
          <w:p w14:paraId="25E2B1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667A582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D307E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bottom w:val="single" w:color="auto" w:sz="4" w:space="0"/>
            </w:tcBorders>
            <w:noWrap/>
          </w:tcPr>
          <w:p w14:paraId="030C2D6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MAP </w:t>
            </w:r>
          </w:p>
        </w:tc>
        <w:tc>
          <w:tcPr>
            <w:tcW w:w="57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05357B3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481" w:type="pct"/>
            <w:tcBorders>
              <w:bottom w:val="single" w:color="auto" w:sz="4" w:space="0"/>
            </w:tcBorders>
            <w:noWrap/>
          </w:tcPr>
          <w:p w14:paraId="52A143A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48" w:type="pct"/>
            <w:tcBorders>
              <w:bottom w:val="single" w:color="auto" w:sz="4" w:space="0"/>
            </w:tcBorders>
            <w:noWrap/>
          </w:tcPr>
          <w:p w14:paraId="4DCAFD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3" w:type="pct"/>
            <w:tcBorders>
              <w:bottom w:val="single" w:color="auto" w:sz="4" w:space="0"/>
            </w:tcBorders>
            <w:noWrap/>
          </w:tcPr>
          <w:p w14:paraId="4599DE4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5" w:type="pct"/>
            <w:tcBorders>
              <w:bottom w:val="single" w:color="auto" w:sz="4" w:space="0"/>
            </w:tcBorders>
            <w:noWrap/>
          </w:tcPr>
          <w:p w14:paraId="4B465F5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22" w:type="pct"/>
            <w:tcBorders>
              <w:bottom w:val="single" w:color="auto" w:sz="4" w:space="0"/>
            </w:tcBorders>
            <w:noWrap/>
          </w:tcPr>
          <w:p w14:paraId="40FEC09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30F3347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</w:tbl>
    <w:p w14:paraId="7FBAC827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bbreviations:</w:t>
      </w:r>
      <w:r>
        <w:rPr>
          <w:rFonts w:hint="eastAsia" w:ascii="Times New Roman" w:hAnsi="Times New Roman" w:cs="Times New Roman"/>
          <w:sz w:val="20"/>
          <w:szCs w:val="20"/>
        </w:rPr>
        <w:t xml:space="preserve"> BMI: Body Mass Index; BUN: Blood Urea Nitrogen; PaCO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: Partial Pressure of Carbon Dioxide in Arterial Blood; SpO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/FiO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 xml:space="preserve"> ratio: Oxygen Saturation/Fraction of Inspired Oxygen Ratio; CPIS: Clinical Pulmonary Infection Score; aCCI: age-Adjusted Charlson Comorbidity Index; MAP: Mean Arterial Pressure.</w:t>
      </w:r>
    </w:p>
    <w:p w14:paraId="3B7FA107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9FDCBA7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9" w:name="_Toc11871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4</w:t>
      </w:r>
      <w:r>
        <w:rPr>
          <w:rFonts w:hint="eastAsia" w:ascii="Times New Roman" w:hAnsi="Times New Roman" w:cs="Times New Roman"/>
          <w:sz w:val="20"/>
          <w:szCs w:val="20"/>
        </w:rPr>
        <w:t>: Testing for collinearity between WBFM and Covariates.</w:t>
      </w:r>
      <w:bookmarkEnd w:id="9"/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567"/>
        <w:gridCol w:w="1235"/>
        <w:gridCol w:w="1616"/>
        <w:gridCol w:w="566"/>
        <w:gridCol w:w="1277"/>
        <w:gridCol w:w="1208"/>
        <w:gridCol w:w="566"/>
      </w:tblGrid>
      <w:tr w14:paraId="4352CA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203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487AB7A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2</w:t>
            </w:r>
          </w:p>
        </w:tc>
        <w:tc>
          <w:tcPr>
            <w:tcW w:w="725" w:type="pct"/>
            <w:tcBorders>
              <w:top w:val="single" w:color="auto" w:sz="4" w:space="0"/>
            </w:tcBorders>
            <w:noWrap/>
          </w:tcPr>
          <w:p w14:paraId="2536831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280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6E3A64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3</w:t>
            </w:r>
          </w:p>
        </w:tc>
        <w:tc>
          <w:tcPr>
            <w:tcW w:w="749" w:type="pct"/>
            <w:tcBorders>
              <w:top w:val="single" w:color="auto" w:sz="4" w:space="0"/>
            </w:tcBorders>
            <w:noWrap/>
          </w:tcPr>
          <w:p w14:paraId="4CC56F5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41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66DF4B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1</w:t>
            </w:r>
          </w:p>
        </w:tc>
      </w:tr>
      <w:tr w14:paraId="0D558F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A2CBAA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101403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725" w:type="pct"/>
            <w:tcBorders>
              <w:bottom w:val="single" w:color="auto" w:sz="4" w:space="0"/>
            </w:tcBorders>
            <w:noWrap/>
          </w:tcPr>
          <w:p w14:paraId="734BC43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809EDA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FEFE25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749" w:type="pct"/>
            <w:tcBorders>
              <w:bottom w:val="single" w:color="auto" w:sz="4" w:space="0"/>
            </w:tcBorders>
            <w:noWrap/>
          </w:tcPr>
          <w:p w14:paraId="2063AF2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0C9DB9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6AF9D46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01EEDA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</w:tcBorders>
            <w:noWrap/>
          </w:tcPr>
          <w:p w14:paraId="2667D67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WBFM</w:t>
            </w:r>
          </w:p>
        </w:tc>
        <w:tc>
          <w:tcPr>
            <w:tcW w:w="332" w:type="pct"/>
            <w:tcBorders>
              <w:top w:val="single" w:color="auto" w:sz="4" w:space="0"/>
            </w:tcBorders>
            <w:noWrap/>
          </w:tcPr>
          <w:p w14:paraId="789C5ED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1.04</w:t>
            </w:r>
          </w:p>
        </w:tc>
        <w:tc>
          <w:tcPr>
            <w:tcW w:w="725" w:type="pct"/>
            <w:tcBorders>
              <w:top w:val="single" w:color="auto" w:sz="4" w:space="0"/>
            </w:tcBorders>
            <w:noWrap/>
          </w:tcPr>
          <w:p w14:paraId="71FB66D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single" w:color="auto" w:sz="4" w:space="0"/>
            </w:tcBorders>
            <w:noWrap/>
          </w:tcPr>
          <w:p w14:paraId="21F01BE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WBFM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6A474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49" w:type="pct"/>
            <w:tcBorders>
              <w:top w:val="single" w:color="auto" w:sz="4" w:space="0"/>
            </w:tcBorders>
            <w:noWrap/>
          </w:tcPr>
          <w:p w14:paraId="4D74923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tcBorders>
              <w:top w:val="single" w:color="auto" w:sz="4" w:space="0"/>
            </w:tcBorders>
            <w:noWrap/>
          </w:tcPr>
          <w:p w14:paraId="6F3C4B2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WBFM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1BD60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2.53</w:t>
            </w:r>
          </w:p>
        </w:tc>
      </w:tr>
      <w:tr w14:paraId="680C92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432F38C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Osmolarity</w:t>
            </w:r>
          </w:p>
        </w:tc>
        <w:tc>
          <w:tcPr>
            <w:tcW w:w="332" w:type="pct"/>
            <w:noWrap/>
          </w:tcPr>
          <w:p w14:paraId="05A1016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1.98</w:t>
            </w:r>
          </w:p>
        </w:tc>
        <w:tc>
          <w:tcPr>
            <w:tcW w:w="725" w:type="pct"/>
            <w:noWrap/>
          </w:tcPr>
          <w:p w14:paraId="6D96B9E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0CBFD39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Cerebrovascular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25156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749" w:type="pct"/>
            <w:noWrap/>
          </w:tcPr>
          <w:p w14:paraId="43E0F4A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47B3108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B8E959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</w:t>
            </w:r>
          </w:p>
        </w:tc>
      </w:tr>
      <w:tr w14:paraId="76F15E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4569768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332" w:type="pct"/>
            <w:noWrap/>
          </w:tcPr>
          <w:p w14:paraId="79F4022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2.06</w:t>
            </w:r>
          </w:p>
        </w:tc>
        <w:tc>
          <w:tcPr>
            <w:tcW w:w="725" w:type="pct"/>
            <w:noWrap/>
          </w:tcPr>
          <w:p w14:paraId="35D0B2A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2102D94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Cardiovascular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5717B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749" w:type="pct"/>
            <w:noWrap/>
          </w:tcPr>
          <w:p w14:paraId="663E456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7934CE6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9DEE48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2.78</w:t>
            </w:r>
          </w:p>
        </w:tc>
      </w:tr>
      <w:tr w14:paraId="23BA0B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24B4675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332" w:type="pct"/>
            <w:noWrap/>
          </w:tcPr>
          <w:p w14:paraId="37EE12C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3.43</w:t>
            </w:r>
          </w:p>
        </w:tc>
        <w:tc>
          <w:tcPr>
            <w:tcW w:w="725" w:type="pct"/>
            <w:noWrap/>
          </w:tcPr>
          <w:p w14:paraId="1F38410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43526A4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BC307E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749" w:type="pct"/>
            <w:noWrap/>
          </w:tcPr>
          <w:p w14:paraId="6C7A773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1413A71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FD628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</w:tr>
      <w:tr w14:paraId="54C55BD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3354E60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PaCO2</w:t>
            </w:r>
          </w:p>
        </w:tc>
        <w:tc>
          <w:tcPr>
            <w:tcW w:w="332" w:type="pct"/>
            <w:noWrap/>
          </w:tcPr>
          <w:p w14:paraId="5B0A8D4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1.02</w:t>
            </w:r>
          </w:p>
        </w:tc>
        <w:tc>
          <w:tcPr>
            <w:tcW w:w="725" w:type="pct"/>
            <w:noWrap/>
          </w:tcPr>
          <w:p w14:paraId="5523B9B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3EDB206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77FFE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749" w:type="pct"/>
            <w:noWrap/>
          </w:tcPr>
          <w:p w14:paraId="1B3658D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2E9FFEB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3F91BB2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C51888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326172C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/FiO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332" w:type="pct"/>
            <w:noWrap/>
          </w:tcPr>
          <w:p w14:paraId="5F7CA85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1.5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F6D081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C53C57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Hypoproteinemia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4CC0DB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749" w:type="pct"/>
            <w:noWrap/>
          </w:tcPr>
          <w:p w14:paraId="546A1CD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23E407E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002A92E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B0FA2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5EF02F4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CPIS </w:t>
            </w:r>
          </w:p>
        </w:tc>
        <w:tc>
          <w:tcPr>
            <w:tcW w:w="332" w:type="pct"/>
            <w:noWrap/>
          </w:tcPr>
          <w:p w14:paraId="3F52F63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1.43</w:t>
            </w:r>
          </w:p>
        </w:tc>
        <w:tc>
          <w:tcPr>
            <w:tcW w:w="725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228F549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6CBD392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24699C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749" w:type="pct"/>
            <w:noWrap/>
          </w:tcPr>
          <w:p w14:paraId="5BE67AE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501ADB3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3C25392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6D207D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21C6E9B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aCCI</w:t>
            </w:r>
          </w:p>
        </w:tc>
        <w:tc>
          <w:tcPr>
            <w:tcW w:w="332" w:type="pct"/>
            <w:noWrap/>
          </w:tcPr>
          <w:p w14:paraId="6700D3F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1.13</w:t>
            </w:r>
          </w:p>
        </w:tc>
        <w:tc>
          <w:tcPr>
            <w:tcW w:w="725" w:type="pct"/>
            <w:noWrap/>
          </w:tcPr>
          <w:p w14:paraId="5871EE9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noWrap/>
          </w:tcPr>
          <w:p w14:paraId="71FB44E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29A5CC5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  <w:noWrap/>
          </w:tcPr>
          <w:p w14:paraId="5F52910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noWrap/>
          </w:tcPr>
          <w:p w14:paraId="3A3B56B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45FBEF8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0E56A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bottom w:val="single" w:color="auto" w:sz="4" w:space="0"/>
            </w:tcBorders>
            <w:noWrap/>
          </w:tcPr>
          <w:p w14:paraId="126C731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MAP </w:t>
            </w: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6587093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1.03</w:t>
            </w:r>
          </w:p>
        </w:tc>
        <w:tc>
          <w:tcPr>
            <w:tcW w:w="725" w:type="pct"/>
            <w:tcBorders>
              <w:bottom w:val="single" w:color="auto" w:sz="4" w:space="0"/>
            </w:tcBorders>
            <w:noWrap/>
          </w:tcPr>
          <w:p w14:paraId="3EF2F98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48" w:type="pct"/>
            <w:tcBorders>
              <w:bottom w:val="single" w:color="auto" w:sz="4" w:space="0"/>
            </w:tcBorders>
            <w:noWrap/>
          </w:tcPr>
          <w:p w14:paraId="62823CA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1BB5214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9" w:type="pct"/>
            <w:tcBorders>
              <w:bottom w:val="single" w:color="auto" w:sz="4" w:space="0"/>
            </w:tcBorders>
            <w:noWrap/>
          </w:tcPr>
          <w:p w14:paraId="4030AC0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pct"/>
            <w:tcBorders>
              <w:bottom w:val="single" w:color="auto" w:sz="4" w:space="0"/>
            </w:tcBorders>
            <w:noWrap/>
          </w:tcPr>
          <w:p w14:paraId="149F38F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08FA889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</w:tbl>
    <w:p w14:paraId="660EC27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bbreviations:</w:t>
      </w:r>
      <w:r>
        <w:rPr>
          <w:rFonts w:hint="eastAsia" w:ascii="Times New Roman" w:hAnsi="Times New Roman" w:cs="Times New Roman"/>
          <w:sz w:val="20"/>
          <w:szCs w:val="20"/>
        </w:rPr>
        <w:t xml:space="preserve"> BMI: Body Mass Index; BUN: Blood Urea Nitrogen; PaCO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: Partial Pressure of Carbon Dioxide in Arterial Blood; SpO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/FiO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 xml:space="preserve"> ratio: Oxygen Saturation/Fraction of Inspired Oxygen Ratio; CPIS: Clinical Pulmonary Infection Score; aCCI: age-Adjusted Charlson Comorbidity Index; MAP: Mean Arterial Pressure.</w:t>
      </w:r>
    </w:p>
    <w:p w14:paraId="371393B9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6C7B6D32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10" w:name="_Toc22522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5</w:t>
      </w:r>
      <w:r>
        <w:rPr>
          <w:rFonts w:hint="eastAsia" w:ascii="Times New Roman" w:hAnsi="Times New Roman" w:cs="Times New Roman"/>
          <w:sz w:val="20"/>
          <w:szCs w:val="20"/>
        </w:rPr>
        <w:t>: Testing for collinearity between BMR and Covariates.</w:t>
      </w:r>
      <w:bookmarkEnd w:id="10"/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566"/>
        <w:gridCol w:w="1207"/>
        <w:gridCol w:w="1616"/>
        <w:gridCol w:w="566"/>
        <w:gridCol w:w="1249"/>
        <w:gridCol w:w="1265"/>
        <w:gridCol w:w="566"/>
      </w:tblGrid>
      <w:tr w14:paraId="3FB0D3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978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56190ED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2</w:t>
            </w:r>
          </w:p>
        </w:tc>
        <w:tc>
          <w:tcPr>
            <w:tcW w:w="983" w:type="pct"/>
            <w:tcBorders>
              <w:top w:val="single" w:color="auto" w:sz="4" w:space="0"/>
            </w:tcBorders>
            <w:noWrap/>
          </w:tcPr>
          <w:p w14:paraId="0BB6C93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2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A5A91A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3</w:t>
            </w:r>
          </w:p>
        </w:tc>
        <w:tc>
          <w:tcPr>
            <w:tcW w:w="1007" w:type="pct"/>
            <w:tcBorders>
              <w:top w:val="single" w:color="auto" w:sz="4" w:space="0"/>
            </w:tcBorders>
            <w:noWrap/>
          </w:tcPr>
          <w:p w14:paraId="4E160CB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7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1F92040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1</w:t>
            </w:r>
          </w:p>
        </w:tc>
      </w:tr>
      <w:tr w14:paraId="458DFB6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DA39C9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83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8BAAB1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983" w:type="pct"/>
            <w:tcBorders>
              <w:bottom w:val="single" w:color="auto" w:sz="4" w:space="0"/>
            </w:tcBorders>
            <w:noWrap/>
          </w:tcPr>
          <w:p w14:paraId="1D59C09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C4161C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351B8E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1007" w:type="pct"/>
            <w:tcBorders>
              <w:bottom w:val="single" w:color="auto" w:sz="4" w:space="0"/>
            </w:tcBorders>
            <w:noWrap/>
          </w:tcPr>
          <w:p w14:paraId="44F5C39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12F886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790B57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67DE339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tcBorders>
              <w:top w:val="single" w:color="auto" w:sz="4" w:space="0"/>
            </w:tcBorders>
            <w:noWrap/>
          </w:tcPr>
          <w:p w14:paraId="72F29D9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BMR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93CD3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3" w:type="pct"/>
            <w:tcBorders>
              <w:top w:val="single" w:color="auto" w:sz="4" w:space="0"/>
            </w:tcBorders>
            <w:noWrap/>
          </w:tcPr>
          <w:p w14:paraId="0C33657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color="auto" w:sz="4" w:space="0"/>
            </w:tcBorders>
            <w:noWrap/>
          </w:tcPr>
          <w:p w14:paraId="2135B03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BMR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3B729D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07" w:type="pct"/>
            <w:tcBorders>
              <w:top w:val="single" w:color="auto" w:sz="4" w:space="0"/>
            </w:tcBorders>
            <w:noWrap/>
          </w:tcPr>
          <w:p w14:paraId="776D819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color="auto" w:sz="4" w:space="0"/>
            </w:tcBorders>
            <w:noWrap/>
          </w:tcPr>
          <w:p w14:paraId="44CE005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BMR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EFE98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3.21</w:t>
            </w:r>
          </w:p>
        </w:tc>
      </w:tr>
      <w:tr w14:paraId="4FD7C03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526ECC8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Osmolarity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FA91D3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983" w:type="pct"/>
            <w:noWrap/>
          </w:tcPr>
          <w:p w14:paraId="1A8ECE5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15D401A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Cerebrovascular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15068F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007" w:type="pct"/>
            <w:noWrap/>
          </w:tcPr>
          <w:p w14:paraId="50434DD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04D7AAE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C3BA8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</w:t>
            </w:r>
          </w:p>
        </w:tc>
      </w:tr>
      <w:tr w14:paraId="236C93D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22F6D40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30F1A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983" w:type="pct"/>
            <w:noWrap/>
          </w:tcPr>
          <w:p w14:paraId="3F704A8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5AB356B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Cardiovascular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D130D4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07" w:type="pct"/>
            <w:noWrap/>
          </w:tcPr>
          <w:p w14:paraId="35FE66F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4EF1A30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7091B6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3.27</w:t>
            </w:r>
          </w:p>
        </w:tc>
      </w:tr>
      <w:tr w14:paraId="097945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1771322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C9E6DE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3.39</w:t>
            </w:r>
          </w:p>
        </w:tc>
        <w:tc>
          <w:tcPr>
            <w:tcW w:w="983" w:type="pct"/>
            <w:noWrap/>
          </w:tcPr>
          <w:p w14:paraId="76B8D04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14EAAE9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391DA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07" w:type="pct"/>
            <w:noWrap/>
          </w:tcPr>
          <w:p w14:paraId="7F3197C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4C32F24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9861FA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1.17</w:t>
            </w:r>
          </w:p>
        </w:tc>
      </w:tr>
      <w:tr w14:paraId="1C82FAD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0C7B688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PaCO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56643C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83" w:type="pct"/>
            <w:noWrap/>
          </w:tcPr>
          <w:p w14:paraId="3FA3E04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6F424A3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D25C04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1007" w:type="pct"/>
            <w:noWrap/>
          </w:tcPr>
          <w:p w14:paraId="20D39B8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36FE861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2C88F09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2072802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67DEF5F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/FiO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8E93A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459D75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BC2DA0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Hypoproteinemia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D3374F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07" w:type="pct"/>
            <w:noWrap/>
          </w:tcPr>
          <w:p w14:paraId="0D02DB1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20D30A1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73084CA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12D9EC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63AA78C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CPIS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E8881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1B5128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CB9C8B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E56506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07" w:type="pct"/>
            <w:noWrap/>
          </w:tcPr>
          <w:p w14:paraId="407D7D4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6A5871C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3F78A83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6B01338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4D52858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aCCI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71DA3BA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983" w:type="pct"/>
            <w:noWrap/>
          </w:tcPr>
          <w:p w14:paraId="7AC8987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1C2BBEC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1E157F7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pct"/>
            <w:noWrap/>
          </w:tcPr>
          <w:p w14:paraId="38FBF17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3DB03DC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34D503D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57B3B8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tcBorders>
              <w:bottom w:val="single" w:color="auto" w:sz="4" w:space="0"/>
            </w:tcBorders>
            <w:noWrap/>
          </w:tcPr>
          <w:p w14:paraId="2821EB5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MAP 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384EAF8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83" w:type="pct"/>
            <w:tcBorders>
              <w:bottom w:val="single" w:color="auto" w:sz="4" w:space="0"/>
            </w:tcBorders>
            <w:noWrap/>
          </w:tcPr>
          <w:p w14:paraId="57E42A8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bottom w:val="single" w:color="auto" w:sz="4" w:space="0"/>
            </w:tcBorders>
            <w:noWrap/>
          </w:tcPr>
          <w:p w14:paraId="3A5ADB3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bottom w:val="single" w:color="auto" w:sz="4" w:space="0"/>
            </w:tcBorders>
            <w:noWrap/>
          </w:tcPr>
          <w:p w14:paraId="4FDD233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color="auto" w:sz="4" w:space="0"/>
            </w:tcBorders>
            <w:noWrap/>
          </w:tcPr>
          <w:p w14:paraId="4218EA4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bottom w:val="single" w:color="auto" w:sz="4" w:space="0"/>
            </w:tcBorders>
            <w:noWrap/>
          </w:tcPr>
          <w:p w14:paraId="77FBAA9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bottom w:val="single" w:color="auto" w:sz="4" w:space="0"/>
            </w:tcBorders>
            <w:noWrap/>
          </w:tcPr>
          <w:p w14:paraId="7EFD550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</w:tbl>
    <w:p w14:paraId="34B6A0BD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bookmarkStart w:id="11" w:name="_Hlk174027177"/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bbreviations:</w:t>
      </w:r>
      <w:r>
        <w:rPr>
          <w:rFonts w:hint="eastAsia" w:ascii="Times New Roman" w:hAnsi="Times New Roman" w:cs="Times New Roman"/>
          <w:sz w:val="20"/>
          <w:szCs w:val="20"/>
        </w:rPr>
        <w:t xml:space="preserve"> BMI: Body Mass Index; BUN: Blood Urea Nitrogen; PaCO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: Partial Pressure of Carbon Dioxide in Arterial Blood; SpO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/FiO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 xml:space="preserve"> ratio: Oxygen Saturation/Fraction of Inspired Oxygen Ratio; CPIS: Clinical Pulmonary Infection Score; aCCI: age-Adjusted Charlson Comorbidity Index; MAP: Mean Arterial Pressure.</w:t>
      </w:r>
    </w:p>
    <w:p w14:paraId="6E67B05D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7FCA431F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12" w:name="_Toc19838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6</w:t>
      </w:r>
      <w:r>
        <w:rPr>
          <w:rFonts w:hint="eastAsia" w:ascii="Times New Roman" w:hAnsi="Times New Roman" w:cs="Times New Roman"/>
          <w:sz w:val="20"/>
          <w:szCs w:val="20"/>
        </w:rPr>
        <w:t>: Testing for collinearity between BFP and Covariates.</w:t>
      </w:r>
      <w:bookmarkEnd w:id="12"/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566"/>
        <w:gridCol w:w="1207"/>
        <w:gridCol w:w="1616"/>
        <w:gridCol w:w="566"/>
        <w:gridCol w:w="1249"/>
        <w:gridCol w:w="1265"/>
        <w:gridCol w:w="566"/>
      </w:tblGrid>
      <w:tr w14:paraId="0F8DD6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978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D7DF6B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2</w:t>
            </w:r>
          </w:p>
        </w:tc>
        <w:tc>
          <w:tcPr>
            <w:tcW w:w="983" w:type="pct"/>
            <w:tcBorders>
              <w:top w:val="single" w:color="auto" w:sz="4" w:space="0"/>
            </w:tcBorders>
            <w:noWrap/>
          </w:tcPr>
          <w:p w14:paraId="7457E04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22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46DDD0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3</w:t>
            </w:r>
          </w:p>
        </w:tc>
        <w:tc>
          <w:tcPr>
            <w:tcW w:w="1007" w:type="pct"/>
            <w:tcBorders>
              <w:top w:val="single" w:color="auto" w:sz="4" w:space="0"/>
            </w:tcBorders>
            <w:noWrap/>
          </w:tcPr>
          <w:p w14:paraId="5DF94E1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007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5C4877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1</w:t>
            </w:r>
          </w:p>
        </w:tc>
      </w:tr>
      <w:tr w14:paraId="6F43B0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4F5B25E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83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6CA81F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983" w:type="pct"/>
            <w:tcBorders>
              <w:bottom w:val="single" w:color="auto" w:sz="4" w:space="0"/>
            </w:tcBorders>
            <w:noWrap/>
          </w:tcPr>
          <w:p w14:paraId="48CB693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1E983A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66D69A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1007" w:type="pct"/>
            <w:tcBorders>
              <w:bottom w:val="single" w:color="auto" w:sz="4" w:space="0"/>
            </w:tcBorders>
            <w:noWrap/>
          </w:tcPr>
          <w:p w14:paraId="49FE9F3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E7BE5E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26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62303A9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0BDCEAB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tcBorders>
              <w:top w:val="single" w:color="auto" w:sz="4" w:space="0"/>
            </w:tcBorders>
            <w:noWrap/>
          </w:tcPr>
          <w:p w14:paraId="12D6366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BFP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EF2C20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1.07</w:t>
            </w:r>
          </w:p>
        </w:tc>
        <w:tc>
          <w:tcPr>
            <w:tcW w:w="983" w:type="pct"/>
            <w:tcBorders>
              <w:top w:val="single" w:color="auto" w:sz="4" w:space="0"/>
            </w:tcBorders>
            <w:noWrap/>
          </w:tcPr>
          <w:p w14:paraId="09F1D15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single" w:color="auto" w:sz="4" w:space="0"/>
            </w:tcBorders>
            <w:noWrap/>
          </w:tcPr>
          <w:p w14:paraId="020B270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BFP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E4AA6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07" w:type="pct"/>
            <w:tcBorders>
              <w:top w:val="single" w:color="auto" w:sz="4" w:space="0"/>
            </w:tcBorders>
            <w:noWrap/>
          </w:tcPr>
          <w:p w14:paraId="7BD52FF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color="auto" w:sz="4" w:space="0"/>
            </w:tcBorders>
            <w:noWrap/>
          </w:tcPr>
          <w:p w14:paraId="5F6B1FF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BFP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BB64E0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4.33</w:t>
            </w:r>
          </w:p>
        </w:tc>
      </w:tr>
      <w:tr w14:paraId="54AD0B4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3526405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Osmolarity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77ED76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1.96</w:t>
            </w:r>
          </w:p>
        </w:tc>
        <w:tc>
          <w:tcPr>
            <w:tcW w:w="983" w:type="pct"/>
            <w:noWrap/>
          </w:tcPr>
          <w:p w14:paraId="2B45D9F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781A015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Cerebrovascular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8B2B45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1007" w:type="pct"/>
            <w:noWrap/>
          </w:tcPr>
          <w:p w14:paraId="471D983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1ABDFF2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5F2F4F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</w:t>
            </w:r>
          </w:p>
        </w:tc>
      </w:tr>
      <w:tr w14:paraId="243CC5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0D96E20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BUN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069558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2.06</w:t>
            </w:r>
          </w:p>
        </w:tc>
        <w:tc>
          <w:tcPr>
            <w:tcW w:w="983" w:type="pct"/>
            <w:noWrap/>
          </w:tcPr>
          <w:p w14:paraId="7E2F98F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1403A82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Cardiovascular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561D4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1007" w:type="pct"/>
            <w:noWrap/>
          </w:tcPr>
          <w:p w14:paraId="5F5205E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61AD3EF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Sex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54BF5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4.36</w:t>
            </w:r>
          </w:p>
        </w:tc>
      </w:tr>
      <w:tr w14:paraId="6E16CE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4A65D42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F8980F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3.41</w:t>
            </w:r>
          </w:p>
        </w:tc>
        <w:tc>
          <w:tcPr>
            <w:tcW w:w="983" w:type="pct"/>
            <w:noWrap/>
          </w:tcPr>
          <w:p w14:paraId="49A6B90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19263E0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B27784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1.19</w:t>
            </w:r>
          </w:p>
        </w:tc>
        <w:tc>
          <w:tcPr>
            <w:tcW w:w="1007" w:type="pct"/>
            <w:noWrap/>
          </w:tcPr>
          <w:p w14:paraId="0E96CA4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643D0EE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72BF0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</w:tr>
      <w:tr w14:paraId="05EABA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7BF43AC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PaCO2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37EEA8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983" w:type="pct"/>
            <w:noWrap/>
          </w:tcPr>
          <w:p w14:paraId="7AB5941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16F85D5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120B43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1.32</w:t>
            </w:r>
          </w:p>
        </w:tc>
        <w:tc>
          <w:tcPr>
            <w:tcW w:w="1007" w:type="pct"/>
            <w:noWrap/>
          </w:tcPr>
          <w:p w14:paraId="719086B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0341291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2B62BC9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2C561DF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18F0C84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/FiO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840758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0EC8DC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0BE8BFA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Hypoproteinemia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B0DA28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1007" w:type="pct"/>
            <w:noWrap/>
          </w:tcPr>
          <w:p w14:paraId="2A280DA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7DEEF38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5AD8057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4A69E8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7EC94D7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CPIS </w:t>
            </w:r>
          </w:p>
        </w:tc>
        <w:tc>
          <w:tcPr>
            <w:tcW w:w="28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BAEF22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983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3BD20E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518BB28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26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74CDD6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1007" w:type="pct"/>
            <w:noWrap/>
          </w:tcPr>
          <w:p w14:paraId="1A88352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7A93EE0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50939FE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37D82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noWrap/>
          </w:tcPr>
          <w:p w14:paraId="5C05E44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aCCI</w:t>
            </w:r>
          </w:p>
        </w:tc>
        <w:tc>
          <w:tcPr>
            <w:tcW w:w="283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6913535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1.16</w:t>
            </w:r>
          </w:p>
        </w:tc>
        <w:tc>
          <w:tcPr>
            <w:tcW w:w="983" w:type="pct"/>
            <w:noWrap/>
          </w:tcPr>
          <w:p w14:paraId="5812DF6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noWrap/>
          </w:tcPr>
          <w:p w14:paraId="22FAF1F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1375C28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pct"/>
            <w:noWrap/>
          </w:tcPr>
          <w:p w14:paraId="0DA3BA9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noWrap/>
          </w:tcPr>
          <w:p w14:paraId="03306AA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noWrap/>
          </w:tcPr>
          <w:p w14:paraId="7CA57B7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01EF4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695" w:type="pct"/>
            <w:tcBorders>
              <w:bottom w:val="single" w:color="auto" w:sz="4" w:space="0"/>
            </w:tcBorders>
            <w:noWrap/>
          </w:tcPr>
          <w:p w14:paraId="3110E4B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MAP </w:t>
            </w:r>
          </w:p>
        </w:tc>
        <w:tc>
          <w:tcPr>
            <w:tcW w:w="283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702246D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983" w:type="pct"/>
            <w:tcBorders>
              <w:bottom w:val="single" w:color="auto" w:sz="4" w:space="0"/>
            </w:tcBorders>
            <w:noWrap/>
          </w:tcPr>
          <w:p w14:paraId="373791C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757" w:type="pct"/>
            <w:tcBorders>
              <w:bottom w:val="single" w:color="auto" w:sz="4" w:space="0"/>
            </w:tcBorders>
            <w:noWrap/>
          </w:tcPr>
          <w:p w14:paraId="2DBC751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bottom w:val="single" w:color="auto" w:sz="4" w:space="0"/>
            </w:tcBorders>
            <w:noWrap/>
          </w:tcPr>
          <w:p w14:paraId="6CCD79C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07" w:type="pct"/>
            <w:tcBorders>
              <w:bottom w:val="single" w:color="auto" w:sz="4" w:space="0"/>
            </w:tcBorders>
            <w:noWrap/>
          </w:tcPr>
          <w:p w14:paraId="2AC0FE6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bottom w:val="single" w:color="auto" w:sz="4" w:space="0"/>
            </w:tcBorders>
            <w:noWrap/>
          </w:tcPr>
          <w:p w14:paraId="738B93D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5" w:type="pct"/>
            <w:tcBorders>
              <w:bottom w:val="single" w:color="auto" w:sz="4" w:space="0"/>
            </w:tcBorders>
            <w:noWrap/>
          </w:tcPr>
          <w:p w14:paraId="5ED08E4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bookmarkEnd w:id="11"/>
    </w:tbl>
    <w:p w14:paraId="0487EE2C">
      <w:pPr>
        <w:spacing w:line="36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bbreviations:</w:t>
      </w:r>
      <w:r>
        <w:rPr>
          <w:rFonts w:hint="eastAsia" w:ascii="Times New Roman" w:hAnsi="Times New Roman" w:cs="Times New Roman"/>
          <w:sz w:val="20"/>
          <w:szCs w:val="20"/>
        </w:rPr>
        <w:t xml:space="preserve"> BMI: Body Mass Index; BUN: Blood Urea Nitrogen; PaCO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: Partial Pressure of Carbon Dioxide in Arterial Blood; SpO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>/FiO</w:t>
      </w:r>
      <w:r>
        <w:rPr>
          <w:rFonts w:hint="eastAsia" w:ascii="Times New Roman" w:hAnsi="Times New Roman" w:cs="Times New Roman"/>
          <w:sz w:val="20"/>
          <w:szCs w:val="20"/>
          <w:vertAlign w:val="subscript"/>
        </w:rPr>
        <w:t>2</w:t>
      </w:r>
      <w:r>
        <w:rPr>
          <w:rFonts w:hint="eastAsia" w:ascii="Times New Roman" w:hAnsi="Times New Roman" w:cs="Times New Roman"/>
          <w:sz w:val="20"/>
          <w:szCs w:val="20"/>
        </w:rPr>
        <w:t xml:space="preserve"> ratio: Oxygen Saturation/Fraction of Inspired Oxygen Ratio; CPIS: Clinical Pulmonary Infection Score; aCCI: age-Adjusted Charlson Comorbidity Index; MAP: Mean Arterial Pressure.</w:t>
      </w:r>
    </w:p>
    <w:p w14:paraId="0C8575D2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4603775E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13" w:name="_Toc16743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7</w:t>
      </w:r>
      <w:r>
        <w:rPr>
          <w:rFonts w:hint="eastAsia" w:ascii="Times New Roman" w:hAnsi="Times New Roman" w:cs="Times New Roman"/>
          <w:sz w:val="20"/>
          <w:szCs w:val="20"/>
        </w:rPr>
        <w:t>: Testing for collinearity between LBM and Covariates.</w:t>
      </w:r>
      <w:bookmarkEnd w:id="13"/>
    </w:p>
    <w:tbl>
      <w:tblPr>
        <w:tblStyle w:val="7"/>
        <w:tblW w:w="4998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4"/>
        <w:gridCol w:w="1049"/>
        <w:gridCol w:w="399"/>
        <w:gridCol w:w="1970"/>
        <w:gridCol w:w="881"/>
        <w:gridCol w:w="481"/>
        <w:gridCol w:w="1689"/>
        <w:gridCol w:w="566"/>
      </w:tblGrid>
      <w:tr w14:paraId="3F17AE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1486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  <w:vAlign w:val="center"/>
          </w:tcPr>
          <w:p w14:paraId="0E072C6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2</w:t>
            </w:r>
          </w:p>
        </w:tc>
        <w:tc>
          <w:tcPr>
            <w:tcW w:w="234" w:type="pct"/>
            <w:tcBorders>
              <w:top w:val="single" w:color="auto" w:sz="4" w:space="0"/>
            </w:tcBorders>
            <w:noWrap/>
          </w:tcPr>
          <w:p w14:paraId="20D2C66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673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443F9B2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Adjusted model 3</w:t>
            </w:r>
          </w:p>
        </w:tc>
        <w:tc>
          <w:tcPr>
            <w:tcW w:w="282" w:type="pct"/>
            <w:tcBorders>
              <w:top w:val="single" w:color="auto" w:sz="4" w:space="0"/>
            </w:tcBorders>
            <w:noWrap/>
          </w:tcPr>
          <w:p w14:paraId="6441D30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bookmarkStart w:id="14" w:name="_Hlk174027718"/>
          </w:p>
        </w:tc>
        <w:tc>
          <w:tcPr>
            <w:tcW w:w="1323" w:type="pct"/>
            <w:gridSpan w:val="2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72EF27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jc w:val="center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 xml:space="preserve">Adjusted </w:t>
            </w:r>
            <w:bookmarkEnd w:id="14"/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model 1</w:t>
            </w:r>
          </w:p>
        </w:tc>
      </w:tr>
      <w:tr w14:paraId="23B018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A8A2E4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615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21D847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234" w:type="pct"/>
            <w:tcBorders>
              <w:bottom w:val="single" w:color="auto" w:sz="4" w:space="0"/>
            </w:tcBorders>
            <w:noWrap/>
          </w:tcPr>
          <w:p w14:paraId="41A4618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1156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716F0DE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517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4C749CB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  <w:tc>
          <w:tcPr>
            <w:tcW w:w="282" w:type="pct"/>
            <w:tcBorders>
              <w:bottom w:val="single" w:color="auto" w:sz="4" w:space="0"/>
            </w:tcBorders>
            <w:noWrap/>
          </w:tcPr>
          <w:p w14:paraId="4BDB9E8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991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0AC53C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3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E16971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VIF</w:t>
            </w:r>
          </w:p>
        </w:tc>
      </w:tr>
      <w:tr w14:paraId="26B138C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top w:val="single" w:color="auto" w:sz="4" w:space="0"/>
            </w:tcBorders>
            <w:noWrap/>
          </w:tcPr>
          <w:p w14:paraId="35AD1A2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LBM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CD0F8D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234" w:type="pct"/>
            <w:tcBorders>
              <w:top w:val="single" w:color="auto" w:sz="4" w:space="0"/>
            </w:tcBorders>
            <w:noWrap/>
          </w:tcPr>
          <w:p w14:paraId="3A77110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tcBorders>
              <w:top w:val="single" w:color="auto" w:sz="4" w:space="0"/>
            </w:tcBorders>
            <w:noWrap/>
          </w:tcPr>
          <w:p w14:paraId="07E77CE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LBM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6AF0B6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282" w:type="pct"/>
            <w:tcBorders>
              <w:top w:val="single" w:color="auto" w:sz="4" w:space="0"/>
            </w:tcBorders>
            <w:noWrap/>
          </w:tcPr>
          <w:p w14:paraId="238DC88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tcBorders>
              <w:top w:val="single" w:color="auto" w:sz="4" w:space="0"/>
            </w:tcBorders>
            <w:noWrap/>
          </w:tcPr>
          <w:p w14:paraId="14560AD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LBM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3EAEDC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1.17</w:t>
            </w:r>
          </w:p>
        </w:tc>
      </w:tr>
      <w:tr w14:paraId="01C11B8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77DAD37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Osmolarity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0EFABD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1.95</w:t>
            </w:r>
          </w:p>
        </w:tc>
        <w:tc>
          <w:tcPr>
            <w:tcW w:w="234" w:type="pct"/>
            <w:noWrap/>
          </w:tcPr>
          <w:p w14:paraId="1296786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noWrap/>
          </w:tcPr>
          <w:p w14:paraId="25A10E2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Cerebrovascular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EA807D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282" w:type="pct"/>
            <w:noWrap/>
          </w:tcPr>
          <w:p w14:paraId="6281926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noWrap/>
          </w:tcPr>
          <w:p w14:paraId="7F40B21E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Age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FFE16E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default" w:ascii="Times New Roman" w:hAnsi="Times New Roman" w:eastAsia="等线" w:cs="Times New Roman"/>
                <w:sz w:val="20"/>
                <w:szCs w:val="20"/>
                <w:lang w:val="en-US" w:eastAsia="zh-CN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</w:t>
            </w: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  <w:lang w:val="en-US" w:eastAsia="zh-CN"/>
              </w:rPr>
              <w:t>.00</w:t>
            </w:r>
          </w:p>
        </w:tc>
      </w:tr>
      <w:tr w14:paraId="436E487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3B4CA80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Creatinine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D7AD3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3.4</w:t>
            </w:r>
          </w:p>
        </w:tc>
        <w:tc>
          <w:tcPr>
            <w:tcW w:w="234" w:type="pct"/>
            <w:noWrap/>
          </w:tcPr>
          <w:p w14:paraId="0F44B8F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noWrap/>
          </w:tcPr>
          <w:p w14:paraId="1B1D4DE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Diabetes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E41995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1.18</w:t>
            </w:r>
          </w:p>
        </w:tc>
        <w:tc>
          <w:tcPr>
            <w:tcW w:w="282" w:type="pct"/>
            <w:noWrap/>
          </w:tcPr>
          <w:p w14:paraId="7728550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noWrap/>
          </w:tcPr>
          <w:p w14:paraId="45A467F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Smoker</w:t>
            </w:r>
          </w:p>
        </w:tc>
        <w:tc>
          <w:tcPr>
            <w:tcW w:w="33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F351B8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1.17</w:t>
            </w:r>
          </w:p>
        </w:tc>
      </w:tr>
      <w:tr w14:paraId="746043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78DDB93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PaCO2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D176C9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234" w:type="pct"/>
            <w:noWrap/>
          </w:tcPr>
          <w:p w14:paraId="27B5E7F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noWrap/>
          </w:tcPr>
          <w:p w14:paraId="36ADAF3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Hypertension 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027295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1.31</w:t>
            </w:r>
          </w:p>
        </w:tc>
        <w:tc>
          <w:tcPr>
            <w:tcW w:w="282" w:type="pct"/>
            <w:noWrap/>
          </w:tcPr>
          <w:p w14:paraId="408EE30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noWrap/>
          </w:tcPr>
          <w:p w14:paraId="357FD20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2F79F2B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AD1932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2C03848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SpO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>/FiO</w:t>
            </w:r>
            <w:r>
              <w:rPr>
                <w:rFonts w:hint="eastAsia" w:ascii="Times New Roman" w:hAnsi="Times New Roman" w:cs="Times New Roman"/>
                <w:sz w:val="20"/>
                <w:szCs w:val="20"/>
                <w:vertAlign w:val="subscript"/>
              </w:rPr>
              <w:t>2</w:t>
            </w: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 ratio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DFFB32B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1.49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16C94C1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75892BB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Hypoproteinemia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A5F2D6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1.02</w:t>
            </w:r>
          </w:p>
        </w:tc>
        <w:tc>
          <w:tcPr>
            <w:tcW w:w="282" w:type="pct"/>
            <w:noWrap/>
          </w:tcPr>
          <w:p w14:paraId="3D0D0DF1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noWrap/>
          </w:tcPr>
          <w:p w14:paraId="759B0F2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406EEEF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1B88F9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550725D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CPIS </w:t>
            </w:r>
          </w:p>
        </w:tc>
        <w:tc>
          <w:tcPr>
            <w:tcW w:w="61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42BD70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1.43</w:t>
            </w:r>
          </w:p>
        </w:tc>
        <w:tc>
          <w:tcPr>
            <w:tcW w:w="234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450A528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noWrap/>
            <w:vAlign w:val="center"/>
          </w:tcPr>
          <w:p w14:paraId="316A247D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000000"/>
                <w:sz w:val="20"/>
                <w:szCs w:val="20"/>
              </w:rPr>
              <w:t>Hyperlactatemia</w:t>
            </w: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5006AF1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1.01</w:t>
            </w:r>
          </w:p>
        </w:tc>
        <w:tc>
          <w:tcPr>
            <w:tcW w:w="282" w:type="pct"/>
            <w:noWrap/>
          </w:tcPr>
          <w:p w14:paraId="6192DA6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991" w:type="pct"/>
            <w:noWrap/>
          </w:tcPr>
          <w:p w14:paraId="0853D7E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3637F39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31AB94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noWrap/>
          </w:tcPr>
          <w:p w14:paraId="70DEDAB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aCCI</w:t>
            </w:r>
          </w:p>
        </w:tc>
        <w:tc>
          <w:tcPr>
            <w:tcW w:w="615" w:type="pc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</w:tcPr>
          <w:p w14:paraId="307A07F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1.13</w:t>
            </w:r>
          </w:p>
        </w:tc>
        <w:tc>
          <w:tcPr>
            <w:tcW w:w="234" w:type="pct"/>
            <w:noWrap/>
          </w:tcPr>
          <w:p w14:paraId="0CE7C8B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noWrap/>
          </w:tcPr>
          <w:p w14:paraId="642013B7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pct"/>
            <w:noWrap/>
          </w:tcPr>
          <w:p w14:paraId="377D7FA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noWrap/>
          </w:tcPr>
          <w:p w14:paraId="0811A3D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pct"/>
            <w:noWrap/>
          </w:tcPr>
          <w:p w14:paraId="1A125EBF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noWrap/>
          </w:tcPr>
          <w:p w14:paraId="18954603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615C1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870" w:type="pct"/>
            <w:tcBorders>
              <w:bottom w:val="single" w:color="auto" w:sz="4" w:space="0"/>
            </w:tcBorders>
            <w:noWrap/>
          </w:tcPr>
          <w:p w14:paraId="1E6F505A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MAP </w:t>
            </w:r>
          </w:p>
        </w:tc>
        <w:tc>
          <w:tcPr>
            <w:tcW w:w="615" w:type="pct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auto"/>
            <w:noWrap/>
            <w:vAlign w:val="bottom"/>
          </w:tcPr>
          <w:p w14:paraId="2F6A3FB9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  <w:t>1.03</w:t>
            </w:r>
          </w:p>
        </w:tc>
        <w:tc>
          <w:tcPr>
            <w:tcW w:w="234" w:type="pct"/>
            <w:tcBorders>
              <w:bottom w:val="single" w:color="auto" w:sz="4" w:space="0"/>
            </w:tcBorders>
            <w:noWrap/>
          </w:tcPr>
          <w:p w14:paraId="417094EC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eastAsia="等线" w:cs="Times New Roman"/>
                <w:color w:val="000000"/>
                <w:sz w:val="20"/>
                <w:szCs w:val="20"/>
              </w:rPr>
            </w:pPr>
          </w:p>
        </w:tc>
        <w:tc>
          <w:tcPr>
            <w:tcW w:w="1156" w:type="pct"/>
            <w:tcBorders>
              <w:bottom w:val="single" w:color="auto" w:sz="4" w:space="0"/>
            </w:tcBorders>
            <w:noWrap/>
          </w:tcPr>
          <w:p w14:paraId="096F01D2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17" w:type="pct"/>
            <w:tcBorders>
              <w:bottom w:val="single" w:color="auto" w:sz="4" w:space="0"/>
            </w:tcBorders>
            <w:noWrap/>
          </w:tcPr>
          <w:p w14:paraId="28CEF014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82" w:type="pct"/>
            <w:tcBorders>
              <w:bottom w:val="single" w:color="auto" w:sz="4" w:space="0"/>
            </w:tcBorders>
            <w:noWrap/>
          </w:tcPr>
          <w:p w14:paraId="600DBD76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991" w:type="pct"/>
            <w:tcBorders>
              <w:bottom w:val="single" w:color="auto" w:sz="4" w:space="0"/>
            </w:tcBorders>
            <w:noWrap/>
          </w:tcPr>
          <w:p w14:paraId="7FA9E415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32" w:type="pct"/>
            <w:tcBorders>
              <w:bottom w:val="single" w:color="auto" w:sz="4" w:space="0"/>
            </w:tcBorders>
            <w:noWrap/>
          </w:tcPr>
          <w:p w14:paraId="299F5A68">
            <w:pPr>
              <w:keepNext w:val="0"/>
              <w:keepLines w:val="0"/>
              <w:suppressLineNumbers w:val="0"/>
              <w:spacing w:before="0" w:beforeAutospacing="0" w:after="0" w:afterAutospacing="0" w:line="48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</w:tbl>
    <w:p w14:paraId="38A71EC1">
      <w:pPr>
        <w:spacing w:line="48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bCs/>
          <w:sz w:val="20"/>
          <w:szCs w:val="20"/>
        </w:rPr>
        <w:t>A</w:t>
      </w:r>
      <w:r>
        <w:rPr>
          <w:rFonts w:hint="eastAsia" w:ascii="Times New Roman" w:hAnsi="Times New Roman" w:cs="Times New Roman"/>
          <w:b/>
          <w:bCs/>
          <w:sz w:val="20"/>
          <w:szCs w:val="20"/>
        </w:rPr>
        <w:t>bbreviations:</w:t>
      </w:r>
      <w:r>
        <w:rPr>
          <w:rFonts w:hint="eastAsia" w:ascii="Times New Roman" w:hAnsi="Times New Roman" w:cs="Times New Roman"/>
          <w:sz w:val="20"/>
          <w:szCs w:val="20"/>
        </w:rPr>
        <w:t xml:space="preserve"> LBM, Lean Body Mass. Note: Due to the covariance between LBM and the gender variable, only LBM, Age, Smoking was included in the</w:t>
      </w:r>
      <w:r>
        <w:rPr>
          <w:rFonts w:hint="eastAsia"/>
        </w:rPr>
        <w:t xml:space="preserve"> </w:t>
      </w:r>
      <w:r>
        <w:rPr>
          <w:rFonts w:hint="eastAsia" w:ascii="Times New Roman" w:hAnsi="Times New Roman" w:cs="Times New Roman"/>
          <w:sz w:val="20"/>
          <w:szCs w:val="20"/>
        </w:rPr>
        <w:t>adjusted model 3.</w:t>
      </w:r>
    </w:p>
    <w:p w14:paraId="166E9AF3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br w:type="page"/>
      </w:r>
    </w:p>
    <w:p w14:paraId="14C9A6CB">
      <w:pPr>
        <w:pStyle w:val="2"/>
        <w:rPr>
          <w:rFonts w:ascii="Times New Roman" w:hAnsi="Times New Roman" w:cs="Times New Roman"/>
          <w:sz w:val="20"/>
          <w:szCs w:val="20"/>
        </w:rPr>
      </w:pPr>
      <w:bookmarkStart w:id="15" w:name="_Toc9727"/>
      <w:r>
        <w:rPr>
          <w:rFonts w:ascii="Times New Roman" w:hAnsi="Times New Roman" w:cs="Times New Roman"/>
          <w:sz w:val="20"/>
          <w:szCs w:val="20"/>
        </w:rPr>
        <w:t xml:space="preserve">Supplementary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T</w:t>
      </w:r>
      <w:r>
        <w:rPr>
          <w:rFonts w:ascii="Times New Roman" w:hAnsi="Times New Roman" w:cs="Times New Roman"/>
          <w:sz w:val="20"/>
          <w:szCs w:val="20"/>
        </w:rPr>
        <w:t xml:space="preserve">able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8</w:t>
      </w:r>
      <w:r>
        <w:rPr>
          <w:rFonts w:hint="eastAsia" w:ascii="Times New Roman" w:hAnsi="Times New Roman" w:cs="Times New Roman"/>
          <w:sz w:val="20"/>
          <w:szCs w:val="20"/>
        </w:rPr>
        <w:t>: Effect size of Weight-Derived Markers on secondary outcomes.</w:t>
      </w:r>
      <w:bookmarkEnd w:id="15"/>
    </w:p>
    <w:tbl>
      <w:tblPr>
        <w:tblStyle w:val="7"/>
        <w:tblW w:w="5000" w:type="pct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463"/>
        <w:gridCol w:w="1266"/>
        <w:gridCol w:w="1265"/>
        <w:gridCol w:w="1265"/>
        <w:gridCol w:w="1263"/>
      </w:tblGrid>
      <w:tr w14:paraId="4786C30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3223361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Characteristics</w:t>
            </w:r>
          </w:p>
        </w:tc>
        <w:tc>
          <w:tcPr>
            <w:tcW w:w="74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0BDFBF8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OR/Coef.</w:t>
            </w:r>
          </w:p>
        </w:tc>
        <w:tc>
          <w:tcPr>
            <w:tcW w:w="74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21C301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Lower</w:t>
            </w:r>
          </w:p>
        </w:tc>
        <w:tc>
          <w:tcPr>
            <w:tcW w:w="742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5122F6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Upper</w:t>
            </w:r>
          </w:p>
        </w:tc>
        <w:tc>
          <w:tcPr>
            <w:tcW w:w="741" w:type="pct"/>
            <w:tcBorders>
              <w:top w:val="single" w:color="auto" w:sz="4" w:space="0"/>
              <w:bottom w:val="single" w:color="auto" w:sz="4" w:space="0"/>
            </w:tcBorders>
            <w:noWrap/>
          </w:tcPr>
          <w:p w14:paraId="4564CF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b/>
                <w:bCs/>
                <w:i/>
                <w:iCs/>
                <w:sz w:val="20"/>
                <w:szCs w:val="20"/>
              </w:rPr>
              <w:t>P</w:t>
            </w:r>
            <w:r>
              <w:rPr>
                <w:rFonts w:hint="eastAsia" w:ascii="Times New Roman" w:hAnsi="Times New Roman" w:cs="Times New Roman"/>
                <w:b/>
                <w:bCs/>
                <w:sz w:val="20"/>
                <w:szCs w:val="20"/>
              </w:rPr>
              <w:t>-value</w:t>
            </w:r>
          </w:p>
        </w:tc>
      </w:tr>
      <w:tr w14:paraId="131F67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tcBorders>
              <w:top w:val="single" w:color="auto" w:sz="4" w:space="0"/>
            </w:tcBorders>
            <w:shd w:val="clear" w:color="auto" w:fill="BEBEBE" w:themeFill="background1" w:themeFillShade="BF"/>
            <w:noWrap/>
          </w:tcPr>
          <w:p w14:paraId="17F58FE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Need for IMV (n=153, 30.1%)</w:t>
            </w:r>
          </w:p>
        </w:tc>
        <w:tc>
          <w:tcPr>
            <w:tcW w:w="742" w:type="pct"/>
            <w:tcBorders>
              <w:top w:val="single" w:color="auto" w:sz="4" w:space="0"/>
            </w:tcBorders>
            <w:shd w:val="clear" w:color="auto" w:fill="BEBEBE" w:themeFill="background1" w:themeFillShade="BF"/>
            <w:noWrap/>
          </w:tcPr>
          <w:p w14:paraId="429F7ED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color="auto" w:sz="4" w:space="0"/>
            </w:tcBorders>
            <w:shd w:val="clear" w:color="auto" w:fill="BEBEBE" w:themeFill="background1" w:themeFillShade="BF"/>
            <w:noWrap/>
          </w:tcPr>
          <w:p w14:paraId="7BD2E9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tcBorders>
              <w:top w:val="single" w:color="auto" w:sz="4" w:space="0"/>
            </w:tcBorders>
            <w:shd w:val="clear" w:color="auto" w:fill="BEBEBE" w:themeFill="background1" w:themeFillShade="BF"/>
            <w:noWrap/>
          </w:tcPr>
          <w:p w14:paraId="6557D84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  <w:tcBorders>
              <w:top w:val="single" w:color="auto" w:sz="4" w:space="0"/>
            </w:tcBorders>
            <w:shd w:val="clear" w:color="auto" w:fill="BEBEBE" w:themeFill="background1" w:themeFillShade="BF"/>
            <w:noWrap/>
          </w:tcPr>
          <w:p w14:paraId="76115C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0D2F4D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36D52C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LBM</w:t>
            </w:r>
          </w:p>
        </w:tc>
        <w:tc>
          <w:tcPr>
            <w:tcW w:w="742" w:type="pct"/>
            <w:noWrap/>
          </w:tcPr>
          <w:p w14:paraId="2B236E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1.01 </w:t>
            </w:r>
          </w:p>
        </w:tc>
        <w:tc>
          <w:tcPr>
            <w:tcW w:w="742" w:type="pct"/>
            <w:noWrap/>
          </w:tcPr>
          <w:p w14:paraId="095375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0.95 </w:t>
            </w:r>
          </w:p>
        </w:tc>
        <w:tc>
          <w:tcPr>
            <w:tcW w:w="742" w:type="pct"/>
            <w:noWrap/>
          </w:tcPr>
          <w:p w14:paraId="61CE93A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1.06 </w:t>
            </w:r>
          </w:p>
        </w:tc>
        <w:tc>
          <w:tcPr>
            <w:tcW w:w="741" w:type="pct"/>
            <w:noWrap/>
          </w:tcPr>
          <w:p w14:paraId="4D03285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0.775 </w:t>
            </w:r>
          </w:p>
        </w:tc>
      </w:tr>
      <w:tr w14:paraId="47D2E8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6AC499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BMR</w:t>
            </w:r>
          </w:p>
        </w:tc>
        <w:tc>
          <w:tcPr>
            <w:tcW w:w="742" w:type="pct"/>
            <w:noWrap/>
          </w:tcPr>
          <w:p w14:paraId="133EDC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1.00 </w:t>
            </w:r>
          </w:p>
        </w:tc>
        <w:tc>
          <w:tcPr>
            <w:tcW w:w="742" w:type="pct"/>
            <w:noWrap/>
          </w:tcPr>
          <w:p w14:paraId="6DA9045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1.00 </w:t>
            </w:r>
          </w:p>
        </w:tc>
        <w:tc>
          <w:tcPr>
            <w:tcW w:w="742" w:type="pct"/>
            <w:noWrap/>
          </w:tcPr>
          <w:p w14:paraId="0817E74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1.00 </w:t>
            </w:r>
          </w:p>
        </w:tc>
        <w:tc>
          <w:tcPr>
            <w:tcW w:w="741" w:type="pct"/>
            <w:noWrap/>
          </w:tcPr>
          <w:p w14:paraId="181063D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0.951 </w:t>
            </w:r>
          </w:p>
        </w:tc>
      </w:tr>
      <w:tr w14:paraId="01DE93E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0139D51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BFP</w:t>
            </w:r>
          </w:p>
        </w:tc>
        <w:tc>
          <w:tcPr>
            <w:tcW w:w="742" w:type="pct"/>
            <w:noWrap/>
          </w:tcPr>
          <w:p w14:paraId="22AFC9C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0.99 </w:t>
            </w:r>
          </w:p>
        </w:tc>
        <w:tc>
          <w:tcPr>
            <w:tcW w:w="742" w:type="pct"/>
            <w:noWrap/>
          </w:tcPr>
          <w:p w14:paraId="4CDD115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0.90 </w:t>
            </w:r>
          </w:p>
        </w:tc>
        <w:tc>
          <w:tcPr>
            <w:tcW w:w="742" w:type="pct"/>
            <w:noWrap/>
          </w:tcPr>
          <w:p w14:paraId="57EF1C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1.08 </w:t>
            </w:r>
          </w:p>
        </w:tc>
        <w:tc>
          <w:tcPr>
            <w:tcW w:w="741" w:type="pct"/>
            <w:noWrap/>
          </w:tcPr>
          <w:p w14:paraId="0B24124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0.758 </w:t>
            </w:r>
          </w:p>
        </w:tc>
      </w:tr>
      <w:tr w14:paraId="3A6720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52DCB16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742" w:type="pct"/>
            <w:noWrap/>
          </w:tcPr>
          <w:p w14:paraId="778F786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0.97 </w:t>
            </w:r>
          </w:p>
        </w:tc>
        <w:tc>
          <w:tcPr>
            <w:tcW w:w="742" w:type="pct"/>
            <w:noWrap/>
          </w:tcPr>
          <w:p w14:paraId="560A845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0.90 </w:t>
            </w:r>
          </w:p>
        </w:tc>
        <w:tc>
          <w:tcPr>
            <w:tcW w:w="742" w:type="pct"/>
            <w:noWrap/>
          </w:tcPr>
          <w:p w14:paraId="6C8413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1.04 </w:t>
            </w:r>
          </w:p>
        </w:tc>
        <w:tc>
          <w:tcPr>
            <w:tcW w:w="741" w:type="pct"/>
            <w:noWrap/>
          </w:tcPr>
          <w:p w14:paraId="21DD1B2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0.390 </w:t>
            </w:r>
          </w:p>
        </w:tc>
      </w:tr>
      <w:tr w14:paraId="56637AA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2156A1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WBFM</w:t>
            </w:r>
          </w:p>
        </w:tc>
        <w:tc>
          <w:tcPr>
            <w:tcW w:w="742" w:type="pct"/>
            <w:noWrap/>
          </w:tcPr>
          <w:p w14:paraId="13908E4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0.93 </w:t>
            </w:r>
          </w:p>
        </w:tc>
        <w:tc>
          <w:tcPr>
            <w:tcW w:w="742" w:type="pct"/>
            <w:noWrap/>
          </w:tcPr>
          <w:p w14:paraId="2BAECB7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0.84 </w:t>
            </w:r>
          </w:p>
        </w:tc>
        <w:tc>
          <w:tcPr>
            <w:tcW w:w="742" w:type="pct"/>
            <w:noWrap/>
          </w:tcPr>
          <w:p w14:paraId="6BC0DC1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1.03 </w:t>
            </w:r>
          </w:p>
        </w:tc>
        <w:tc>
          <w:tcPr>
            <w:tcW w:w="741" w:type="pct"/>
            <w:noWrap/>
          </w:tcPr>
          <w:p w14:paraId="60C73C5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0.168 </w:t>
            </w:r>
          </w:p>
        </w:tc>
      </w:tr>
      <w:tr w14:paraId="2C10844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41651B5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742" w:type="pct"/>
            <w:noWrap/>
          </w:tcPr>
          <w:p w14:paraId="5ED73E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0.86 </w:t>
            </w:r>
          </w:p>
        </w:tc>
        <w:tc>
          <w:tcPr>
            <w:tcW w:w="742" w:type="pct"/>
            <w:noWrap/>
          </w:tcPr>
          <w:p w14:paraId="02935EB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0.69 </w:t>
            </w:r>
          </w:p>
        </w:tc>
        <w:tc>
          <w:tcPr>
            <w:tcW w:w="742" w:type="pct"/>
            <w:noWrap/>
          </w:tcPr>
          <w:p w14:paraId="6AA5F9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1.07 </w:t>
            </w:r>
          </w:p>
        </w:tc>
        <w:tc>
          <w:tcPr>
            <w:tcW w:w="741" w:type="pct"/>
            <w:noWrap/>
          </w:tcPr>
          <w:p w14:paraId="7C60E3C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0.166 </w:t>
            </w:r>
          </w:p>
        </w:tc>
      </w:tr>
      <w:tr w14:paraId="0F88AE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shd w:val="clear" w:color="auto" w:fill="BEBEBE" w:themeFill="background1" w:themeFillShade="BF"/>
            <w:noWrap/>
          </w:tcPr>
          <w:p w14:paraId="10AF1F8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Length of hospital stay, 9 (7, 14) days</w:t>
            </w:r>
          </w:p>
        </w:tc>
        <w:tc>
          <w:tcPr>
            <w:tcW w:w="742" w:type="pct"/>
            <w:shd w:val="clear" w:color="auto" w:fill="BEBEBE" w:themeFill="background1" w:themeFillShade="BF"/>
            <w:noWrap/>
          </w:tcPr>
          <w:p w14:paraId="2958B34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shd w:val="clear" w:color="auto" w:fill="BEBEBE" w:themeFill="background1" w:themeFillShade="BF"/>
            <w:noWrap/>
          </w:tcPr>
          <w:p w14:paraId="4AE206E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shd w:val="clear" w:color="auto" w:fill="BEBEBE" w:themeFill="background1" w:themeFillShade="BF"/>
            <w:noWrap/>
          </w:tcPr>
          <w:p w14:paraId="5C2FA58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  <w:shd w:val="clear" w:color="auto" w:fill="BEBEBE" w:themeFill="background1" w:themeFillShade="BF"/>
            <w:noWrap/>
          </w:tcPr>
          <w:p w14:paraId="2AEE358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7139020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099C17C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LBM</w:t>
            </w:r>
          </w:p>
        </w:tc>
        <w:tc>
          <w:tcPr>
            <w:tcW w:w="742" w:type="pct"/>
            <w:noWrap/>
          </w:tcPr>
          <w:p w14:paraId="444929F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0.05 </w:t>
            </w:r>
          </w:p>
        </w:tc>
        <w:tc>
          <w:tcPr>
            <w:tcW w:w="742" w:type="pct"/>
            <w:noWrap/>
          </w:tcPr>
          <w:p w14:paraId="45DC18E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-0.01 </w:t>
            </w:r>
          </w:p>
        </w:tc>
        <w:tc>
          <w:tcPr>
            <w:tcW w:w="742" w:type="pct"/>
            <w:noWrap/>
          </w:tcPr>
          <w:p w14:paraId="27B397B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0.11 </w:t>
            </w:r>
          </w:p>
        </w:tc>
        <w:tc>
          <w:tcPr>
            <w:tcW w:w="741" w:type="pct"/>
            <w:noWrap/>
          </w:tcPr>
          <w:p w14:paraId="2FD09D8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0.089 </w:t>
            </w:r>
          </w:p>
        </w:tc>
      </w:tr>
      <w:tr w14:paraId="7572010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33100EF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BMR</w:t>
            </w:r>
          </w:p>
        </w:tc>
        <w:tc>
          <w:tcPr>
            <w:tcW w:w="742" w:type="pct"/>
            <w:noWrap/>
          </w:tcPr>
          <w:p w14:paraId="0A1B627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2" w:type="pct"/>
            <w:noWrap/>
          </w:tcPr>
          <w:p w14:paraId="579D3A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2" w:type="pct"/>
            <w:noWrap/>
          </w:tcPr>
          <w:p w14:paraId="45D2C2B0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1" w:type="pct"/>
            <w:noWrap/>
          </w:tcPr>
          <w:p w14:paraId="4183B98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0.126 </w:t>
            </w:r>
          </w:p>
        </w:tc>
      </w:tr>
      <w:tr w14:paraId="436A43B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319D78B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BFP</w:t>
            </w:r>
          </w:p>
        </w:tc>
        <w:tc>
          <w:tcPr>
            <w:tcW w:w="742" w:type="pct"/>
            <w:noWrap/>
          </w:tcPr>
          <w:p w14:paraId="012C564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-0.08 </w:t>
            </w:r>
          </w:p>
        </w:tc>
        <w:tc>
          <w:tcPr>
            <w:tcW w:w="742" w:type="pct"/>
            <w:noWrap/>
          </w:tcPr>
          <w:p w14:paraId="1CF5AC5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-0.18 </w:t>
            </w:r>
          </w:p>
        </w:tc>
        <w:tc>
          <w:tcPr>
            <w:tcW w:w="742" w:type="pct"/>
            <w:noWrap/>
          </w:tcPr>
          <w:p w14:paraId="17E07BD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0.02 </w:t>
            </w:r>
          </w:p>
        </w:tc>
        <w:tc>
          <w:tcPr>
            <w:tcW w:w="741" w:type="pct"/>
            <w:noWrap/>
          </w:tcPr>
          <w:p w14:paraId="19FABE7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0.118 </w:t>
            </w:r>
          </w:p>
        </w:tc>
      </w:tr>
      <w:tr w14:paraId="3818B15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5EB3DF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742" w:type="pct"/>
            <w:noWrap/>
          </w:tcPr>
          <w:p w14:paraId="35805CD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0.03 </w:t>
            </w:r>
          </w:p>
        </w:tc>
        <w:tc>
          <w:tcPr>
            <w:tcW w:w="742" w:type="pct"/>
            <w:noWrap/>
          </w:tcPr>
          <w:p w14:paraId="1876BEF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-0.06 </w:t>
            </w:r>
          </w:p>
        </w:tc>
        <w:tc>
          <w:tcPr>
            <w:tcW w:w="742" w:type="pct"/>
            <w:noWrap/>
          </w:tcPr>
          <w:p w14:paraId="1E898E5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0.11 </w:t>
            </w:r>
          </w:p>
        </w:tc>
        <w:tc>
          <w:tcPr>
            <w:tcW w:w="741" w:type="pct"/>
            <w:noWrap/>
          </w:tcPr>
          <w:p w14:paraId="1E2622F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0.519 </w:t>
            </w:r>
          </w:p>
        </w:tc>
      </w:tr>
      <w:tr w14:paraId="50E8D07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2657BB8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WBFM</w:t>
            </w:r>
          </w:p>
        </w:tc>
        <w:tc>
          <w:tcPr>
            <w:tcW w:w="742" w:type="pct"/>
            <w:noWrap/>
          </w:tcPr>
          <w:p w14:paraId="0EC320D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-0.07 </w:t>
            </w:r>
          </w:p>
        </w:tc>
        <w:tc>
          <w:tcPr>
            <w:tcW w:w="742" w:type="pct"/>
            <w:noWrap/>
          </w:tcPr>
          <w:p w14:paraId="6ECF7AF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-0.17 </w:t>
            </w:r>
          </w:p>
        </w:tc>
        <w:tc>
          <w:tcPr>
            <w:tcW w:w="742" w:type="pct"/>
            <w:noWrap/>
          </w:tcPr>
          <w:p w14:paraId="28AC818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0.04 </w:t>
            </w:r>
          </w:p>
        </w:tc>
        <w:tc>
          <w:tcPr>
            <w:tcW w:w="741" w:type="pct"/>
            <w:noWrap/>
          </w:tcPr>
          <w:p w14:paraId="7CF1522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0.223 </w:t>
            </w:r>
          </w:p>
        </w:tc>
      </w:tr>
      <w:tr w14:paraId="58AE343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0E937294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742" w:type="pct"/>
            <w:noWrap/>
          </w:tcPr>
          <w:p w14:paraId="499F547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2" w:type="pct"/>
            <w:noWrap/>
          </w:tcPr>
          <w:p w14:paraId="0077EB4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-0.26 </w:t>
            </w:r>
          </w:p>
        </w:tc>
        <w:tc>
          <w:tcPr>
            <w:tcW w:w="742" w:type="pct"/>
            <w:noWrap/>
          </w:tcPr>
          <w:p w14:paraId="138A471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0.26 </w:t>
            </w:r>
          </w:p>
        </w:tc>
        <w:tc>
          <w:tcPr>
            <w:tcW w:w="741" w:type="pct"/>
            <w:noWrap/>
          </w:tcPr>
          <w:p w14:paraId="3AD6ACC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0.993 </w:t>
            </w:r>
          </w:p>
        </w:tc>
      </w:tr>
      <w:tr w14:paraId="4E58D2E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775" w:type="pct"/>
            <w:gridSpan w:val="2"/>
            <w:shd w:val="clear" w:color="auto" w:fill="BEBEBE" w:themeFill="background1" w:themeFillShade="BF"/>
            <w:noWrap/>
          </w:tcPr>
          <w:p w14:paraId="2E158702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Length of Oxygen therapy time, 8 (6, 12) days</w:t>
            </w:r>
          </w:p>
        </w:tc>
        <w:tc>
          <w:tcPr>
            <w:tcW w:w="742" w:type="pct"/>
            <w:shd w:val="clear" w:color="auto" w:fill="BEBEBE" w:themeFill="background1" w:themeFillShade="BF"/>
            <w:noWrap/>
          </w:tcPr>
          <w:p w14:paraId="0AE9229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2" w:type="pct"/>
            <w:shd w:val="clear" w:color="auto" w:fill="BEBEBE" w:themeFill="background1" w:themeFillShade="BF"/>
            <w:noWrap/>
          </w:tcPr>
          <w:p w14:paraId="2CE0733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" w:type="pct"/>
            <w:shd w:val="clear" w:color="auto" w:fill="BEBEBE" w:themeFill="background1" w:themeFillShade="BF"/>
            <w:noWrap/>
          </w:tcPr>
          <w:p w14:paraId="39B0CA9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</w:p>
        </w:tc>
      </w:tr>
      <w:tr w14:paraId="0AACE1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409EDB47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LBM</w:t>
            </w:r>
          </w:p>
        </w:tc>
        <w:tc>
          <w:tcPr>
            <w:tcW w:w="742" w:type="pct"/>
            <w:noWrap/>
          </w:tcPr>
          <w:p w14:paraId="294F0EF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0.04 </w:t>
            </w:r>
          </w:p>
        </w:tc>
        <w:tc>
          <w:tcPr>
            <w:tcW w:w="742" w:type="pct"/>
            <w:noWrap/>
          </w:tcPr>
          <w:p w14:paraId="58FD9083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2" w:type="pct"/>
            <w:noWrap/>
          </w:tcPr>
          <w:p w14:paraId="129DE4A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  <w:tc>
          <w:tcPr>
            <w:tcW w:w="741" w:type="pct"/>
            <w:noWrap/>
          </w:tcPr>
          <w:p w14:paraId="4E5AC10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0.070 </w:t>
            </w:r>
          </w:p>
        </w:tc>
      </w:tr>
      <w:tr w14:paraId="52BE503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254FB915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BMR</w:t>
            </w:r>
          </w:p>
        </w:tc>
        <w:tc>
          <w:tcPr>
            <w:tcW w:w="742" w:type="pct"/>
            <w:noWrap/>
          </w:tcPr>
          <w:p w14:paraId="7E7C28D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2" w:type="pct"/>
            <w:noWrap/>
          </w:tcPr>
          <w:p w14:paraId="7C38254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2" w:type="pct"/>
            <w:noWrap/>
          </w:tcPr>
          <w:p w14:paraId="10FC3A1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0.00 </w:t>
            </w:r>
          </w:p>
        </w:tc>
        <w:tc>
          <w:tcPr>
            <w:tcW w:w="741" w:type="pct"/>
            <w:noWrap/>
          </w:tcPr>
          <w:p w14:paraId="374E527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0.092 </w:t>
            </w:r>
          </w:p>
        </w:tc>
      </w:tr>
      <w:tr w14:paraId="39F866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6A18DFB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BFP</w:t>
            </w:r>
          </w:p>
        </w:tc>
        <w:tc>
          <w:tcPr>
            <w:tcW w:w="742" w:type="pct"/>
            <w:noWrap/>
          </w:tcPr>
          <w:p w14:paraId="574A779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-0.04 </w:t>
            </w:r>
          </w:p>
        </w:tc>
        <w:tc>
          <w:tcPr>
            <w:tcW w:w="742" w:type="pct"/>
            <w:noWrap/>
          </w:tcPr>
          <w:p w14:paraId="5EDAEA7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-0.11 </w:t>
            </w:r>
          </w:p>
        </w:tc>
        <w:tc>
          <w:tcPr>
            <w:tcW w:w="742" w:type="pct"/>
            <w:noWrap/>
          </w:tcPr>
          <w:p w14:paraId="0F60E44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0.03 </w:t>
            </w:r>
          </w:p>
        </w:tc>
        <w:tc>
          <w:tcPr>
            <w:tcW w:w="741" w:type="pct"/>
            <w:noWrap/>
          </w:tcPr>
          <w:p w14:paraId="1322D2A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0.289 </w:t>
            </w:r>
          </w:p>
        </w:tc>
      </w:tr>
      <w:tr w14:paraId="2D630B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</w:tblPrEx>
        <w:trPr>
          <w:trHeight w:val="285" w:hRule="atLeast"/>
        </w:trPr>
        <w:tc>
          <w:tcPr>
            <w:tcW w:w="2032" w:type="pct"/>
            <w:noWrap/>
          </w:tcPr>
          <w:p w14:paraId="098D86C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Weight</w:t>
            </w:r>
          </w:p>
        </w:tc>
        <w:tc>
          <w:tcPr>
            <w:tcW w:w="742" w:type="pct"/>
            <w:noWrap/>
          </w:tcPr>
          <w:p w14:paraId="1578E0EE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0.03 </w:t>
            </w:r>
          </w:p>
        </w:tc>
        <w:tc>
          <w:tcPr>
            <w:tcW w:w="742" w:type="pct"/>
            <w:noWrap/>
          </w:tcPr>
          <w:p w14:paraId="5959D35D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-0.04 </w:t>
            </w:r>
          </w:p>
        </w:tc>
        <w:tc>
          <w:tcPr>
            <w:tcW w:w="742" w:type="pct"/>
            <w:noWrap/>
          </w:tcPr>
          <w:p w14:paraId="660E8CD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0.09 </w:t>
            </w:r>
          </w:p>
        </w:tc>
        <w:tc>
          <w:tcPr>
            <w:tcW w:w="741" w:type="pct"/>
            <w:noWrap/>
          </w:tcPr>
          <w:p w14:paraId="573F2B0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0.430 </w:t>
            </w:r>
          </w:p>
        </w:tc>
      </w:tr>
      <w:tr w14:paraId="349502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noWrap/>
          </w:tcPr>
          <w:p w14:paraId="4BB48B2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WBFM</w:t>
            </w:r>
          </w:p>
        </w:tc>
        <w:tc>
          <w:tcPr>
            <w:tcW w:w="742" w:type="pct"/>
            <w:noWrap/>
          </w:tcPr>
          <w:p w14:paraId="684BCB6F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-0.06 </w:t>
            </w:r>
          </w:p>
        </w:tc>
        <w:tc>
          <w:tcPr>
            <w:tcW w:w="742" w:type="pct"/>
            <w:noWrap/>
          </w:tcPr>
          <w:p w14:paraId="3EC840DC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-0.14 </w:t>
            </w:r>
          </w:p>
        </w:tc>
        <w:tc>
          <w:tcPr>
            <w:tcW w:w="742" w:type="pct"/>
            <w:noWrap/>
          </w:tcPr>
          <w:p w14:paraId="236D021A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0.02 </w:t>
            </w:r>
          </w:p>
        </w:tc>
        <w:tc>
          <w:tcPr>
            <w:tcW w:w="741" w:type="pct"/>
            <w:noWrap/>
          </w:tcPr>
          <w:p w14:paraId="27F6728B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0.158 </w:t>
            </w:r>
          </w:p>
        </w:tc>
      </w:tr>
      <w:tr w14:paraId="2292DC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5" w:hRule="atLeast"/>
        </w:trPr>
        <w:tc>
          <w:tcPr>
            <w:tcW w:w="2032" w:type="pct"/>
            <w:tcBorders>
              <w:bottom w:val="single" w:color="auto" w:sz="4" w:space="0"/>
            </w:tcBorders>
            <w:noWrap/>
          </w:tcPr>
          <w:p w14:paraId="539A7208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>BMI</w:t>
            </w:r>
          </w:p>
        </w:tc>
        <w:tc>
          <w:tcPr>
            <w:tcW w:w="742" w:type="pct"/>
            <w:tcBorders>
              <w:bottom w:val="single" w:color="auto" w:sz="4" w:space="0"/>
            </w:tcBorders>
            <w:noWrap/>
          </w:tcPr>
          <w:p w14:paraId="67156FC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-0.01 </w:t>
            </w:r>
          </w:p>
        </w:tc>
        <w:tc>
          <w:tcPr>
            <w:tcW w:w="742" w:type="pct"/>
            <w:tcBorders>
              <w:bottom w:val="single" w:color="auto" w:sz="4" w:space="0"/>
            </w:tcBorders>
            <w:noWrap/>
          </w:tcPr>
          <w:p w14:paraId="3C6DFB16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-0.21 </w:t>
            </w:r>
          </w:p>
        </w:tc>
        <w:tc>
          <w:tcPr>
            <w:tcW w:w="742" w:type="pct"/>
            <w:tcBorders>
              <w:bottom w:val="single" w:color="auto" w:sz="4" w:space="0"/>
            </w:tcBorders>
            <w:noWrap/>
          </w:tcPr>
          <w:p w14:paraId="62465401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0.19 </w:t>
            </w:r>
          </w:p>
        </w:tc>
        <w:tc>
          <w:tcPr>
            <w:tcW w:w="741" w:type="pct"/>
            <w:tcBorders>
              <w:bottom w:val="single" w:color="auto" w:sz="4" w:space="0"/>
            </w:tcBorders>
            <w:noWrap/>
          </w:tcPr>
          <w:p w14:paraId="3F11A279">
            <w:pPr>
              <w:keepNext w:val="0"/>
              <w:keepLines w:val="0"/>
              <w:suppressLineNumbers w:val="0"/>
              <w:spacing w:before="0" w:beforeAutospacing="0" w:after="0" w:afterAutospacing="0" w:line="360" w:lineRule="auto"/>
              <w:ind w:left="0" w:right="0"/>
              <w:rPr>
                <w:rFonts w:hint="eastAsia" w:ascii="Times New Roman" w:hAnsi="Times New Roman" w:cs="Times New Roman"/>
                <w:sz w:val="20"/>
                <w:szCs w:val="20"/>
              </w:rPr>
            </w:pPr>
            <w:r>
              <w:rPr>
                <w:rFonts w:hint="eastAsia" w:ascii="Times New Roman" w:hAnsi="Times New Roman" w:cs="Times New Roman"/>
                <w:sz w:val="20"/>
                <w:szCs w:val="20"/>
              </w:rPr>
              <w:t xml:space="preserve">0.909 </w:t>
            </w:r>
          </w:p>
        </w:tc>
      </w:tr>
    </w:tbl>
    <w:p w14:paraId="618EDBB4">
      <w:pPr>
        <w:spacing w:line="480" w:lineRule="auto"/>
        <w:rPr>
          <w:rFonts w:hint="eastAsia" w:ascii="Times New Roman" w:hAnsi="Times New Roman" w:cs="Times New Roman"/>
          <w:sz w:val="20"/>
          <w:szCs w:val="20"/>
          <w:lang w:val="en-US" w:eastAsia="zh-CN"/>
        </w:rPr>
      </w:pPr>
      <w: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  <w:t xml:space="preserve">Abbreviations: </w:t>
      </w:r>
      <w:r>
        <w:rPr>
          <w:rFonts w:hint="eastAsia" w:ascii="Times New Roman" w:hAnsi="Times New Roman" w:cs="Times New Roman"/>
          <w:sz w:val="20"/>
          <w:szCs w:val="20"/>
          <w:lang w:val="en-US" w:eastAsia="zh-CN"/>
        </w:rPr>
        <w:t>BFP: Body Fat Percentage; BMI: Body Mass Index; BMR: Basal Metabolic Rate; LBM: Lean Body Mass; WBFM: Whole-Body Fat Mass.</w:t>
      </w:r>
    </w:p>
    <w:p w14:paraId="2C8AA159">
      <w:pP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</w:p>
    <w:p w14:paraId="76B45536">
      <w:pP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</w:p>
    <w:p w14:paraId="12921ABE">
      <w:pP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</w:p>
    <w:p w14:paraId="4A8016A8">
      <w:pPr>
        <w:rPr>
          <w:rFonts w:hint="eastAsia" w:ascii="Times New Roman" w:hAnsi="Times New Roman" w:cs="Times New Roman"/>
          <w:b/>
          <w:bCs/>
          <w:sz w:val="20"/>
          <w:szCs w:val="20"/>
          <w:lang w:val="en-US" w:eastAsia="zh-CN"/>
        </w:rPr>
      </w:pPr>
    </w:p>
    <w:p w14:paraId="1D7DBED5">
      <w:pPr>
        <w:spacing w:line="480" w:lineRule="auto"/>
        <w:rPr>
          <w:rFonts w:hint="default" w:ascii="Times New Roman" w:hAnsi="Times New Roman" w:cs="Times New Roman" w:eastAsiaTheme="minorEastAsia"/>
          <w:b/>
          <w:bCs/>
          <w:sz w:val="20"/>
          <w:szCs w:val="20"/>
          <w:lang w:val="en-US" w:eastAsia="zh-CN"/>
        </w:rPr>
      </w:pPr>
      <w:r>
        <w:rPr>
          <w:rFonts w:hint="default" w:ascii="Times New Roman" w:hAnsi="Times New Roman" w:cs="Times New Roman"/>
          <w:b/>
          <w:bCs/>
          <w:sz w:val="20"/>
          <w:szCs w:val="20"/>
          <w:lang w:val="en-US" w:eastAsia="zh-CN"/>
        </w:rPr>
        <w:t>References:</w:t>
      </w:r>
    </w:p>
    <w:p w14:paraId="1AB2C334">
      <w:pPr>
        <w:spacing w:line="480" w:lineRule="auto"/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</w:p>
    <w:p w14:paraId="42BFE346">
      <w:pPr>
        <w:pStyle w:val="15"/>
        <w:bidi w:val="0"/>
        <w:spacing w:line="480" w:lineRule="auto"/>
        <w:ind w:left="720" w:hanging="720"/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fldChar w:fldCharType="begin"/>
      </w:r>
      <w:r>
        <w:rPr>
          <w:rFonts w:hint="default" w:ascii="Times New Roman" w:hAnsi="Times New Roman" w:cs="Times New Roman"/>
          <w:sz w:val="20"/>
          <w:szCs w:val="20"/>
          <w:lang w:eastAsia="zh-CN"/>
        </w:rPr>
        <w:instrText xml:space="preserve"> ADDIN EN.REFLIST </w:instrText>
      </w: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fldChar w:fldCharType="separate"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1.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ab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Ruan H, Li S-S, Zhang Q, Ran X: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Elevated MMP-8 levels, inversely associated with BMI, predict mortality in mechanically ventilated patients: an observational multicenter study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. </w:t>
      </w:r>
      <w:r>
        <w:rPr>
          <w:rFonts w:hint="default" w:ascii="Times New Roman" w:hAnsi="Times New Roman" w:eastAsia="等线" w:cs="Times New Roman"/>
          <w:i/>
          <w:kern w:val="2"/>
          <w:sz w:val="20"/>
          <w:szCs w:val="22"/>
          <w:lang w:val="en-US" w:eastAsia="zh-CN" w:bidi="ar-SA"/>
          <w14:ligatures w14:val="standardContextual"/>
        </w:rPr>
        <w:t xml:space="preserve">Critical care (London, England) 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2023,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27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(1):290-290.</w:t>
      </w:r>
    </w:p>
    <w:p w14:paraId="65CEB751">
      <w:pPr>
        <w:pStyle w:val="15"/>
        <w:bidi w:val="0"/>
        <w:spacing w:line="480" w:lineRule="auto"/>
        <w:ind w:left="720" w:hanging="720"/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2.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ab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Li J, Shang J, Guo B, Gong J, Xu H: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Establishment of Prediction Equations of Lean Body Mass Suitable for Chinese Adults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. </w:t>
      </w:r>
      <w:r>
        <w:rPr>
          <w:rFonts w:hint="default" w:ascii="Times New Roman" w:hAnsi="Times New Roman" w:eastAsia="等线" w:cs="Times New Roman"/>
          <w:i/>
          <w:kern w:val="2"/>
          <w:sz w:val="20"/>
          <w:szCs w:val="22"/>
          <w:lang w:val="en-US" w:eastAsia="zh-CN" w:bidi="ar-SA"/>
          <w14:ligatures w14:val="standardContextual"/>
        </w:rPr>
        <w:t xml:space="preserve">Biomed Research International 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2019,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2019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.</w:t>
      </w:r>
    </w:p>
    <w:p w14:paraId="11262F7F">
      <w:pPr>
        <w:pStyle w:val="15"/>
        <w:bidi w:val="0"/>
        <w:spacing w:line="480" w:lineRule="auto"/>
        <w:ind w:left="720" w:hanging="720"/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3.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ab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Deurenberg-Yap M, Schmidt G, van Staveren WA, Deurenberg P: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The paradox of low body mass index and high body fat percentage among Chinese, Malays and Indians in Singapore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. </w:t>
      </w:r>
      <w:r>
        <w:rPr>
          <w:rFonts w:hint="default" w:ascii="Times New Roman" w:hAnsi="Times New Roman" w:eastAsia="等线" w:cs="Times New Roman"/>
          <w:i/>
          <w:kern w:val="2"/>
          <w:sz w:val="20"/>
          <w:szCs w:val="22"/>
          <w:lang w:val="en-US" w:eastAsia="zh-CN" w:bidi="ar-SA"/>
          <w14:ligatures w14:val="standardContextual"/>
        </w:rPr>
        <w:t xml:space="preserve">International Journal of Obesity 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2000,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24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(8):1011-1017.</w:t>
      </w:r>
    </w:p>
    <w:p w14:paraId="436D6607">
      <w:pPr>
        <w:pStyle w:val="15"/>
        <w:bidi w:val="0"/>
        <w:spacing w:line="480" w:lineRule="auto"/>
        <w:ind w:left="720" w:hanging="720"/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4.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ab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Umapathysivam K, Tufanaru C, Visvanathan R, Yu S: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Anthropometric prediction equations for estimating body mass composition: a scoping review protocol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. </w:t>
      </w:r>
      <w:r>
        <w:rPr>
          <w:rFonts w:hint="default" w:ascii="Times New Roman" w:hAnsi="Times New Roman" w:eastAsia="等线" w:cs="Times New Roman"/>
          <w:i/>
          <w:kern w:val="2"/>
          <w:sz w:val="20"/>
          <w:szCs w:val="22"/>
          <w:lang w:val="en-US" w:eastAsia="zh-CN" w:bidi="ar-SA"/>
          <w14:ligatures w14:val="standardContextual"/>
        </w:rPr>
        <w:t xml:space="preserve">JBI database of systematic reviews and implementation reports 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2017,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15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(10):2427-2432.</w:t>
      </w:r>
    </w:p>
    <w:p w14:paraId="352A3FDF">
      <w:pPr>
        <w:pStyle w:val="15"/>
        <w:bidi w:val="0"/>
        <w:spacing w:line="480" w:lineRule="auto"/>
        <w:ind w:left="720" w:hanging="720"/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5.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ab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Camps SG, Wang NX, Tan WSK, Henry CJ: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Estimation of basal metabolic rate in Chinese: are the current prediction equations applicable?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 </w:t>
      </w:r>
      <w:r>
        <w:rPr>
          <w:rFonts w:hint="default" w:ascii="Times New Roman" w:hAnsi="Times New Roman" w:eastAsia="等线" w:cs="Times New Roman"/>
          <w:i/>
          <w:kern w:val="2"/>
          <w:sz w:val="20"/>
          <w:szCs w:val="22"/>
          <w:lang w:val="en-US" w:eastAsia="zh-CN" w:bidi="ar-SA"/>
          <w14:ligatures w14:val="standardContextual"/>
        </w:rPr>
        <w:t xml:space="preserve">Nutrition Journal 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2016,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15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.</w:t>
      </w:r>
    </w:p>
    <w:p w14:paraId="2F94D2FC">
      <w:pPr>
        <w:pStyle w:val="15"/>
        <w:bidi w:val="0"/>
        <w:spacing w:line="480" w:lineRule="auto"/>
        <w:ind w:left="720" w:hanging="720"/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</w:pP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6.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ab/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Shen Y, Cheng X, Ying M, Chang H-T, Zhang W: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Association between serum osmolarity and mortality in patients who are critically ill: a retrospective cohort study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. </w:t>
      </w:r>
      <w:r>
        <w:rPr>
          <w:rFonts w:hint="default" w:ascii="Times New Roman" w:hAnsi="Times New Roman" w:eastAsia="等线" w:cs="Times New Roman"/>
          <w:i/>
          <w:kern w:val="2"/>
          <w:sz w:val="20"/>
          <w:szCs w:val="22"/>
          <w:lang w:val="en-US" w:eastAsia="zh-CN" w:bidi="ar-SA"/>
          <w14:ligatures w14:val="standardContextual"/>
        </w:rPr>
        <w:t xml:space="preserve">Bmj Open 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 xml:space="preserve">2017, </w:t>
      </w:r>
      <w:r>
        <w:rPr>
          <w:rFonts w:hint="default" w:ascii="Times New Roman" w:hAnsi="Times New Roman" w:eastAsia="等线" w:cs="Times New Roman"/>
          <w:b/>
          <w:kern w:val="2"/>
          <w:sz w:val="20"/>
          <w:szCs w:val="22"/>
          <w:lang w:val="en-US" w:eastAsia="zh-CN" w:bidi="ar-SA"/>
          <w14:ligatures w14:val="standardContextual"/>
        </w:rPr>
        <w:t>7</w:t>
      </w:r>
      <w:r>
        <w:rPr>
          <w:rFonts w:hint="default" w:ascii="Times New Roman" w:hAnsi="Times New Roman" w:eastAsia="等线" w:cs="Times New Roman"/>
          <w:kern w:val="2"/>
          <w:sz w:val="20"/>
          <w:szCs w:val="22"/>
          <w:lang w:val="en-US" w:eastAsia="zh-CN" w:bidi="ar-SA"/>
          <w14:ligatures w14:val="standardContextual"/>
        </w:rPr>
        <w:t>(5).</w:t>
      </w:r>
    </w:p>
    <w:p w14:paraId="70542D1E">
      <w:pPr>
        <w:spacing w:line="480" w:lineRule="auto"/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</w:pPr>
      <w:r>
        <w:rPr>
          <w:rFonts w:hint="default" w:ascii="Times New Roman" w:hAnsi="Times New Roman" w:cs="Times New Roman" w:eastAsiaTheme="minorEastAsia"/>
          <w:sz w:val="20"/>
          <w:szCs w:val="20"/>
          <w:lang w:eastAsia="zh-CN"/>
        </w:rPr>
        <w:fldChar w:fldCharType="end"/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1955215976"/>
      <w:docPartObj>
        <w:docPartGallery w:val="autotext"/>
      </w:docPartObj>
    </w:sdtPr>
    <w:sdtContent>
      <w:sdt>
        <w:sdtPr>
          <w:id w:val="1728636285"/>
          <w:docPartObj>
            <w:docPartGallery w:val="autotext"/>
          </w:docPartObj>
        </w:sdtPr>
        <w:sdtContent>
          <w:p w14:paraId="4541C377">
            <w:pPr>
              <w:pStyle w:val="3"/>
              <w:jc w:val="center"/>
              <w:rPr>
                <w:rFonts w:hint="eastAsia"/>
              </w:rPr>
            </w:pPr>
            <w:r>
              <w:rPr>
                <w:lang w:val="zh-CN"/>
              </w:rPr>
              <w:t xml:space="preserve">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zh-CN"/>
              </w:rPr>
              <w:t xml:space="preserve"> /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zh-CN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C106F57">
    <w:pPr>
      <w:pStyle w:val="3"/>
      <w:rPr>
        <w:rFonts w:hint="eastAsia"/>
      </w:rP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98381352"/>
      <w:docPartObj>
        <w:docPartGallery w:val="autotext"/>
      </w:docPartObj>
    </w:sdtPr>
    <w:sdtContent>
      <w:p w14:paraId="0812A458">
        <w:pPr>
          <w:pStyle w:val="4"/>
          <w:rPr>
            <w:rFonts w:hint="eastAsia"/>
          </w:rPr>
        </w:pPr>
        <w:r>
          <w:rPr>
            <w:lang w:val="zh-CN"/>
          </w:rPr>
          <w:t xml:space="preserve">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PAGE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zh-CN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  <w:r>
          <w:rPr>
            <w:lang w:val="zh-CN"/>
          </w:rPr>
          <w:t xml:space="preserve"> / </w:t>
        </w:r>
        <w:r>
          <w:rPr>
            <w:b/>
            <w:bCs/>
            <w:sz w:val="24"/>
            <w:szCs w:val="24"/>
          </w:rPr>
          <w:fldChar w:fldCharType="begin"/>
        </w:r>
        <w:r>
          <w:rPr>
            <w:b/>
            <w:bCs/>
          </w:rPr>
          <w:instrText xml:space="preserve">NUMPAGES</w:instrText>
        </w:r>
        <w:r>
          <w:rPr>
            <w:b/>
            <w:bCs/>
            <w:sz w:val="24"/>
            <w:szCs w:val="24"/>
          </w:rPr>
          <w:fldChar w:fldCharType="separate"/>
        </w:r>
        <w:r>
          <w:rPr>
            <w:b/>
            <w:bCs/>
            <w:lang w:val="zh-CN"/>
          </w:rPr>
          <w:t>2</w:t>
        </w:r>
        <w:r>
          <w:rPr>
            <w:b/>
            <w:bCs/>
            <w:sz w:val="24"/>
            <w:szCs w:val="24"/>
          </w:rPr>
          <w:fldChar w:fldCharType="end"/>
        </w:r>
      </w:p>
    </w:sdtContent>
  </w:sdt>
  <w:p w14:paraId="32F367E5">
    <w:pPr>
      <w:pStyle w:val="4"/>
      <w:rPr>
        <w:rFonts w:hint="eastAsi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isplayHorizontalDrawingGridEvery w:val="0"/>
  <w:displayVerticalDrawingGridEvery w:val="2"/>
  <w:characterSpacingControl w:val="doNotCompress"/>
  <w:compat>
    <w:balanceSingleByteDoubleByteWidth/>
    <w:doNotExpandShiftReturn/>
    <w:adjustLineHeightInTable/>
    <w:useFELayout/>
    <w:compatSetting w:name="compatibilityMode" w:uri="http://schemas.microsoft.com/office/word" w:val="12"/>
  </w:compat>
  <w:docVars>
    <w:docVar w:name="EN.Layout" w:val="&lt;ENLayout&gt;&lt;Style&gt;BMC Emergency Medicine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e00p5r09utfx9he92v3vepr7sfzv9vf9tfzx&quot;&gt;My EndNote Library&lt;record-ids&gt;&lt;item&gt;57&lt;/item&gt;&lt;item&gt;734&lt;/item&gt;&lt;item&gt;735&lt;/item&gt;&lt;item&gt;737&lt;/item&gt;&lt;item&gt;754&lt;/item&gt;&lt;/record-ids&gt;&lt;/item&gt;&lt;/Libraries&gt;"/>
    <w:docVar w:name="KY_MEDREF_DOCUID" w:val="{EFE847AE-B5B5-4416-82B5-5290367A4A5F}"/>
    <w:docVar w:name="KY_MEDREF_VERSION" w:val="3"/>
  </w:docVars>
  <w:rsids>
    <w:rsidRoot w:val="00D54FCA"/>
    <w:rsid w:val="00005177"/>
    <w:rsid w:val="00020089"/>
    <w:rsid w:val="00046417"/>
    <w:rsid w:val="00065E81"/>
    <w:rsid w:val="000777F3"/>
    <w:rsid w:val="000B2886"/>
    <w:rsid w:val="000C16BB"/>
    <w:rsid w:val="000C78EF"/>
    <w:rsid w:val="000D5B84"/>
    <w:rsid w:val="00122363"/>
    <w:rsid w:val="00150EB5"/>
    <w:rsid w:val="00175514"/>
    <w:rsid w:val="00176511"/>
    <w:rsid w:val="001E4257"/>
    <w:rsid w:val="001F291C"/>
    <w:rsid w:val="00212790"/>
    <w:rsid w:val="00234CFF"/>
    <w:rsid w:val="0023600B"/>
    <w:rsid w:val="002668D5"/>
    <w:rsid w:val="00287BBF"/>
    <w:rsid w:val="00292A89"/>
    <w:rsid w:val="00293BF5"/>
    <w:rsid w:val="002F2769"/>
    <w:rsid w:val="002F3B67"/>
    <w:rsid w:val="003201EE"/>
    <w:rsid w:val="00401CC1"/>
    <w:rsid w:val="00447E3C"/>
    <w:rsid w:val="00476164"/>
    <w:rsid w:val="004A020B"/>
    <w:rsid w:val="004B4431"/>
    <w:rsid w:val="004B76E7"/>
    <w:rsid w:val="004D0B16"/>
    <w:rsid w:val="00500E86"/>
    <w:rsid w:val="00512200"/>
    <w:rsid w:val="00535509"/>
    <w:rsid w:val="005C0BDD"/>
    <w:rsid w:val="005C4356"/>
    <w:rsid w:val="00612E9F"/>
    <w:rsid w:val="00650B81"/>
    <w:rsid w:val="00684E18"/>
    <w:rsid w:val="00686D3A"/>
    <w:rsid w:val="00697611"/>
    <w:rsid w:val="006C5A95"/>
    <w:rsid w:val="0070142A"/>
    <w:rsid w:val="00704D75"/>
    <w:rsid w:val="00713E3B"/>
    <w:rsid w:val="0072724F"/>
    <w:rsid w:val="00754932"/>
    <w:rsid w:val="0078224D"/>
    <w:rsid w:val="007966FA"/>
    <w:rsid w:val="00796FAD"/>
    <w:rsid w:val="007B6263"/>
    <w:rsid w:val="007E551B"/>
    <w:rsid w:val="00816C74"/>
    <w:rsid w:val="008221BA"/>
    <w:rsid w:val="00831C09"/>
    <w:rsid w:val="00841EB5"/>
    <w:rsid w:val="00855D23"/>
    <w:rsid w:val="00884876"/>
    <w:rsid w:val="008F0EE3"/>
    <w:rsid w:val="00906B4D"/>
    <w:rsid w:val="00947707"/>
    <w:rsid w:val="00974E09"/>
    <w:rsid w:val="00977B51"/>
    <w:rsid w:val="009852EE"/>
    <w:rsid w:val="009A05F0"/>
    <w:rsid w:val="009A4C96"/>
    <w:rsid w:val="009E2625"/>
    <w:rsid w:val="009E55ED"/>
    <w:rsid w:val="00A46930"/>
    <w:rsid w:val="00A646CC"/>
    <w:rsid w:val="00AA4EC9"/>
    <w:rsid w:val="00AE1CB2"/>
    <w:rsid w:val="00AE483E"/>
    <w:rsid w:val="00B1036D"/>
    <w:rsid w:val="00B4295F"/>
    <w:rsid w:val="00B44593"/>
    <w:rsid w:val="00B73F2F"/>
    <w:rsid w:val="00B870A0"/>
    <w:rsid w:val="00BA3735"/>
    <w:rsid w:val="00BC64EB"/>
    <w:rsid w:val="00C21AD3"/>
    <w:rsid w:val="00C22BF5"/>
    <w:rsid w:val="00C257D0"/>
    <w:rsid w:val="00C414E3"/>
    <w:rsid w:val="00C473D0"/>
    <w:rsid w:val="00C56876"/>
    <w:rsid w:val="00C62A21"/>
    <w:rsid w:val="00CB1F73"/>
    <w:rsid w:val="00CB53E3"/>
    <w:rsid w:val="00CD5404"/>
    <w:rsid w:val="00CE0C49"/>
    <w:rsid w:val="00D0150E"/>
    <w:rsid w:val="00D11451"/>
    <w:rsid w:val="00D1456B"/>
    <w:rsid w:val="00D33AA1"/>
    <w:rsid w:val="00D448A7"/>
    <w:rsid w:val="00D54FCA"/>
    <w:rsid w:val="00DA367C"/>
    <w:rsid w:val="00DB2F76"/>
    <w:rsid w:val="00DC3047"/>
    <w:rsid w:val="00E02835"/>
    <w:rsid w:val="00E20A94"/>
    <w:rsid w:val="00E22B1D"/>
    <w:rsid w:val="00E8289B"/>
    <w:rsid w:val="00E835BD"/>
    <w:rsid w:val="00E93F10"/>
    <w:rsid w:val="00EF52E0"/>
    <w:rsid w:val="00F11EF3"/>
    <w:rsid w:val="00F51DDF"/>
    <w:rsid w:val="00FB2F98"/>
    <w:rsid w:val="02883275"/>
    <w:rsid w:val="0850455A"/>
    <w:rsid w:val="10D91F63"/>
    <w:rsid w:val="14F67E81"/>
    <w:rsid w:val="1505553D"/>
    <w:rsid w:val="22B04FE0"/>
    <w:rsid w:val="2BF10BCA"/>
    <w:rsid w:val="2CD8017D"/>
    <w:rsid w:val="2DDE2CF3"/>
    <w:rsid w:val="30532BF4"/>
    <w:rsid w:val="384712E5"/>
    <w:rsid w:val="39E9692C"/>
    <w:rsid w:val="3C5938F5"/>
    <w:rsid w:val="431D75A7"/>
    <w:rsid w:val="43C612D8"/>
    <w:rsid w:val="46A2058E"/>
    <w:rsid w:val="47022DDB"/>
    <w:rsid w:val="485458B8"/>
    <w:rsid w:val="4BA57FE8"/>
    <w:rsid w:val="51452242"/>
    <w:rsid w:val="52550248"/>
    <w:rsid w:val="5B490B80"/>
    <w:rsid w:val="63876475"/>
    <w:rsid w:val="63E41655"/>
    <w:rsid w:val="660E4EA0"/>
    <w:rsid w:val="66C54244"/>
    <w:rsid w:val="6B65417C"/>
    <w:rsid w:val="6DD54C21"/>
    <w:rsid w:val="711C47FF"/>
    <w:rsid w:val="75910487"/>
    <w:rsid w:val="7F5445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2767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等线" w:hAnsi="等线" w:eastAsia="等线" w:cs="等线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1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pPr>
      <w:keepNext w:val="0"/>
      <w:keepLines w:val="0"/>
      <w:widowControl/>
      <w:suppressLineNumbers w:val="0"/>
      <w:spacing w:before="0" w:beforeAutospacing="0" w:after="0" w:afterAutospacing="0"/>
      <w:ind w:left="0" w:right="0"/>
    </w:pPr>
    <w:rPr>
      <w:rFonts w:hint="eastAsia" w:ascii="等线" w:hAnsi="等线" w:eastAsia="等线" w:cs="等线"/>
      <w:sz w:val="20"/>
      <w:szCs w:val="20"/>
    </w:rPr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toc 1"/>
    <w:basedOn w:val="1"/>
    <w:next w:val="1"/>
    <w:autoRedefine/>
    <w:unhideWhenUsed/>
    <w:qFormat/>
    <w:uiPriority w:val="39"/>
  </w:style>
  <w:style w:type="table" w:styleId="7">
    <w:name w:val="Table Grid"/>
    <w:basedOn w:val="6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9">
    <w:name w:val="Hyperlink"/>
    <w:basedOn w:val="8"/>
    <w:unhideWhenUsed/>
    <w:qFormat/>
    <w:uiPriority w:val="99"/>
    <w:rPr>
      <w:color w:val="0563C1" w:themeColor="hyperlink"/>
      <w:u w:val="single"/>
    </w:rPr>
  </w:style>
  <w:style w:type="character" w:customStyle="1" w:styleId="10">
    <w:name w:val="页眉 字符"/>
    <w:basedOn w:val="8"/>
    <w:link w:val="4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3"/>
    <w:qFormat/>
    <w:uiPriority w:val="99"/>
    <w:rPr>
      <w:sz w:val="18"/>
      <w:szCs w:val="18"/>
    </w:rPr>
  </w:style>
  <w:style w:type="character" w:customStyle="1" w:styleId="12">
    <w:name w:val="标题 1 字符"/>
    <w:basedOn w:val="8"/>
    <w:link w:val="2"/>
    <w:qFormat/>
    <w:uiPriority w:val="9"/>
    <w:rPr>
      <w:b/>
      <w:bCs/>
      <w:kern w:val="44"/>
      <w:sz w:val="44"/>
      <w:szCs w:val="44"/>
    </w:rPr>
  </w:style>
  <w:style w:type="paragraph" w:customStyle="1" w:styleId="13">
    <w:name w:val="TOC Heading"/>
    <w:basedOn w:val="2"/>
    <w:next w:val="1"/>
    <w:unhideWhenUsed/>
    <w:qFormat/>
    <w:uiPriority w:val="39"/>
    <w:pPr>
      <w:widowControl/>
      <w:spacing w:before="240" w:after="0" w:line="259" w:lineRule="auto"/>
      <w:jc w:val="left"/>
      <w:outlineLvl w:val="9"/>
    </w:pPr>
    <w:rPr>
      <w:rFonts w:asciiTheme="majorHAnsi" w:hAnsiTheme="majorHAnsi" w:eastAsiaTheme="majorEastAsia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customStyle="1" w:styleId="14">
    <w:name w:val="EndNote Bibliography Title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center"/>
    </w:pPr>
    <w:rPr>
      <w:rFonts w:hint="eastAsia" w:ascii="等线" w:hAnsi="等线" w:eastAsia="等线" w:cs="等线"/>
      <w:kern w:val="2"/>
      <w:sz w:val="20"/>
      <w:szCs w:val="22"/>
      <w:lang w:val="en-US" w:eastAsia="zh-CN" w:bidi="ar-SA"/>
      <w14:ligatures w14:val="standardContextual"/>
    </w:rPr>
  </w:style>
  <w:style w:type="paragraph" w:customStyle="1" w:styleId="15">
    <w:name w:val="EndNote Bibliography"/>
    <w:qFormat/>
    <w:uiPriority w:val="0"/>
    <w:pPr>
      <w:pBdr>
        <w:top w:val="none" w:color="auto" w:sz="0" w:space="0"/>
        <w:left w:val="none" w:color="auto" w:sz="0" w:space="0"/>
        <w:bottom w:val="none" w:color="auto" w:sz="0" w:space="0"/>
        <w:right w:val="none" w:color="auto" w:sz="0" w:space="0"/>
        <w:between w:val="none" w:color="auto" w:sz="0" w:space="0"/>
      </w:pBdr>
      <w:jc w:val="both"/>
    </w:pPr>
    <w:rPr>
      <w:rFonts w:hint="eastAsia" w:ascii="等线" w:hAnsi="等线" w:eastAsia="等线" w:cs="等线"/>
      <w:kern w:val="2"/>
      <w:sz w:val="20"/>
      <w:szCs w:val="22"/>
      <w:lang w:val="en-US" w:eastAsia="zh-CN" w:bidi="ar-SA"/>
      <w14:ligatures w14:val="standardContextual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tiff"/><Relationship Id="rId6" Type="http://schemas.openxmlformats.org/officeDocument/2006/relationships/image" Target="media/image1.tiff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3AF44EE-DC98-4EDB-8030-54BB5BD2C907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14</Pages>
  <Words>255</Words>
  <Characters>1646</Characters>
  <Lines>48</Lines>
  <Paragraphs>13</Paragraphs>
  <TotalTime>1</TotalTime>
  <ScaleCrop>false</ScaleCrop>
  <LinksUpToDate>false</LinksUpToDate>
  <CharactersWithSpaces>1895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2024-08-08T04:23:00Z</dcterms:created>
  <dc:creator>hang ruan</dc:creator>
  <cp:lastModifiedBy>阮航</cp:lastModifiedBy>
  <dcterms:modified xsi:type="dcterms:W3CDTF">2025-12-12T13:11:15Z</dcterms:modified>
  <cp:revision>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eyJoZGlkIjoiNTY2OGE5MmI2Yjk5YTBjYThkOWI1NGUwMjdmNzQ4MjkiLCJ1c2VySWQiOiIzMDM3MDg5NzcifQ==</vt:lpwstr>
  </property>
  <property fmtid="{D5CDD505-2E9C-101B-9397-08002B2CF9AE}" pid="3" name="KSOProductBuildVer">
    <vt:lpwstr>2052-12.1.0.24034</vt:lpwstr>
  </property>
  <property fmtid="{D5CDD505-2E9C-101B-9397-08002B2CF9AE}" pid="4" name="ICV">
    <vt:lpwstr>125E81CFF7E94E8FA88EB7BA01B2A9D0_12</vt:lpwstr>
  </property>
</Properties>
</file>