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b/>
        </w:rPr>
      </w:pPr>
      <w:r>
        <w:rPr>
          <w:b/>
        </w:rPr>
        <w:t xml:space="preserve">Figure 1s. PRISMA 2020 flow diagram </w:t>
      </w:r>
    </w:p>
    <w:p>
      <w:pPr>
        <w:pStyle w:val="Normal"/>
        <w:spacing w:lineRule="auto" w:line="240" w:before="0" w:after="0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spacing w:lineRule="auto" w:line="240" w:before="0" w:after="0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spacing w:lineRule="auto" w:line="240" w:before="0" w:after="0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22860" distL="0" distR="17780" simplePos="0" locked="0" layoutInCell="1" allowOverlap="1" relativeHeight="22" wp14:anchorId="0A1B3F5E">
                <wp:simplePos x="0" y="0"/>
                <wp:positionH relativeFrom="column">
                  <wp:posOffset>567055</wp:posOffset>
                </wp:positionH>
                <wp:positionV relativeFrom="paragraph">
                  <wp:posOffset>74295</wp:posOffset>
                </wp:positionV>
                <wp:extent cx="4345305" cy="262890"/>
                <wp:effectExtent l="7620" t="6985" r="6350" b="6985"/>
                <wp:wrapNone/>
                <wp:docPr id="1" name="Flowchart: Alternate Process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00" cy="262800"/>
                        </a:xfrm>
                        <a:prstGeom prst="flowChartAlternateProcess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bc8e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path="m,3600qy@5@6l@0,qx@7@5l21600@1qy@8@9l3600,21600qx@6@8xe">
                <v:stroke joinstyle="miter"/>
                <v:formulas>
                  <v:f eqn="sum width 0 3600"/>
                  <v:f eqn="sum height 0 3600"/>
                  <v:f eqn="prod 3600 2929 10000"/>
                  <v:f eqn="sum width 0 @2"/>
                  <v:f eqn="sum height 0 @2"/>
                  <v:f eqn="sum 3600 0 0"/>
                  <v:f eqn="sum 0 3600 3600"/>
                  <v:f eqn="sum 3600 @0 0"/>
                  <v:f eqn="sum 0 21600 3600"/>
                  <v:f eqn="sum 3600 @1 0"/>
                </v:formulas>
                <v:path gradientshapeok="t" o:connecttype="rect" textboxrect="@2,@2,@3,@4"/>
              </v:shapetype>
              <v:shape id="shape_0" ID="Flowchart: Alternate Process 29" path="l-2147483647,-2147483647l-2147483636,-2147483635l-2147483646,0l-2147483647,-2147483647l-2147483634,-2147483633l-2147483637,-2147483645l-2147483647,-2147483647xe" fillcolor="#ffc000" stroked="t" o:allowincell="f" style="position:absolute;margin-left:44.65pt;margin-top:5.85pt;width:342.1pt;height:20.65pt;mso-wrap-style:square;v-text-anchor:middle" wp14:anchorId="0A1B3F5E" type="_x0000_t176">
                <v:fill o:detectmouseclick="t" type="solid" color2="#003fff"/>
                <v:stroke color="#bc8e00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b/>
                          <w:color w:themeColor="text1"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themeColor="text1" w:val="000000"/>
                          <w:sz w:val="18"/>
                          <w:szCs w:val="18"/>
                        </w:rPr>
                        <w:t>Identification of studies via databases and registers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13970" distL="0" distR="17780" simplePos="0" locked="0" layoutInCell="1" allowOverlap="1" relativeHeight="3" wp14:anchorId="65FC63CD">
                <wp:simplePos x="0" y="0"/>
                <wp:positionH relativeFrom="column">
                  <wp:posOffset>559435</wp:posOffset>
                </wp:positionH>
                <wp:positionV relativeFrom="paragraph">
                  <wp:posOffset>76835</wp:posOffset>
                </wp:positionV>
                <wp:extent cx="1887220" cy="1243330"/>
                <wp:effectExtent l="6350" t="6350" r="6350" b="6350"/>
                <wp:wrapNone/>
                <wp:docPr id="2" name="Rectangl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1243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start="284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Records identified through database searching (n = 65)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" path="m0,0l-2147483645,0l-2147483645,-2147483646l0,-2147483646xe" stroked="t" o:allowincell="f" style="position:absolute;margin-left:44.05pt;margin-top:6.05pt;width:148.55pt;height:97.85pt;mso-wrap-style:square;v-text-anchor:middle" wp14:anchorId="65FC63CD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start="284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Records identified through database searching (n = 65)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4605" distL="0" distR="17780" simplePos="0" locked="0" layoutInCell="1" allowOverlap="1" relativeHeight="5" wp14:anchorId="07961AC4">
                <wp:simplePos x="0" y="0"/>
                <wp:positionH relativeFrom="column">
                  <wp:posOffset>3039745</wp:posOffset>
                </wp:positionH>
                <wp:positionV relativeFrom="paragraph">
                  <wp:posOffset>76835</wp:posOffset>
                </wp:positionV>
                <wp:extent cx="1887220" cy="1243330"/>
                <wp:effectExtent l="6350" t="6350" r="6350" b="6350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1243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start="284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Duplicated records removed (n = 6)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stroked="t" o:allowincell="f" style="position:absolute;margin-left:239.35pt;margin-top:6.05pt;width:148.55pt;height:97.85pt;mso-wrap-style:square;v-text-anchor:middle" wp14:anchorId="07961AC4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start="284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Duplicated records removed (n = 6)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6985" distB="11430" distL="0" distR="11430" simplePos="0" locked="0" layoutInCell="1" allowOverlap="1" relativeHeight="24" wp14:anchorId="3999D40D">
                <wp:simplePos x="0" y="0"/>
                <wp:positionH relativeFrom="column">
                  <wp:posOffset>-403225</wp:posOffset>
                </wp:positionH>
                <wp:positionV relativeFrom="paragraph">
                  <wp:posOffset>221615</wp:posOffset>
                </wp:positionV>
                <wp:extent cx="1276985" cy="262890"/>
                <wp:effectExtent l="6985" t="6985" r="6985" b="6985"/>
                <wp:wrapNone/>
                <wp:docPr id="4" name="Flowchart: Alternate Process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20" cy="26280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Flowchart: Alternate Process 31" path="l-2147483647,-2147483647l-2147483636,-2147483635l-2147483646,0l-2147483647,-2147483647l-2147483634,-2147483633l-2147483637,-2147483645l-2147483647,-2147483647xe" fillcolor="#9dc3e6" stroked="t" o:allowincell="f" style="position:absolute;margin-left:-31.75pt;margin-top:17.4pt;width:100.5pt;height:20.65pt;mso-wrap-style:square;v-text-anchor:middle;rotation:270" wp14:anchorId="3999D40D" type="_x0000_t176">
                <v:fill o:detectmouseclick="t" type="solid" color2="#623c19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b/>
                          <w:color w:themeColor="text1"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themeColor="text1" w:val="000000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76200" distB="95250" distL="0" distR="27305" simplePos="0" locked="0" layoutInCell="1" allowOverlap="1" relativeHeight="19" wp14:anchorId="17302BD8">
                <wp:simplePos x="0" y="0"/>
                <wp:positionH relativeFrom="column">
                  <wp:posOffset>2454275</wp:posOffset>
                </wp:positionH>
                <wp:positionV relativeFrom="paragraph">
                  <wp:posOffset>9525</wp:posOffset>
                </wp:positionV>
                <wp:extent cx="563245" cy="635"/>
                <wp:effectExtent l="1270" t="37465" r="0" b="38100"/>
                <wp:wrapNone/>
                <wp:docPr id="5" name="Straight Arrow Connector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400" cy="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14" path="m0,0l-2147483648,-2147483647e" stroked="t" o:allowincell="f" style="position:absolute;margin-left:193.25pt;margin-top:0.75pt;width:44.3pt;height:0pt;mso-wrap-style:none;v-text-anchor:middle" wp14:anchorId="17302BD8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61595" distL="76200" distR="57150" simplePos="0" locked="0" layoutInCell="1" allowOverlap="1" relativeHeight="30" wp14:anchorId="56EC9F21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635" cy="281305"/>
                <wp:effectExtent l="38100" t="1270" r="37465" b="0"/>
                <wp:wrapNone/>
                <wp:docPr id="6" name="Straight Arrow Connector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811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27" path="m0,0l-2147483648,-2147483647e" stroked="t" o:allowincell="f" style="position:absolute;margin-left:110.25pt;margin-top:10.15pt;width:0pt;height:22.1pt;mso-wrap-style:none;v-text-anchor:middle" wp14:anchorId="56EC9F21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26035" distL="0" distR="17780" simplePos="0" locked="0" layoutInCell="1" allowOverlap="1" relativeHeight="7" wp14:anchorId="4C37AEA5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6350" t="6985" r="6350" b="5715"/>
                <wp:wrapNone/>
                <wp:docPr id="7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526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Records after duplicates removed (n = 59)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3" path="m0,0l-2147483645,0l-2147483645,-2147483646l0,-2147483646xe" stroked="t" o:allowincell="f" style="position:absolute;margin-left:44.05pt;margin-top:5.9pt;width:148.55pt;height:41.4pt;mso-wrap-style:square;v-text-anchor:middle" wp14:anchorId="4C37AEA5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Records after duplicates removed (n = 59)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6035" distL="0" distR="17780" simplePos="0" locked="0" layoutInCell="1" allowOverlap="1" relativeHeight="9" wp14:anchorId="4FF0996A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6350" t="6985" r="6350" b="5715"/>
                <wp:wrapNone/>
                <wp:docPr id="8" name="Rectangl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526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Records excluded by title and abstract (n = 53)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" path="m0,0l-2147483645,0l-2147483645,-2147483646l0,-2147483646xe" stroked="t" o:allowincell="f" style="position:absolute;margin-left:240pt;margin-top:5.9pt;width:148.55pt;height:41.4pt;mso-wrap-style:square;v-text-anchor:middle" wp14:anchorId="4FF0996A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Records excluded by title and abstract (n = 53)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76200" distB="95250" distL="0" distR="27305" simplePos="0" locked="0" layoutInCell="1" allowOverlap="1" relativeHeight="20" wp14:anchorId="268C913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635"/>
                <wp:effectExtent l="1270" t="37465" r="0" b="38100"/>
                <wp:wrapNone/>
                <wp:docPr id="9" name="Straight Arrow Connector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400" cy="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15" path="m0,0l-2147483648,-2147483647e" stroked="t" o:allowincell="f" style="position:absolute;margin-left:193.2pt;margin-top:25.85pt;width:44.3pt;height:0pt;mso-wrap-style:none;v-text-anchor:middle" wp14:anchorId="268C9137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61595" distL="76200" distR="57150" simplePos="0" locked="0" layoutInCell="1" allowOverlap="1" relativeHeight="31" wp14:anchorId="466BFCB1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635" cy="281305"/>
                <wp:effectExtent l="38100" t="1270" r="37465" b="0"/>
                <wp:wrapNone/>
                <wp:docPr id="10" name="Straight Arrow Connector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811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35" path="m0,0l-2147483648,-2147483647e" stroked="t" o:allowincell="f" style="position:absolute;margin-left:110.25pt;margin-top:7.85pt;width:0pt;height:22.1pt;mso-wrap-style:none;v-text-anchor:middle" wp14:anchorId="466BFCB1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26035" distL="0" distR="17780" simplePos="0" locked="0" layoutInCell="1" allowOverlap="1" relativeHeight="11" wp14:anchorId="57444075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6350" t="6985" r="6350" b="5715"/>
                <wp:wrapNone/>
                <wp:docPr id="11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526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 xml:space="preserve">Full text review for eligibility 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(n = 6)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5" path="m0,0l-2147483645,0l-2147483645,-2147483646l0,-2147483646xe" stroked="t" o:allowincell="f" style="position:absolute;margin-left:44.15pt;margin-top:3.75pt;width:148.55pt;height:41.4pt;mso-wrap-style:square;v-text-anchor:middle" wp14:anchorId="57444075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 xml:space="preserve">Full text review for eligibility 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(n = 6)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6035" distL="0" distR="17780" simplePos="0" locked="0" layoutInCell="1" allowOverlap="1" relativeHeight="13" wp14:anchorId="76DC0DFD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6350" t="6985" r="6350" b="5715"/>
                <wp:wrapNone/>
                <wp:docPr id="12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526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Articles excluded due to duplicated data from another paper (n = 1)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6" path="m0,0l-2147483645,0l-2147483645,-2147483646l0,-2147483646xe" stroked="t" o:allowincell="f" style="position:absolute;margin-left:240.1pt;margin-top:5.25pt;width:148.55pt;height:41.4pt;mso-wrap-style:square;v-text-anchor:middle" wp14:anchorId="76DC0DFD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Articles excluded due to duplicated data from another paper (n = 1)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76200" distB="95250" distL="0" distR="27305" simplePos="0" locked="0" layoutInCell="1" allowOverlap="1" relativeHeight="21" wp14:anchorId="21ADC2D0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635"/>
                <wp:effectExtent l="1270" t="37465" r="0" b="38100"/>
                <wp:wrapNone/>
                <wp:docPr id="13" name="Straight Arrow Connector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400" cy="7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16" path="m0,0l-2147483648,-2147483647e" stroked="t" o:allowincell="f" style="position:absolute;margin-left:193.95pt;margin-top:25.25pt;width:44.3pt;height:0pt;mso-wrap-style:none;v-text-anchor:middle" wp14:anchorId="21ADC2D0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17780" distL="4445" distR="17780" simplePos="0" locked="0" layoutInCell="1" allowOverlap="1" relativeHeight="26" wp14:anchorId="057AAEFF">
                <wp:simplePos x="0" y="0"/>
                <wp:positionH relativeFrom="column">
                  <wp:posOffset>-1160145</wp:posOffset>
                </wp:positionH>
                <wp:positionV relativeFrom="paragraph">
                  <wp:posOffset>139065</wp:posOffset>
                </wp:positionV>
                <wp:extent cx="2787650" cy="262890"/>
                <wp:effectExtent l="6985" t="6985" r="6985" b="6985"/>
                <wp:wrapNone/>
                <wp:docPr id="14" name="Flowchart: Alternate Process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480" cy="26280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/>
                              </w:rPr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Flowchart: Alternate Process 32" path="l-2147483647,-2147483647l-2147483636,-2147483635l-2147483646,0l-2147483647,-2147483647l-2147483634,-2147483633l-2147483637,-2147483645l-2147483647,-2147483647xe" fillcolor="#9dc3e6" stroked="t" o:allowincell="f" style="position:absolute;margin-left:-91.35pt;margin-top:10.95pt;width:219.45pt;height:20.65pt;mso-wrap-style:square;v-text-anchor:middle;rotation:270" wp14:anchorId="057AAEFF" type="_x0000_t176">
                <v:fill o:detectmouseclick="t" type="solid" color2="#623c19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b/>
                          <w:color w:themeColor="text1"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themeColor="text1" w:val="000000"/>
                          <w:sz w:val="18"/>
                          <w:szCs w:val="18"/>
                        </w:rPr>
                        <w:t>Screening</w:t>
                      </w:r>
                    </w:p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b/>
                          <w:color w:themeColor="text1" w:val="000000"/>
                          <w:sz w:val="18"/>
                          <w:szCs w:val="18"/>
                        </w:rPr>
                      </w:pPr>
                      <w:r>
                        <w:rPr>
                          <w:color w:val="FFFFFF"/>
                        </w:rPr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61595" distL="76200" distR="57150" simplePos="0" locked="0" layoutInCell="1" allowOverlap="1" relativeHeight="32" wp14:anchorId="3A8B276F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635" cy="281305"/>
                <wp:effectExtent l="38100" t="1270" r="37465" b="0"/>
                <wp:wrapNone/>
                <wp:docPr id="15" name="Straight Arrow Connector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811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36" path="m0,0l-2147483648,-2147483647e" stroked="t" o:allowincell="f" style="position:absolute;margin-left:111pt;margin-top:4.45pt;width:0pt;height:22.1pt;mso-wrap-style:none;v-text-anchor:middle" wp14:anchorId="3A8B276F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26035" distL="0" distR="17780" simplePos="0" locked="0" layoutInCell="1" allowOverlap="1" relativeHeight="15" wp14:anchorId="256BB765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6350" t="6985" r="6350" b="5715"/>
                <wp:wrapNone/>
                <wp:docPr id="16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526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Studies incorporated into the qualitative analysis (n = 5)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8" path="m0,0l-2147483645,0l-2147483645,-2147483646l0,-2147483646xe" stroked="t" o:allowincell="f" style="position:absolute;margin-left:44.25pt;margin-top:1.05pt;width:148.55pt;height:41.4pt;mso-wrap-style:square;v-text-anchor:middle" wp14:anchorId="256BB765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Studies incorporated into the qualitative analysis (n = 5)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53975" distL="76200" distR="57150" simplePos="0" locked="0" layoutInCell="1" allowOverlap="1" relativeHeight="33" wp14:anchorId="31891119">
                <wp:simplePos x="0" y="0"/>
                <wp:positionH relativeFrom="column">
                  <wp:posOffset>1400810</wp:posOffset>
                </wp:positionH>
                <wp:positionV relativeFrom="paragraph">
                  <wp:posOffset>29210</wp:posOffset>
                </wp:positionV>
                <wp:extent cx="635" cy="746125"/>
                <wp:effectExtent l="37465" t="1270" r="38100" b="0"/>
                <wp:wrapNone/>
                <wp:docPr id="17" name="Straight Arrow Connector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4628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19" path="m0,0l-2147483648,-2147483647e" stroked="t" o:allowincell="f" style="position:absolute;margin-left:110.3pt;margin-top:2.3pt;width:0pt;height:58.7pt;mso-wrap-style:none;v-text-anchor:middle" wp14:anchorId="31891119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19050" distL="0" distR="17780" simplePos="0" locked="0" layoutInCell="1" allowOverlap="1" relativeHeight="17" wp14:anchorId="2957DE69">
                <wp:simplePos x="0" y="0"/>
                <wp:positionH relativeFrom="column">
                  <wp:posOffset>540385</wp:posOffset>
                </wp:positionH>
                <wp:positionV relativeFrom="paragraph">
                  <wp:posOffset>111125</wp:posOffset>
                </wp:positionV>
                <wp:extent cx="1887220" cy="723900"/>
                <wp:effectExtent l="6350" t="6350" r="6350" b="6350"/>
                <wp:wrapNone/>
                <wp:docPr id="18" name="Rectangl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120" cy="723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rPr>
                                <w:rFonts w:ascii="Arial" w:hAnsi="Arial" w:cs="Arial"/>
                                <w:color w:themeColor="text1"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themeColor="text1" w:val="000000"/>
                                <w:sz w:val="18"/>
                                <w:szCs w:val="20"/>
                              </w:rPr>
                              <w:t>Studies included in meta-analysis (n = 5)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3" path="m0,0l-2147483645,0l-2147483645,-2147483646l0,-2147483646xe" stroked="t" o:allowincell="f" style="position:absolute;margin-left:42.55pt;margin-top:8.75pt;width:148.55pt;height:56.95pt;mso-wrap-style:square;v-text-anchor:middle" wp14:anchorId="2957DE69">
                <v:fill o:detectmouseclick="t" on="false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>
                          <w:rFonts w:ascii="Arial" w:hAnsi="Arial" w:cs="Arial"/>
                          <w:color w:themeColor="text1" w:val="000000"/>
                          <w:sz w:val="18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themeColor="text1" w:val="000000"/>
                          <w:sz w:val="18"/>
                          <w:szCs w:val="20"/>
                        </w:rPr>
                        <w:t>Studies included in meta-analysis (n = 5)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anchor behindDoc="0" distT="0" distB="20320" distL="3175" distR="20320" simplePos="0" locked="0" layoutInCell="1" allowOverlap="1" relativeHeight="28" wp14:anchorId="291789E9">
                <wp:simplePos x="0" y="0"/>
                <wp:positionH relativeFrom="column">
                  <wp:posOffset>-132715</wp:posOffset>
                </wp:positionH>
                <wp:positionV relativeFrom="paragraph">
                  <wp:posOffset>169545</wp:posOffset>
                </wp:positionV>
                <wp:extent cx="764540" cy="262890"/>
                <wp:effectExtent l="6985" t="6985" r="6985" b="6985"/>
                <wp:wrapNone/>
                <wp:docPr id="19" name="Flowchart: Alternate Process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640" cy="26280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Flowchart: Alternate Process 33" path="l-2147483647,-2147483647l-2147483636,-2147483635l-2147483646,0l-2147483647,-2147483647l-2147483634,-2147483633l-2147483637,-2147483645l-2147483647,-2147483647xe" fillcolor="#9dc3e6" stroked="t" o:allowincell="f" style="position:absolute;margin-left:-10.5pt;margin-top:13.35pt;width:60.15pt;height:20.65pt;mso-wrap-style:square;v-text-anchor:middle;rotation:270" wp14:anchorId="291789E9" type="_x0000_t176">
                <v:fill o:detectmouseclick="t" type="solid" color2="#623c19"/>
                <v:stroke color="black" weight="1260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b/>
                          <w:color w:themeColor="text1" w:val="000000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themeColor="text1" w:val="000000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Figure 2s. Risk of bias in each domain.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drawing>
          <wp:inline distT="0" distB="0" distL="0" distR="0">
            <wp:extent cx="2438400" cy="3721100"/>
            <wp:effectExtent l="0" t="0" r="0" b="0"/>
            <wp:docPr id="20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72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>
          <w:b/>
          <w:bCs/>
        </w:rPr>
        <w:t>Table 1s</w:t>
      </w:r>
      <w:r>
        <w:rPr/>
        <w:t>. Clinical Trial Characteristics of Studies Included in the Meta-Analysis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W w:w="1046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490"/>
        <w:gridCol w:w="1135"/>
        <w:gridCol w:w="1689"/>
        <w:gridCol w:w="1124"/>
        <w:gridCol w:w="1137"/>
        <w:gridCol w:w="1004"/>
        <w:gridCol w:w="1518"/>
        <w:gridCol w:w="1367"/>
      </w:tblGrid>
      <w:tr>
        <w:trPr>
          <w:trHeight w:val="290" w:hRule="atLeast"/>
        </w:trPr>
        <w:tc>
          <w:tcPr>
            <w:tcW w:w="1490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Author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Study Acronym</w:t>
            </w:r>
          </w:p>
        </w:tc>
        <w:tc>
          <w:tcPr>
            <w:tcW w:w="1689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Geographical Setting</w:t>
            </w:r>
          </w:p>
        </w:tc>
        <w:tc>
          <w:tcPr>
            <w:tcW w:w="1124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Study Duration</w:t>
            </w:r>
          </w:p>
        </w:tc>
        <w:tc>
          <w:tcPr>
            <w:tcW w:w="1137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Randomization</w:t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Intervention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Exacerbation History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Eosinophil Criteria</w:t>
            </w:r>
          </w:p>
        </w:tc>
      </w:tr>
      <w:tr>
        <w:trPr>
          <w:trHeight w:val="580" w:hRule="atLeast"/>
        </w:trPr>
        <w:tc>
          <w:tcPr>
            <w:tcW w:w="149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Pavord et al., 2016</w:t>
            </w:r>
          </w:p>
        </w:tc>
        <w:tc>
          <w:tcPr>
            <w:tcW w:w="1135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METREX</w:t>
            </w:r>
          </w:p>
        </w:tc>
        <w:tc>
          <w:tcPr>
            <w:tcW w:w="1689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117 sites in 16 countries</w:t>
            </w:r>
          </w:p>
        </w:tc>
        <w:tc>
          <w:tcPr>
            <w:tcW w:w="112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2014–2017</w:t>
            </w:r>
          </w:p>
        </w:tc>
        <w:tc>
          <w:tcPr>
            <w:tcW w:w="113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1:1 to mepolizumab 100 mg or placebo</w:t>
            </w:r>
          </w:p>
        </w:tc>
        <w:tc>
          <w:tcPr>
            <w:tcW w:w="100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</w:t>
            </w:r>
          </w:p>
        </w:tc>
        <w:tc>
          <w:tcPr>
            <w:tcW w:w="15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2 moderate or ≥1 severe exacerbation in the prior year</w:t>
            </w:r>
          </w:p>
        </w:tc>
        <w:tc>
          <w:tcPr>
            <w:tcW w:w="136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Not limited</w:t>
            </w:r>
          </w:p>
        </w:tc>
      </w:tr>
      <w:tr>
        <w:trPr>
          <w:trHeight w:val="580" w:hRule="atLeast"/>
        </w:trPr>
        <w:tc>
          <w:tcPr>
            <w:tcW w:w="149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Pavord et al., 2016</w:t>
            </w:r>
          </w:p>
        </w:tc>
        <w:tc>
          <w:tcPr>
            <w:tcW w:w="1135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METREO</w:t>
            </w:r>
          </w:p>
        </w:tc>
        <w:tc>
          <w:tcPr>
            <w:tcW w:w="1689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168 sites in 15 countries</w:t>
            </w:r>
          </w:p>
        </w:tc>
        <w:tc>
          <w:tcPr>
            <w:tcW w:w="112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2014–2017</w:t>
            </w:r>
          </w:p>
        </w:tc>
        <w:tc>
          <w:tcPr>
            <w:tcW w:w="113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1:1:1 to mepolizumab 100 mg, 300 mg, or placebo</w:t>
            </w:r>
          </w:p>
        </w:tc>
        <w:tc>
          <w:tcPr>
            <w:tcW w:w="100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100/300 mg</w:t>
            </w:r>
          </w:p>
        </w:tc>
        <w:tc>
          <w:tcPr>
            <w:tcW w:w="15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2 moderate or ≥1 severe exacerbation in the prior year</w:t>
            </w:r>
          </w:p>
        </w:tc>
        <w:tc>
          <w:tcPr>
            <w:tcW w:w="136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150/</w:t>
            </w: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μ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L at screening or ≥300/</w:t>
            </w: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μ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L in past year</w:t>
            </w:r>
          </w:p>
        </w:tc>
      </w:tr>
      <w:tr>
        <w:trPr>
          <w:trHeight w:val="580" w:hRule="atLeast"/>
        </w:trPr>
        <w:tc>
          <w:tcPr>
            <w:tcW w:w="149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Dasgupta et al., 2017</w:t>
            </w:r>
          </w:p>
        </w:tc>
        <w:tc>
          <w:tcPr>
            <w:tcW w:w="1135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—</w:t>
            </w:r>
          </w:p>
        </w:tc>
        <w:tc>
          <w:tcPr>
            <w:tcW w:w="1689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 UK center</w:t>
            </w:r>
          </w:p>
        </w:tc>
        <w:tc>
          <w:tcPr>
            <w:tcW w:w="112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2012–2015</w:t>
            </w:r>
          </w:p>
        </w:tc>
        <w:tc>
          <w:tcPr>
            <w:tcW w:w="113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1:1 to mepolizumab 750 mg IV or placebo</w:t>
            </w:r>
          </w:p>
        </w:tc>
        <w:tc>
          <w:tcPr>
            <w:tcW w:w="100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750 mg IV</w:t>
            </w:r>
          </w:p>
        </w:tc>
        <w:tc>
          <w:tcPr>
            <w:tcW w:w="15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2 documented exacerbations in the previous year</w:t>
            </w:r>
          </w:p>
        </w:tc>
        <w:tc>
          <w:tcPr>
            <w:tcW w:w="136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3% sputum eosinophils or histological positivity</w:t>
            </w:r>
          </w:p>
        </w:tc>
      </w:tr>
      <w:tr>
        <w:trPr>
          <w:trHeight w:val="580" w:hRule="atLeast"/>
        </w:trPr>
        <w:tc>
          <w:tcPr>
            <w:tcW w:w="149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Flynn et al., 2025</w:t>
            </w:r>
          </w:p>
        </w:tc>
        <w:tc>
          <w:tcPr>
            <w:tcW w:w="113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COPD-HELP</w:t>
            </w:r>
          </w:p>
        </w:tc>
        <w:tc>
          <w:tcPr>
            <w:tcW w:w="1689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 UK center</w:t>
            </w:r>
          </w:p>
        </w:tc>
        <w:tc>
          <w:tcPr>
            <w:tcW w:w="112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2020–2024</w:t>
            </w:r>
          </w:p>
        </w:tc>
        <w:tc>
          <w:tcPr>
            <w:tcW w:w="113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1:1 to mepolizumab 100 mg SC or placebo</w:t>
            </w:r>
          </w:p>
        </w:tc>
        <w:tc>
          <w:tcPr>
            <w:tcW w:w="100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 SC</w:t>
            </w:r>
          </w:p>
        </w:tc>
        <w:tc>
          <w:tcPr>
            <w:tcW w:w="15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 documented exacerbations in the previous year</w:t>
            </w:r>
          </w:p>
        </w:tc>
        <w:tc>
          <w:tcPr>
            <w:tcW w:w="136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300 cells/</w:t>
            </w: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μ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L in past 12 months</w:t>
            </w:r>
          </w:p>
        </w:tc>
      </w:tr>
      <w:tr>
        <w:trPr>
          <w:trHeight w:val="580" w:hRule="atLeast"/>
        </w:trPr>
        <w:tc>
          <w:tcPr>
            <w:tcW w:w="1490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Sciurba et al., 2024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MATINEE</w:t>
            </w:r>
          </w:p>
        </w:tc>
        <w:tc>
          <w:tcPr>
            <w:tcW w:w="1689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344 sites in 25 countries</w:t>
            </w:r>
          </w:p>
        </w:tc>
        <w:tc>
          <w:tcPr>
            <w:tcW w:w="1124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2019–2023</w:t>
            </w:r>
          </w:p>
        </w:tc>
        <w:tc>
          <w:tcPr>
            <w:tcW w:w="1137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1:1 to mepolizumab 100 mg SC or placebo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 SC</w:t>
            </w:r>
          </w:p>
        </w:tc>
        <w:tc>
          <w:tcPr>
            <w:tcW w:w="1518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2 moderate or ≥1 severe exacerbation in the prior year</w:t>
            </w:r>
          </w:p>
        </w:tc>
        <w:tc>
          <w:tcPr>
            <w:tcW w:w="1367" w:type="dxa"/>
            <w:tcBorders>
              <w:bottom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≥</w:t>
            </w: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300 cells/μL at screening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>
          <w:b/>
          <w:bCs/>
        </w:rPr>
        <w:t>Table 2</w:t>
      </w:r>
      <w:r>
        <w:rPr/>
        <w:t>s. Baseline Characteristics of Patients Included in the Trials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W w:w="1046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047"/>
        <w:gridCol w:w="1023"/>
        <w:gridCol w:w="1451"/>
        <w:gridCol w:w="1049"/>
        <w:gridCol w:w="836"/>
        <w:gridCol w:w="609"/>
        <w:gridCol w:w="1064"/>
        <w:gridCol w:w="1109"/>
        <w:gridCol w:w="601"/>
        <w:gridCol w:w="1676"/>
      </w:tblGrid>
      <w:tr>
        <w:trPr>
          <w:trHeight w:val="290" w:hRule="atLeast"/>
        </w:trPr>
        <w:tc>
          <w:tcPr>
            <w:tcW w:w="1047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Author</w:t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Study Acronym</w:t>
            </w:r>
          </w:p>
        </w:tc>
        <w:tc>
          <w:tcPr>
            <w:tcW w:w="1451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Intervention</w:t>
            </w:r>
          </w:p>
        </w:tc>
        <w:tc>
          <w:tcPr>
            <w:tcW w:w="1049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N (patients)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Age (mean ± SD)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% Male</w:t>
            </w:r>
          </w:p>
        </w:tc>
        <w:tc>
          <w:tcPr>
            <w:tcW w:w="1064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% Current Smokers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FEV₁ % Predicted</w:t>
            </w:r>
          </w:p>
        </w:tc>
        <w:tc>
          <w:tcPr>
            <w:tcW w:w="601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FEV₁ (L)</w:t>
            </w:r>
          </w:p>
        </w:tc>
        <w:tc>
          <w:tcPr>
            <w:tcW w:w="1676" w:type="dxa"/>
            <w:tcBorders>
              <w:top w:val="single" w:sz="4" w:space="0" w:color="000000"/>
              <w:bottom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Exacerbation Rate (past year)</w:t>
            </w:r>
          </w:p>
        </w:tc>
      </w:tr>
      <w:tr>
        <w:trPr>
          <w:trHeight w:val="290" w:hRule="atLeast"/>
        </w:trPr>
        <w:tc>
          <w:tcPr>
            <w:tcW w:w="1047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Pavord et al., 2016</w:t>
            </w:r>
          </w:p>
        </w:tc>
        <w:tc>
          <w:tcPr>
            <w:tcW w:w="1023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METREX</w:t>
            </w:r>
          </w:p>
        </w:tc>
        <w:tc>
          <w:tcPr>
            <w:tcW w:w="145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</w:t>
            </w:r>
          </w:p>
        </w:tc>
        <w:tc>
          <w:tcPr>
            <w:tcW w:w="104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417</w:t>
            </w:r>
          </w:p>
        </w:tc>
        <w:tc>
          <w:tcPr>
            <w:tcW w:w="83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66 ± 9</w:t>
            </w:r>
          </w:p>
        </w:tc>
        <w:tc>
          <w:tcPr>
            <w:tcW w:w="6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63%</w:t>
            </w:r>
          </w:p>
        </w:tc>
        <w:tc>
          <w:tcPr>
            <w:tcW w:w="1064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25%</w:t>
            </w:r>
          </w:p>
        </w:tc>
        <w:tc>
          <w:tcPr>
            <w:tcW w:w="11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45 ± 15</w:t>
            </w:r>
          </w:p>
        </w:tc>
        <w:tc>
          <w:tcPr>
            <w:tcW w:w="60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1.2 ± 0.5</w:t>
            </w:r>
          </w:p>
        </w:tc>
        <w:tc>
          <w:tcPr>
            <w:tcW w:w="167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2.5 ± 1.2</w:t>
            </w:r>
          </w:p>
        </w:tc>
      </w:tr>
      <w:tr>
        <w:trPr>
          <w:trHeight w:val="290" w:hRule="atLeast"/>
        </w:trPr>
        <w:tc>
          <w:tcPr>
            <w:tcW w:w="1047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 </w:t>
            </w:r>
          </w:p>
        </w:tc>
        <w:tc>
          <w:tcPr>
            <w:tcW w:w="145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Placebo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419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65 ± 9</w:t>
            </w:r>
          </w:p>
        </w:tc>
        <w:tc>
          <w:tcPr>
            <w:tcW w:w="6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63%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28%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44 ± 15</w:t>
            </w:r>
          </w:p>
        </w:tc>
        <w:tc>
          <w:tcPr>
            <w:tcW w:w="60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1.2 ± 0.5</w:t>
            </w:r>
          </w:p>
        </w:tc>
        <w:tc>
          <w:tcPr>
            <w:tcW w:w="167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2.5 ± 1.2</w:t>
            </w:r>
          </w:p>
        </w:tc>
      </w:tr>
      <w:tr>
        <w:trPr>
          <w:trHeight w:val="290" w:hRule="atLeast"/>
        </w:trPr>
        <w:tc>
          <w:tcPr>
            <w:tcW w:w="1047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Pavord et al., 2016</w:t>
            </w:r>
          </w:p>
        </w:tc>
        <w:tc>
          <w:tcPr>
            <w:tcW w:w="1023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METREO</w:t>
            </w:r>
          </w:p>
        </w:tc>
        <w:tc>
          <w:tcPr>
            <w:tcW w:w="145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</w:t>
            </w:r>
          </w:p>
        </w:tc>
        <w:tc>
          <w:tcPr>
            <w:tcW w:w="104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225</w:t>
            </w:r>
          </w:p>
        </w:tc>
        <w:tc>
          <w:tcPr>
            <w:tcW w:w="83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65 ± 9</w:t>
            </w:r>
          </w:p>
        </w:tc>
        <w:tc>
          <w:tcPr>
            <w:tcW w:w="6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59%</w:t>
            </w:r>
          </w:p>
        </w:tc>
        <w:tc>
          <w:tcPr>
            <w:tcW w:w="1064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25%</w:t>
            </w:r>
          </w:p>
        </w:tc>
        <w:tc>
          <w:tcPr>
            <w:tcW w:w="11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47 ± 15</w:t>
            </w:r>
          </w:p>
        </w:tc>
        <w:tc>
          <w:tcPr>
            <w:tcW w:w="60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1.3 ± 0.5</w:t>
            </w:r>
          </w:p>
        </w:tc>
        <w:tc>
          <w:tcPr>
            <w:tcW w:w="167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2.7 ± 1.4</w:t>
            </w:r>
          </w:p>
        </w:tc>
      </w:tr>
      <w:tr>
        <w:trPr>
          <w:trHeight w:val="290" w:hRule="atLeast"/>
        </w:trPr>
        <w:tc>
          <w:tcPr>
            <w:tcW w:w="1047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023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 </w:t>
            </w:r>
          </w:p>
        </w:tc>
        <w:tc>
          <w:tcPr>
            <w:tcW w:w="145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300 mg</w:t>
            </w:r>
          </w:p>
        </w:tc>
        <w:tc>
          <w:tcPr>
            <w:tcW w:w="104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225</w:t>
            </w:r>
          </w:p>
        </w:tc>
        <w:tc>
          <w:tcPr>
            <w:tcW w:w="83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66 ± 9</w:t>
            </w:r>
          </w:p>
        </w:tc>
        <w:tc>
          <w:tcPr>
            <w:tcW w:w="6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70%</w:t>
            </w:r>
          </w:p>
        </w:tc>
        <w:tc>
          <w:tcPr>
            <w:tcW w:w="1064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32%</w:t>
            </w:r>
          </w:p>
        </w:tc>
        <w:tc>
          <w:tcPr>
            <w:tcW w:w="11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45 ± 16</w:t>
            </w:r>
          </w:p>
        </w:tc>
        <w:tc>
          <w:tcPr>
            <w:tcW w:w="60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1.3 ± 0.5</w:t>
            </w:r>
          </w:p>
        </w:tc>
        <w:tc>
          <w:tcPr>
            <w:tcW w:w="167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2.7 ± 1.5</w:t>
            </w:r>
          </w:p>
        </w:tc>
      </w:tr>
      <w:tr>
        <w:trPr>
          <w:trHeight w:val="290" w:hRule="atLeast"/>
        </w:trPr>
        <w:tc>
          <w:tcPr>
            <w:tcW w:w="1047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 </w:t>
            </w:r>
          </w:p>
        </w:tc>
        <w:tc>
          <w:tcPr>
            <w:tcW w:w="145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Placebo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226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66 ± 9</w:t>
            </w:r>
          </w:p>
        </w:tc>
        <w:tc>
          <w:tcPr>
            <w:tcW w:w="6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69%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18%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46 ± 15</w:t>
            </w:r>
          </w:p>
        </w:tc>
        <w:tc>
          <w:tcPr>
            <w:tcW w:w="60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1.3 ± 0.5</w:t>
            </w:r>
          </w:p>
        </w:tc>
        <w:tc>
          <w:tcPr>
            <w:tcW w:w="167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2.6 ± 1.4</w:t>
            </w:r>
          </w:p>
        </w:tc>
      </w:tr>
      <w:tr>
        <w:trPr>
          <w:trHeight w:val="380" w:hRule="atLeast"/>
        </w:trPr>
        <w:tc>
          <w:tcPr>
            <w:tcW w:w="1047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sz w:val="20"/>
                <w:szCs w:val="20"/>
                <w:lang w:val="es-CO" w:eastAsia="es-CO"/>
              </w:rPr>
              <w:t>Dasgupta et al., 2017</w:t>
            </w:r>
          </w:p>
        </w:tc>
        <w:tc>
          <w:tcPr>
            <w:tcW w:w="1023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—</w:t>
            </w:r>
          </w:p>
        </w:tc>
        <w:tc>
          <w:tcPr>
            <w:tcW w:w="145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750 mg IV</w:t>
            </w:r>
          </w:p>
        </w:tc>
        <w:tc>
          <w:tcPr>
            <w:tcW w:w="104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8</w:t>
            </w:r>
          </w:p>
        </w:tc>
        <w:tc>
          <w:tcPr>
            <w:tcW w:w="836" w:type="dxa"/>
            <w:vMerge w:val="restart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66</w:t>
            </w:r>
          </w:p>
        </w:tc>
        <w:tc>
          <w:tcPr>
            <w:tcW w:w="609" w:type="dxa"/>
            <w:vMerge w:val="restart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72%</w:t>
            </w:r>
          </w:p>
        </w:tc>
        <w:tc>
          <w:tcPr>
            <w:tcW w:w="1064" w:type="dxa"/>
            <w:vMerge w:val="restart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100%</w:t>
            </w:r>
          </w:p>
        </w:tc>
        <w:tc>
          <w:tcPr>
            <w:tcW w:w="11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55 ± 15</w:t>
            </w:r>
          </w:p>
        </w:tc>
        <w:tc>
          <w:tcPr>
            <w:tcW w:w="601" w:type="dxa"/>
            <w:tcBorders>
              <w:top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1.5 ± 0.5</w:t>
            </w:r>
          </w:p>
        </w:tc>
        <w:tc>
          <w:tcPr>
            <w:tcW w:w="1676" w:type="dxa"/>
            <w:vMerge w:val="restart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18"/>
                <w:szCs w:val="18"/>
                <w:lang w:val="es-CO" w:eastAsia="es-CO"/>
              </w:rPr>
              <w:t>NR</w:t>
            </w:r>
          </w:p>
        </w:tc>
      </w:tr>
      <w:tr>
        <w:trPr>
          <w:trHeight w:val="290" w:hRule="atLeast"/>
        </w:trPr>
        <w:tc>
          <w:tcPr>
            <w:tcW w:w="1047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 </w:t>
            </w:r>
          </w:p>
        </w:tc>
        <w:tc>
          <w:tcPr>
            <w:tcW w:w="145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Placebo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10</w:t>
            </w:r>
          </w:p>
        </w:tc>
        <w:tc>
          <w:tcPr>
            <w:tcW w:w="83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</w:r>
          </w:p>
        </w:tc>
        <w:tc>
          <w:tcPr>
            <w:tcW w:w="609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</w:r>
          </w:p>
        </w:tc>
        <w:tc>
          <w:tcPr>
            <w:tcW w:w="1064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</w:r>
          </w:p>
        </w:tc>
        <w:tc>
          <w:tcPr>
            <w:tcW w:w="11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35± 16</w:t>
            </w:r>
          </w:p>
        </w:tc>
        <w:tc>
          <w:tcPr>
            <w:tcW w:w="60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1.3 ± 0.5</w:t>
            </w:r>
          </w:p>
        </w:tc>
        <w:tc>
          <w:tcPr>
            <w:tcW w:w="1676" w:type="dxa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ptos Narrow" w:hAnsi="Aptos Narrow" w:eastAsia="Times New Roman" w:cs="Times New Roman"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sz w:val="18"/>
                <w:szCs w:val="18"/>
                <w:lang w:val="es-CO" w:eastAsia="es-CO"/>
              </w:rPr>
            </w:r>
          </w:p>
        </w:tc>
      </w:tr>
      <w:tr>
        <w:trPr>
          <w:trHeight w:val="290" w:hRule="atLeast"/>
        </w:trPr>
        <w:tc>
          <w:tcPr>
            <w:tcW w:w="1047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Flynn et al., 2025</w:t>
            </w:r>
          </w:p>
        </w:tc>
        <w:tc>
          <w:tcPr>
            <w:tcW w:w="1023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—</w:t>
            </w:r>
          </w:p>
        </w:tc>
        <w:tc>
          <w:tcPr>
            <w:tcW w:w="145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 SC</w:t>
            </w:r>
          </w:p>
        </w:tc>
        <w:tc>
          <w:tcPr>
            <w:tcW w:w="104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119</w:t>
            </w:r>
          </w:p>
        </w:tc>
        <w:tc>
          <w:tcPr>
            <w:tcW w:w="83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69 ± 9</w:t>
            </w:r>
          </w:p>
        </w:tc>
        <w:tc>
          <w:tcPr>
            <w:tcW w:w="6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48%</w:t>
            </w:r>
          </w:p>
        </w:tc>
        <w:tc>
          <w:tcPr>
            <w:tcW w:w="1064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20%</w:t>
            </w:r>
          </w:p>
        </w:tc>
        <w:tc>
          <w:tcPr>
            <w:tcW w:w="1109" w:type="dxa"/>
            <w:tcBorders>
              <w:top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NR</w:t>
            </w:r>
          </w:p>
        </w:tc>
        <w:tc>
          <w:tcPr>
            <w:tcW w:w="601" w:type="dxa"/>
            <w:tcBorders>
              <w:top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NR</w:t>
            </w:r>
          </w:p>
        </w:tc>
        <w:tc>
          <w:tcPr>
            <w:tcW w:w="167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4.9  ±4.3</w:t>
            </w:r>
          </w:p>
        </w:tc>
      </w:tr>
      <w:tr>
        <w:trPr>
          <w:trHeight w:val="290" w:hRule="atLeast"/>
        </w:trPr>
        <w:tc>
          <w:tcPr>
            <w:tcW w:w="1047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 </w:t>
            </w:r>
          </w:p>
        </w:tc>
        <w:tc>
          <w:tcPr>
            <w:tcW w:w="145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Placebo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119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68 ± 9</w:t>
            </w:r>
          </w:p>
        </w:tc>
        <w:tc>
          <w:tcPr>
            <w:tcW w:w="6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50%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23%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NR</w:t>
            </w:r>
          </w:p>
        </w:tc>
        <w:tc>
          <w:tcPr>
            <w:tcW w:w="60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NR</w:t>
            </w:r>
          </w:p>
        </w:tc>
        <w:tc>
          <w:tcPr>
            <w:tcW w:w="167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5.7  ±4.8</w:t>
            </w:r>
          </w:p>
        </w:tc>
      </w:tr>
      <w:tr>
        <w:trPr>
          <w:trHeight w:val="290" w:hRule="atLeast"/>
        </w:trPr>
        <w:tc>
          <w:tcPr>
            <w:tcW w:w="1047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s-CO" w:eastAsia="es-CO"/>
              </w:rPr>
              <w:t>Sciurba et al., 2024</w:t>
            </w:r>
          </w:p>
        </w:tc>
        <w:tc>
          <w:tcPr>
            <w:tcW w:w="1023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MATINEE</w:t>
            </w:r>
          </w:p>
        </w:tc>
        <w:tc>
          <w:tcPr>
            <w:tcW w:w="145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Mepolizumab 100 mg SC</w:t>
            </w:r>
          </w:p>
        </w:tc>
        <w:tc>
          <w:tcPr>
            <w:tcW w:w="104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403</w:t>
            </w:r>
          </w:p>
        </w:tc>
        <w:tc>
          <w:tcPr>
            <w:tcW w:w="836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66.4 ± 8.1</w:t>
            </w:r>
          </w:p>
        </w:tc>
        <w:tc>
          <w:tcPr>
            <w:tcW w:w="6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68%</w:t>
            </w:r>
          </w:p>
        </w:tc>
        <w:tc>
          <w:tcPr>
            <w:tcW w:w="1064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28%</w:t>
            </w:r>
          </w:p>
        </w:tc>
        <w:tc>
          <w:tcPr>
            <w:tcW w:w="1109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48 ± 15</w:t>
            </w:r>
          </w:p>
        </w:tc>
        <w:tc>
          <w:tcPr>
            <w:tcW w:w="601" w:type="dxa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1.3 ± 0.4</w:t>
            </w:r>
          </w:p>
        </w:tc>
        <w:tc>
          <w:tcPr>
            <w:tcW w:w="1676" w:type="dxa"/>
            <w:tcBorders>
              <w:top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11% ≥1 severe exacerbation in the prior year</w:t>
            </w:r>
          </w:p>
        </w:tc>
      </w:tr>
      <w:tr>
        <w:trPr>
          <w:trHeight w:val="290" w:hRule="atLeast"/>
        </w:trPr>
        <w:tc>
          <w:tcPr>
            <w:tcW w:w="1047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b/>
                <w:bCs/>
                <w:color w:val="000000"/>
                <w:lang w:val="en-US" w:eastAsia="es-CO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 </w:t>
            </w:r>
          </w:p>
        </w:tc>
        <w:tc>
          <w:tcPr>
            <w:tcW w:w="145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Placebo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401</w:t>
            </w:r>
          </w:p>
        </w:tc>
        <w:tc>
          <w:tcPr>
            <w:tcW w:w="83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66.0 ± 7.9</w:t>
            </w:r>
          </w:p>
        </w:tc>
        <w:tc>
          <w:tcPr>
            <w:tcW w:w="6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69%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28%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48 ± 15</w:t>
            </w:r>
          </w:p>
        </w:tc>
        <w:tc>
          <w:tcPr>
            <w:tcW w:w="601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s-CO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s-CO" w:eastAsia="es-CO"/>
              </w:rPr>
              <w:t>1.3 ± 0.5</w:t>
            </w:r>
          </w:p>
        </w:tc>
        <w:tc>
          <w:tcPr>
            <w:tcW w:w="167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ptos Narrow" w:hAnsi="Aptos Narrow" w:eastAsia="Times New Roman" w:cs="Times New Roman"/>
                <w:color w:val="000000"/>
                <w:lang w:val="en-US" w:eastAsia="es-CO"/>
              </w:rPr>
            </w:pPr>
            <w:r>
              <w:rPr>
                <w:rFonts w:eastAsia="Times New Roman" w:cs="Times New Roman" w:ascii="Aptos Narrow" w:hAnsi="Aptos Narrow"/>
                <w:color w:val="000000"/>
                <w:lang w:val="en-US" w:eastAsia="es-CO"/>
              </w:rPr>
              <w:t>13% ≥1 severe exacerbation in the prior year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Aptos Narrow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A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A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609e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A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cabezadoCar" w:customStyle="1">
    <w:name w:val="Encabezado Car"/>
    <w:basedOn w:val="DefaultParagraphFont"/>
    <w:link w:val="Header"/>
    <w:uiPriority w:val="99"/>
    <w:qFormat/>
    <w:rsid w:val="001502cf"/>
    <w:rPr/>
  </w:style>
  <w:style w:type="character" w:styleId="PiedepginaCar" w:customStyle="1">
    <w:name w:val="Pie de página Car"/>
    <w:basedOn w:val="DefaultParagraphFont"/>
    <w:link w:val="Footer"/>
    <w:uiPriority w:val="99"/>
    <w:qFormat/>
    <w:rsid w:val="001502cf"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a85c0a"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basedOn w:val="DefaultParagraphFont"/>
    <w:link w:val="CommentText"/>
    <w:uiPriority w:val="99"/>
    <w:qFormat/>
    <w:rsid w:val="00a85c0a"/>
    <w:rPr>
      <w:rFonts w:eastAsia="" w:eastAsiaTheme="minorEastAsia"/>
      <w:sz w:val="20"/>
      <w:szCs w:val="20"/>
      <w:lang w:eastAsia="zh-CN"/>
    </w:rPr>
  </w:style>
  <w:style w:type="character" w:styleId="Hyperlink">
    <w:name w:val="Hyperlink"/>
    <w:rsid w:val="001e371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350d4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1502cf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1502cf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a85c0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TextocomentarioCar"/>
    <w:uiPriority w:val="99"/>
    <w:unhideWhenUsed/>
    <w:rsid w:val="00a85c0a"/>
    <w:pPr>
      <w:spacing w:lineRule="auto" w:line="240"/>
    </w:pPr>
    <w:rPr>
      <w:rFonts w:eastAsia="" w:eastAsiaTheme="minorEastAsia"/>
      <w:sz w:val="20"/>
      <w:szCs w:val="20"/>
      <w:lang w:eastAsia="zh-CN"/>
    </w:rPr>
  </w:style>
  <w:style w:type="paragraph" w:styleId="Default" w:customStyle="1">
    <w:name w:val="Default"/>
    <w:qFormat/>
    <w:rsid w:val="00e00a7e"/>
    <w:pPr>
      <w:widowControl w:val="false"/>
      <w:bidi w:val="0"/>
      <w:spacing w:lineRule="auto" w:line="240" w:before="0" w:after="0"/>
      <w:jc w:val="start"/>
    </w:pPr>
    <w:rPr>
      <w:rFonts w:ascii="Calibri" w:hAnsi="Calibri" w:eastAsia="Times New Roman" w:cs="Calibri"/>
      <w:color w:val="000000"/>
      <w:kern w:val="0"/>
      <w:sz w:val="24"/>
      <w:szCs w:val="24"/>
      <w:lang w:val="en-CA" w:eastAsia="en-CA" w:bidi="ar-SA"/>
    </w:rPr>
  </w:style>
  <w:style w:type="paragraph" w:styleId="CM1" w:customStyle="1">
    <w:name w:val="CM1"/>
    <w:basedOn w:val="Default"/>
    <w:next w:val="Default"/>
    <w:qFormat/>
    <w:rsid w:val="00e00a7e"/>
    <w:pPr/>
    <w:rPr>
      <w:rFonts w:cs="Times New Roman"/>
      <w:color w:val="auto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LibreOffice/25.8.0.4$Windows_X86_64 LibreOffice_project/48f00303701489684e67c38c28aff00cd5929e67</Application>
  <AppVersion>15.0000</AppVersion>
  <Pages>3</Pages>
  <Words>534</Words>
  <Characters>2299</Characters>
  <CharactersWithSpaces>2676</CharactersWithSpaces>
  <Paragraphs>182</Paragraphs>
  <Company>Monash University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2025-06-02T14:30:00Z</dcterms:created>
  <dc:creator>Matthew Page</dc:creator>
  <dc:description/>
  <dc:language>en-US</dc:language>
  <cp:lastModifiedBy>Jefferson Antonio Buendia Rodriguez</cp:lastModifiedBy>
  <dcterms:modified xsi:type="dcterms:W3CDTF">2025-06-03T01:07:00Z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