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CA08E">
      <w:pPr>
        <w:pStyle w:val="6"/>
        <w:rPr>
          <w:rFonts w:hint="default" w:ascii="Arial" w:hAnsi="Arial" w:cs="Arial"/>
          <w:b/>
          <w:bCs w:val="0"/>
          <w:sz w:val="28"/>
          <w:szCs w:val="28"/>
          <w:highlight w:val="none"/>
        </w:rPr>
      </w:pPr>
      <w:r>
        <w:rPr>
          <w:rFonts w:hint="default" w:ascii="Arial" w:hAnsi="Arial" w:cs="Arial"/>
          <w:b/>
          <w:bCs w:val="0"/>
          <w:sz w:val="28"/>
          <w:szCs w:val="28"/>
          <w:highlight w:val="none"/>
        </w:rPr>
        <w:t>Supplementary Material</w:t>
      </w:r>
    </w:p>
    <w:p w14:paraId="09B2A32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 w:val="0"/>
          <w:bCs/>
          <w:color w:val="000000" w:themeColor="text1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 w:val="0"/>
          <w:sz w:val="20"/>
          <w:szCs w:val="20"/>
          <w:highlight w:val="none"/>
          <w:lang w:val="en-US" w:eastAsia="zh-CN"/>
        </w:rPr>
        <w:t xml:space="preserve">Supplementary Table </w:t>
      </w:r>
      <w:r>
        <w:rPr>
          <w:rFonts w:hint="default" w:ascii="Arial" w:hAnsi="Arial" w:eastAsia="Palatino Linotype" w:cs="Arial"/>
          <w:b/>
          <w:bCs w:val="0"/>
          <w:color w:val="000000"/>
          <w:kern w:val="0"/>
          <w:sz w:val="20"/>
          <w:szCs w:val="20"/>
          <w:highlight w:val="none"/>
          <w:lang w:val="en-US" w:eastAsia="zh-CN" w:bidi="ar"/>
        </w:rPr>
        <w:t>1</w:t>
      </w:r>
      <w:r>
        <w:rPr>
          <w:rFonts w:hint="default" w:ascii="Arial" w:hAnsi="Arial" w:cs="Arial"/>
          <w:b w:val="0"/>
          <w:bCs/>
          <w:color w:val="000000" w:themeColor="text1"/>
          <w:sz w:val="20"/>
          <w:szCs w:val="20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0"/>
          <w:szCs w:val="20"/>
          <w:highlight w:val="none"/>
          <w14:textFill>
            <w14:solidFill>
              <w14:schemeClr w14:val="tx1"/>
            </w14:solidFill>
          </w14:textFill>
        </w:rPr>
        <w:t>Components and scoring criteria of DI-GM in NHANES</w:t>
      </w:r>
    </w:p>
    <w:tbl>
      <w:tblPr>
        <w:tblStyle w:val="3"/>
        <w:tblW w:w="89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2610"/>
        <w:gridCol w:w="4590"/>
      </w:tblGrid>
      <w:tr w14:paraId="2DF29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19C89C2D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Components of DI-GM</w:t>
            </w:r>
          </w:p>
        </w:tc>
        <w:tc>
          <w:tcPr>
            <w:tcW w:w="26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E48992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 xml:space="preserve">Food items included in NHANES </w:t>
            </w:r>
          </w:p>
        </w:tc>
        <w:tc>
          <w:tcPr>
            <w:tcW w:w="45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7EB440E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Scoring criteria</w:t>
            </w:r>
          </w:p>
        </w:tc>
      </w:tr>
      <w:tr w14:paraId="37B4A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E14F74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  <w:t>Beneficial to gut microbiota</w:t>
            </w:r>
          </w:p>
        </w:tc>
        <w:tc>
          <w:tcPr>
            <w:tcW w:w="2610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35BB5C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Avocados</w:t>
            </w:r>
          </w:p>
        </w:tc>
        <w:tc>
          <w:tcPr>
            <w:tcW w:w="459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02B4D2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Score 1 - Consumption</w:t>
            </w:r>
            <w:r>
              <w:rPr>
                <w:rFonts w:hint="default" w:ascii="Arial" w:hAnsi="Arial" w:eastAsia="宋体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/>
                <w:sz w:val="20"/>
                <w:szCs w:val="20"/>
                <w:highlight w:val="none"/>
              </w:rPr>
              <w:t>≥</w:t>
            </w:r>
            <w:r>
              <w:rPr>
                <w:rFonts w:hint="default" w:ascii="Arial" w:hAnsi="Arial" w:eastAsia="等线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sex-specific median</w:t>
            </w:r>
          </w:p>
          <w:p w14:paraId="0DAA35EF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Score 0 - Otherwise</w:t>
            </w:r>
          </w:p>
        </w:tc>
      </w:tr>
      <w:tr w14:paraId="3C405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2938764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04EA66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Broccoli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20EC2BED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6C7BB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F44B1C2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762469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Chickpeas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2A68167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42102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253AB11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324B2F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Coffee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A84489E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574A8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4326748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25CC89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Cranberries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982E523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161EA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164F6DC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3225A2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Fermented dairy (including yogurt, cheese, kefir, sour cream, buttermilk)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56FC8A78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643A1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27DFC33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F66DE8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Fiber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680FC7C1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3AFEA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8956BEB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ACDAFC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Soybean (including Soy milk, Tofu)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19F1EA9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2A3EC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F3566B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73A7C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Whole grains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409B8B60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634F06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1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2F920F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032409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Refined grains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7C8A5E42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179D0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0B8AAE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  <w:t>Unfavorable to gut microbiota</w:t>
            </w:r>
          </w:p>
        </w:tc>
        <w:tc>
          <w:tcPr>
            <w:tcW w:w="2610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F6670C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Processed meat</w:t>
            </w:r>
          </w:p>
        </w:tc>
        <w:tc>
          <w:tcPr>
            <w:tcW w:w="459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4D38400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Score 0 - Consumption</w:t>
            </w:r>
            <w:r>
              <w:rPr>
                <w:rFonts w:hint="default" w:ascii="Arial" w:hAnsi="Arial" w:eastAsia="宋体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/>
                <w:sz w:val="20"/>
                <w:szCs w:val="20"/>
                <w:highlight w:val="none"/>
              </w:rPr>
              <w:t>≥</w:t>
            </w:r>
            <w:r>
              <w:rPr>
                <w:rFonts w:hint="default" w:ascii="Arial" w:hAnsi="Arial" w:eastAsia="等线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sex-specific median</w:t>
            </w:r>
          </w:p>
          <w:p w14:paraId="3C02CF30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Score 1 - Otherwise</w:t>
            </w:r>
          </w:p>
        </w:tc>
      </w:tr>
      <w:tr w14:paraId="5F72C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73A1D74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F30991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Red meat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CE95CE4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01227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0DFC666">
            <w:pPr>
              <w:pStyle w:val="7"/>
              <w:jc w:val="center"/>
              <w:rPr>
                <w:rFonts w:hint="default" w:ascii="Arial" w:hAnsi="Arial" w:eastAsia="等线" w:cs="Arial"/>
                <w:b w:val="0"/>
                <w:bCs/>
                <w:color w:val="000000"/>
                <w:kern w:val="0"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73E875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High-fat diet (% energy)</w:t>
            </w:r>
          </w:p>
        </w:tc>
        <w:tc>
          <w:tcPr>
            <w:tcW w:w="459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14:paraId="013278C3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0C890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71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891284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26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EC896C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45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EA18AA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Score 0 - Consumption</w:t>
            </w:r>
            <w:r>
              <w:rPr>
                <w:rFonts w:hint="default" w:ascii="Arial" w:hAnsi="Arial" w:eastAsia="宋体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/>
                <w:sz w:val="20"/>
                <w:szCs w:val="20"/>
                <w:highlight w:val="none"/>
              </w:rPr>
              <w:t>≥</w:t>
            </w:r>
            <w:r>
              <w:rPr>
                <w:rFonts w:hint="default" w:ascii="Arial" w:hAnsi="Arial" w:eastAsia="等线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40%</w:t>
            </w:r>
          </w:p>
          <w:p w14:paraId="2D653C8A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Score 1 - Otherwise</w:t>
            </w:r>
          </w:p>
        </w:tc>
      </w:tr>
    </w:tbl>
    <w:p w14:paraId="0DCE26FA">
      <w:pPr>
        <w:pStyle w:val="7"/>
        <w:jc w:val="both"/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</w:pPr>
      <w:r>
        <w:rPr>
          <w:rFonts w:hint="default" w:ascii="Arial" w:hAnsi="Arial" w:cs="Arial" w:eastAsiaTheme="minorHAnsi"/>
          <w:b/>
          <w:bCs w:val="0"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>Abbreviations:</w:t>
      </w:r>
      <w:r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 xml:space="preserve"> DI-GM, dietary index for gut microbiota; NHANES, National Health and Nutrition Examination Survey.</w:t>
      </w:r>
    </w:p>
    <w:p w14:paraId="6FB5114C">
      <w:pPr>
        <w:pStyle w:val="7"/>
        <w:jc w:val="both"/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</w:pPr>
    </w:p>
    <w:p w14:paraId="679F8A19">
      <w:pPr>
        <w:pStyle w:val="7"/>
        <w:jc w:val="both"/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</w:pPr>
      <w:bookmarkStart w:id="0" w:name="_Hlk163305561"/>
      <w:r>
        <w:rPr>
          <w:rFonts w:hint="default" w:ascii="Arial" w:hAnsi="Arial" w:cs="Arial"/>
          <w:b/>
          <w:bCs w:val="0"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>Supplementary Table 2</w:t>
      </w:r>
      <w:bookmarkStart w:id="1" w:name="_Hlk86262315"/>
      <w:r>
        <w:rPr>
          <w:rFonts w:hint="default" w:ascii="Arial" w:hAnsi="Arial" w:cs="Arial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 xml:space="preserve"> </w:t>
      </w:r>
      <w:bookmarkEnd w:id="1"/>
      <w:r>
        <w:rPr>
          <w:rFonts w:hint="default" w:ascii="Arial" w:hAnsi="Arial" w:cs="Arial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>Calculation formulas for systemic inflammatory-nutritional biomarkers</w:t>
      </w:r>
    </w:p>
    <w:bookmarkEnd w:id="0"/>
    <w:p w14:paraId="134DA59B">
      <w:pPr>
        <w:pStyle w:val="7"/>
        <w:jc w:val="both"/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</w:pPr>
    </w:p>
    <w:tbl>
      <w:tblPr>
        <w:tblStyle w:val="3"/>
        <w:tblW w:w="10487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0"/>
        <w:gridCol w:w="1350"/>
        <w:gridCol w:w="6641"/>
      </w:tblGrid>
      <w:tr w14:paraId="05B4B09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9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03FCC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Category</w:t>
            </w:r>
          </w:p>
        </w:tc>
        <w:tc>
          <w:tcPr>
            <w:tcW w:w="1350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C6179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Abbreviation</w:t>
            </w:r>
          </w:p>
        </w:tc>
        <w:tc>
          <w:tcPr>
            <w:tcW w:w="6641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2D9BDEE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Calculation Formula</w:t>
            </w:r>
          </w:p>
        </w:tc>
      </w:tr>
      <w:tr w14:paraId="07BFDFC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1B6508F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CBC-Derived Inflammatory Indices</w:t>
            </w:r>
          </w:p>
        </w:tc>
        <w:tc>
          <w:tcPr>
            <w:tcW w:w="1350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61CB5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6641" w:type="dxa"/>
            <w:tcBorders>
              <w:bottom w:val="nil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0CBDD92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 w14:paraId="46DBF2D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AC2CF20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5E7D0F7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SII</w:t>
            </w:r>
          </w:p>
        </w:tc>
        <w:tc>
          <w:tcPr>
            <w:tcW w:w="664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468E4D8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Platelet count (10³/μL) × Neutrophil count (10³/μL) ÷ Lymphocyte count (10³/μL)</w:t>
            </w:r>
          </w:p>
        </w:tc>
      </w:tr>
      <w:tr w14:paraId="4B849A7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C5F0CB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C8B5E0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SIRI</w:t>
            </w: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591EC49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Neutrophil count (10³/μL) × Monocyte count (10³/μL) ÷ Lymphocyte count (10³/μL)</w:t>
            </w:r>
          </w:p>
        </w:tc>
      </w:tr>
      <w:tr w14:paraId="2560F33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6C12E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C3BAEE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PLR</w:t>
            </w: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5BA60D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Platelet count (10³/μL) ÷ Lymphocyte count (10³/μL)</w:t>
            </w:r>
          </w:p>
        </w:tc>
      </w:tr>
      <w:tr w14:paraId="32FBFBF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EAA28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E5BFB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MLR</w:t>
            </w: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A5F21C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Monocyte count (10³/μL) ÷ Lymphocyte count (10³/μL)</w:t>
            </w:r>
          </w:p>
        </w:tc>
      </w:tr>
      <w:tr w14:paraId="1A81205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21988E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8CBF6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NMLR</w:t>
            </w: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E5E4B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(Neutrophil count (10³/μL) + Monocyte count (10³/μL)) ÷ Lymphocyte count (10³/μL)</w:t>
            </w:r>
          </w:p>
        </w:tc>
      </w:tr>
      <w:tr w14:paraId="7B989FF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E93466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1DD196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NLR</w:t>
            </w: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CC8F5F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Neutrophil count (10³/μL) ÷ Lymphocyte count (10³/μL)</w:t>
            </w:r>
          </w:p>
        </w:tc>
      </w:tr>
      <w:tr w14:paraId="7C67781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D2A3F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8779D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dNLR</w:t>
            </w: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40312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Neutrophil count (10³/μL) ÷ (Total white blood cell count (10³/μL) − Neutrophil count (10³/μL))</w:t>
            </w:r>
          </w:p>
        </w:tc>
      </w:tr>
      <w:tr w14:paraId="70D4618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405183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Nutrition-Inflammatory</w:t>
            </w: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Indices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DABA98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FE725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</w:p>
        </w:tc>
      </w:tr>
      <w:tr w14:paraId="7B684C0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85D48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E01D5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HALP</w:t>
            </w: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A9631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Hemoglobin (g/L) × Albumin (g/L) × Lymphocyte count (×10⁹/L)÷ Platelet count (×10⁹/L)</w:t>
            </w:r>
          </w:p>
        </w:tc>
      </w:tr>
      <w:tr w14:paraId="5EA2234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84FCE2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3DD03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MAR</w:t>
            </w: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909FB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Monocyte count (×10⁹/L)÷ Albumin (g/L)</w:t>
            </w:r>
          </w:p>
        </w:tc>
      </w:tr>
      <w:tr w14:paraId="67F68BE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868F1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4B73A1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NPAR</w:t>
            </w: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5FCB2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Neutrophil percentage (%) × 100÷ Albumin (g/dL)</w:t>
            </w:r>
          </w:p>
        </w:tc>
      </w:tr>
      <w:tr w14:paraId="62C4553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E92B8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4A329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RAR</w:t>
            </w:r>
          </w:p>
        </w:tc>
        <w:tc>
          <w:tcPr>
            <w:tcW w:w="664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36B25">
            <w:pPr>
              <w:pStyle w:val="7"/>
              <w:jc w:val="center"/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RDW (%)/ albumin (g/</w:t>
            </w:r>
            <w:r>
              <w:rPr>
                <w:rFonts w:hint="eastAsia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d</w:t>
            </w: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L)</w:t>
            </w:r>
          </w:p>
        </w:tc>
      </w:tr>
    </w:tbl>
    <w:p w14:paraId="4CB0B8BB">
      <w:pPr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Abbreviations: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CBC, complete blood count; HALP, hemoglobin, albumin, lymphocyte, and platelet; MAR, monocyte-to-albumin ratio; MLR, monocyte-to-lymphocyte ratio; NMLR, neutrophil-to-monocyte-plus-lymphocyte ratio; NLR, neutrophil-to-lymphocyte ratio; dNLR, derived NLR; NPAR, neutrophil percentage-to-albumin ratio; PLR, platelet-to-lymphocyte ratio; RAR, red cell distribution width-to-albumin ratio; RDW, red cell distribution width; SII, systemic immune-inflammation index; SIRI, systemic inflammation response index.</w:t>
      </w:r>
    </w:p>
    <w:p w14:paraId="0DE1DA23">
      <w:pPr>
        <w:pStyle w:val="7"/>
        <w:jc w:val="both"/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>Supplementary Table 3</w:t>
      </w:r>
      <w:r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  <w:t xml:space="preserve">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  <w:t>L</w:t>
      </w:r>
      <w:r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  <w:t xml:space="preserve">evels of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  <w:t>s</w:t>
      </w:r>
      <w:r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  <w:t xml:space="preserve">ystemic inflammatory-nutritional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  <w:t>b</w:t>
      </w:r>
      <w:r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  <w:t xml:space="preserve">iomarkers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  <w:t>s</w:t>
      </w:r>
      <w:r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  <w:t xml:space="preserve">tratified by DI-GM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  <w:t>s</w:t>
      </w:r>
      <w:r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  <w:t xml:space="preserve">core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  <w:t>c</w:t>
      </w:r>
      <w:r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  <w:t>ategories​</w:t>
      </w:r>
    </w:p>
    <w:tbl>
      <w:tblPr>
        <w:tblStyle w:val="3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1643"/>
        <w:gridCol w:w="1515"/>
        <w:gridCol w:w="1515"/>
        <w:gridCol w:w="1515"/>
        <w:gridCol w:w="1519"/>
        <w:gridCol w:w="996"/>
      </w:tblGrid>
      <w:tr w14:paraId="4F86A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25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2FF9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Characteristics</w:t>
            </w:r>
          </w:p>
        </w:tc>
        <w:tc>
          <w:tcPr>
            <w:tcW w:w="769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AEDDB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Overrall,N =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134,152,677;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 = 20487</w:t>
            </w:r>
          </w:p>
        </w:tc>
        <w:tc>
          <w:tcPr>
            <w:tcW w:w="2838" w:type="pct"/>
            <w:gridSpan w:val="4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13E7CA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DI-GM</w:t>
            </w:r>
          </w:p>
        </w:tc>
        <w:tc>
          <w:tcPr>
            <w:tcW w:w="466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0D718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P value</w:t>
            </w:r>
          </w:p>
        </w:tc>
      </w:tr>
      <w:tr w14:paraId="046CE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25" w:type="pct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4DE0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69" w:type="pct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4899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2838" w:type="pct"/>
            <w:gridSpan w:val="4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7D59A6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B057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C7B4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25" w:type="pct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E24A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69" w:type="pct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7DF8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09" w:type="pct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472E29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0 - 3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 = 41,055,177;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 = 6856</w:t>
            </w:r>
          </w:p>
        </w:tc>
        <w:tc>
          <w:tcPr>
            <w:tcW w:w="709" w:type="pct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DD30CA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 = 32,046,861;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 = 5086</w:t>
            </w:r>
          </w:p>
        </w:tc>
        <w:tc>
          <w:tcPr>
            <w:tcW w:w="709" w:type="pct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442C73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 = 29,633,438;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 = 4286</w:t>
            </w:r>
          </w:p>
        </w:tc>
        <w:tc>
          <w:tcPr>
            <w:tcW w:w="710" w:type="pct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A2F679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6 - 10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 = 31,417,200;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 = 4259</w:t>
            </w:r>
          </w:p>
        </w:tc>
        <w:tc>
          <w:tcPr>
            <w:tcW w:w="466" w:type="pct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EEBE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8BB1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25" w:type="pct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FF08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69" w:type="pct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72A6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09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B6487F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09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FA9520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09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E7E161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D03A18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CC9F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C239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925" w:type="pct"/>
            <w:vMerge w:val="continue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FD690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69" w:type="pct"/>
            <w:vMerge w:val="continue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CF77F7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09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DBC96C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09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01E93E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09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9D6FD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710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5FD96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466" w:type="pct"/>
            <w:vMerge w:val="continue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7D8182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5359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2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D4831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SII, Mean (SE)</w:t>
            </w: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A9FA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557.06 (4.67)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1B32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575.37 (7.74)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C894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557.75 (7.29)</w:t>
            </w:r>
          </w:p>
        </w:tc>
        <w:tc>
          <w:tcPr>
            <w:tcW w:w="70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6E86C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561.10 (7.88)</w:t>
            </w:r>
          </w:p>
        </w:tc>
        <w:tc>
          <w:tcPr>
            <w:tcW w:w="71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C79B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528.61 (7.94)</w:t>
            </w:r>
          </w:p>
        </w:tc>
        <w:tc>
          <w:tcPr>
            <w:tcW w:w="46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FA94C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</w:tr>
      <w:tr w14:paraId="5846F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ED957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SIRI, Mean (SE)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72BC9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1.31 (0.01)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0FA7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1.37 (0.02)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E2FB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1.31 (0.02)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DD45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1.33 (0.02)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FD53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1.22 (0.02)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3453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</w:tr>
      <w:tr w14:paraId="1F394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27CE1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PLR, Mean (SE)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3E161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129.79 (0.77)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619A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128.33 (1.32)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2A4A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129.23 (1.18)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F9F18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130.98 (1.29)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4908E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131.15 (1.21)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D29E5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0.004</w:t>
            </w:r>
          </w:p>
        </w:tc>
      </w:tr>
      <w:tr w14:paraId="7E20E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44FA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MLR, Mean (SE)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346E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0.30 (0.00)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9C7E4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0.30 (0.00)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779B2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0.30 (0.00)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F46F7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0.30 (0.00)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118CD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0.30 (0.00)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7C314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0.6</w:t>
            </w:r>
          </w:p>
        </w:tc>
      </w:tr>
      <w:tr w14:paraId="7D393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92280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NMLR, Mean (SE)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F0A3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2.57 (0.02)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810F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2.62 (0.03)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36807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2.56 (0.03)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C497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2.59 (0.03)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1BE8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2.50 (0.03)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6128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0.016</w:t>
            </w:r>
          </w:p>
        </w:tc>
      </w:tr>
      <w:tr w14:paraId="79D1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554C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NLR, Mean (SE)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18ED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2.27 (0.02)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E267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2.32 (0.02)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1AA97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2.26 (0.03)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27B4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2.29 (0.03)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F238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2.20 (0.03)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0D23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0.011</w:t>
            </w:r>
          </w:p>
        </w:tc>
      </w:tr>
      <w:tr w14:paraId="3016F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4243F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dNLR, Mean (SE)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6239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1.56 (0.01)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3EBF8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1.59 (0.01)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D2E07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1.56 (0.02)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7E7F6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1.57 (0.02)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1EBED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1.52 (0.02)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F584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0.016</w:t>
            </w:r>
          </w:p>
        </w:tc>
      </w:tr>
      <w:tr w14:paraId="37867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80D6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HALP, Mean (SE)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C467D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54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7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 (0.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57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2057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54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 (0.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66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B5101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56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.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 (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1.58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654C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54.76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 (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1.17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D115A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3.49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 (0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.68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8EF1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0.23</w:t>
            </w:r>
          </w:p>
        </w:tc>
      </w:tr>
      <w:tr w14:paraId="58BFF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1F44F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MAR, Mean (SE)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31182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01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 (0.00)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EBDD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01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 (0.00)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9B1C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01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 (0.00)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9690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01</w:t>
            </w:r>
            <w:bookmarkStart w:id="2" w:name="_GoBack"/>
            <w:bookmarkEnd w:id="2"/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 (0.00)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68DF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</w:t>
            </w:r>
            <w:r>
              <w:rPr>
                <w:rFonts w:hint="eastAsia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01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 (0.00)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BD10F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</w:tr>
      <w:tr w14:paraId="705DD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2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708AE8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NPAR, Mean (SE)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ADCE05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1,400.16 (3.52)</w:t>
            </w:r>
          </w:p>
        </w:tc>
        <w:tc>
          <w:tcPr>
            <w:tcW w:w="70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C5C074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1,422.13 (5.62)</w:t>
            </w:r>
          </w:p>
        </w:tc>
        <w:tc>
          <w:tcPr>
            <w:tcW w:w="70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672CA50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1,402.02 (6.31)</w:t>
            </w:r>
          </w:p>
        </w:tc>
        <w:tc>
          <w:tcPr>
            <w:tcW w:w="70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992B29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1,399.82 (7.26)</w:t>
            </w:r>
          </w:p>
        </w:tc>
        <w:tc>
          <w:tcPr>
            <w:tcW w:w="71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AF5B93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1,369.88 (5.58)</w:t>
            </w:r>
          </w:p>
        </w:tc>
        <w:tc>
          <w:tcPr>
            <w:tcW w:w="46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96D717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</w:tr>
    </w:tbl>
    <w:p w14:paraId="382CF009">
      <w:pPr>
        <w:pStyle w:val="7"/>
        <w:jc w:val="both"/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</w:pPr>
    </w:p>
    <w:p w14:paraId="12ED57A1">
      <w:pPr>
        <w:pStyle w:val="7"/>
        <w:jc w:val="both"/>
        <w:rPr>
          <w:rFonts w:hint="default" w:ascii="Arial" w:hAnsi="Arial" w:eastAsia="宋体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eastAsia="宋体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  <w:t xml:space="preserve">Data are presented as weighted mean (standard error, SE). The DI-GM score ranges from 0 to 10. </w:t>
      </w:r>
    </w:p>
    <w:p w14:paraId="0A223581">
      <w:pP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eastAsia="宋体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  <w:t xml:space="preserve">Abbreviations: DI-GM, Dietary Index for Gut Microbiota;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HALP, hemoglobin, albumin, lymphocyte, and platelet; MAR, monocyte-to-albumin ratio; MLR, monocyte-to-lymphocyte ratio; NMLR, neutrophil-to-monocyte-plus-lymphocyte ratio; NLR, neutrophil-to-lymphocyte ratio; dNLR, derived NLR; NPAR, neutrophil percentage-to-albumin ratio; PLR, platelet-to-lymphocyte ratio; RAR, red cell distribution width-to-albumin ratio; SII, systemic immune-inflammation index; SIRI, systemic inflammation response index.</w:t>
      </w:r>
    </w:p>
    <w:p w14:paraId="7766DA7B">
      <w:pPr>
        <w:pStyle w:val="7"/>
        <w:jc w:val="both"/>
        <w:rPr>
          <w:rFonts w:hint="default" w:ascii="Arial" w:hAnsi="Arial" w:eastAsia="宋体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  <w:sectPr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96898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Table </w:t>
      </w:r>
      <w:r>
        <w:rPr>
          <w:rFonts w:hint="eastAsia" w:ascii="Arial" w:hAnsi="Arial" w:cs="Arial"/>
          <w:b/>
          <w:bCs w:val="0"/>
          <w:snapToGrid/>
          <w:sz w:val="20"/>
          <w:szCs w:val="20"/>
          <w:highlight w:val="none"/>
          <w:lang w:val="en-US" w:eastAsia="zh-CN" w:bidi="ar-SA"/>
        </w:rPr>
        <w:t>4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Multivariate regression </w:t>
      </w:r>
      <w:r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 xml:space="preserve">logistic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analysis of the association between DI-GM and COPD</w:t>
      </w:r>
    </w:p>
    <w:tbl>
      <w:tblPr>
        <w:tblStyle w:val="3"/>
        <w:tblpPr w:leftFromText="180" w:rightFromText="180" w:vertAnchor="text" w:horzAnchor="page" w:tblpX="726" w:tblpY="296"/>
        <w:tblOverlap w:val="never"/>
        <w:tblW w:w="4999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7"/>
        <w:gridCol w:w="1940"/>
        <w:gridCol w:w="1065"/>
        <w:gridCol w:w="1940"/>
        <w:gridCol w:w="1065"/>
        <w:gridCol w:w="1940"/>
        <w:gridCol w:w="1066"/>
      </w:tblGrid>
      <w:tr w14:paraId="2AFB028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56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C04E48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</w:t>
            </w:r>
          </w:p>
        </w:tc>
        <w:tc>
          <w:tcPr>
            <w:tcW w:w="1414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E9FE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1</w:t>
            </w:r>
          </w:p>
        </w:tc>
        <w:tc>
          <w:tcPr>
            <w:tcW w:w="1414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6F7145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414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723AF9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3</w:t>
            </w:r>
          </w:p>
        </w:tc>
      </w:tr>
      <w:tr w14:paraId="5140F01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56" w:type="pct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21D865F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E5695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5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7F5FF4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1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0EC4D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5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027B2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1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96A280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5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6EF35B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07D2D31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5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62C654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GM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score</w:t>
            </w:r>
          </w:p>
        </w:tc>
        <w:tc>
          <w:tcPr>
            <w:tcW w:w="91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D64E09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0.88 (0.84, 0.92)</w:t>
            </w:r>
          </w:p>
        </w:tc>
        <w:tc>
          <w:tcPr>
            <w:tcW w:w="50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224B24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1FE719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0.91 (0.86, 0.96)</w:t>
            </w:r>
          </w:p>
        </w:tc>
        <w:tc>
          <w:tcPr>
            <w:tcW w:w="50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35872A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C4C892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0.92 (0.88, 0.97)</w:t>
            </w:r>
          </w:p>
        </w:tc>
        <w:tc>
          <w:tcPr>
            <w:tcW w:w="50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D564F2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1E50C69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32DF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GM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group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D85188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19E408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DC6C87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E009B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8E0616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89A36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6FBA651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E640A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0-3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4A574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EAD131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8021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7444E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9AC3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53C5F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2EB873C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D1D4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5B8DF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0.94 (0.80, 1.10)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8B79B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21EC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0.97 (0.82, 1.15)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DE0A1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A4589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(0.84, 1.16)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A628D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</w:p>
        </w:tc>
      </w:tr>
      <w:tr w14:paraId="29F1ECF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5B4A4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A47CD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0.81 (0.65, 1.00)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FA88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12C5D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0.87 (0.7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1.08)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C2AB1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0.21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CCCF2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0.88 (0.72, 1.07)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449DE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0.19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 w14:paraId="2DDFA01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22B9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E9AB2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(0.48, 0.72)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2094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FBB0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0.67 (0.54, 0.82)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7BAD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666D8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0.75 (0.61, 0.92)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5C3D7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0.006</w:t>
            </w:r>
          </w:p>
        </w:tc>
      </w:tr>
      <w:tr w14:paraId="65320C5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894E8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32896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C5C73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C079D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8CCDB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D37A3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EE4E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0.006</w:t>
            </w:r>
          </w:p>
        </w:tc>
      </w:tr>
    </w:tbl>
    <w:p w14:paraId="22E896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1: Unadjusted for any covariates.</w:t>
      </w:r>
    </w:p>
    <w:p w14:paraId="35252C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2: Adjusted for age, sex, race, education level, marital status, poverty income ratio, body mass index.</w:t>
      </w:r>
    </w:p>
    <w:p w14:paraId="7194E7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3: Further adjusted for hypertension, DM, CHD, stroke, smoking status, physical activity, average energy intake.</w:t>
      </w:r>
    </w:p>
    <w:p w14:paraId="29A1C7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Abbreviations: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CHD, coronary heart disease; CI, confidence interval; DI-GM, dietary index for gut microbiota; DM, diabetes mellitus; OR, odd ratio</w:t>
      </w:r>
    </w:p>
    <w:p w14:paraId="635F7B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Style w:val="5"/>
          <w:rFonts w:hint="default" w:ascii="Arial" w:hAnsi="Arial" w:eastAsia="宋体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Table </w:t>
      </w:r>
      <w:r>
        <w:rPr>
          <w:rFonts w:hint="default" w:ascii="Arial" w:hAnsi="Arial" w:eastAsia="Palatino Linotype" w:cs="Arial"/>
          <w:b/>
          <w:bCs w:val="0"/>
          <w:color w:val="000000"/>
          <w:kern w:val="0"/>
          <w:sz w:val="20"/>
          <w:szCs w:val="20"/>
          <w:highlight w:val="none"/>
          <w:lang w:val="en-US" w:eastAsia="zh-CN" w:bidi="ar"/>
        </w:rPr>
        <w:t>5</w:t>
      </w:r>
      <w:r>
        <w:rPr>
          <w:rFonts w:hint="eastAsia" w:ascii="Arial" w:hAnsi="Arial" w:eastAsia="Palatino Linotype" w:cs="Arial"/>
          <w:b/>
          <w:bCs w:val="0"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Multivariate regression linear analysis of the association between DI-GM and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  <w:t>s</w:t>
      </w:r>
      <w:r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  <w:t xml:space="preserve">ystemic </w:t>
      </w:r>
      <w:r>
        <w:rPr>
          <w:rFonts w:hint="default" w:ascii="Arial" w:hAnsi="Arial" w:cs="Arial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>inflammatory-nutritional</w:t>
      </w:r>
      <w:r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  <w:t xml:space="preserve">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  <w:t>b</w:t>
      </w:r>
      <w:r>
        <w:rPr>
          <w:rFonts w:hint="default" w:ascii="Arial" w:hAnsi="Arial" w:cs="Arial" w:eastAsiaTheme="minorHAnsi"/>
          <w:b w:val="0"/>
          <w:bCs/>
          <w:snapToGrid/>
          <w:sz w:val="20"/>
          <w:szCs w:val="20"/>
          <w:highlight w:val="none"/>
          <w:lang w:val="en-US" w:eastAsia="zh-CN" w:bidi="ar-SA"/>
        </w:rPr>
        <w:t>iomarkers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5"/>
        <w:gridCol w:w="1807"/>
        <w:gridCol w:w="805"/>
        <w:gridCol w:w="1807"/>
        <w:gridCol w:w="805"/>
        <w:gridCol w:w="1711"/>
        <w:gridCol w:w="805"/>
      </w:tblGrid>
      <w:tr w14:paraId="5C90A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27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3F158B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Variable</w:t>
            </w:r>
          </w:p>
        </w:tc>
        <w:tc>
          <w:tcPr>
            <w:tcW w:w="1441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FB307A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Model 1</w:t>
            </w:r>
          </w:p>
        </w:tc>
        <w:tc>
          <w:tcPr>
            <w:tcW w:w="1441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E9CBFB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Model 2</w:t>
            </w:r>
          </w:p>
        </w:tc>
        <w:tc>
          <w:tcPr>
            <w:tcW w:w="1390" w:type="pct"/>
            <w:gridSpan w:val="2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982432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Model 3</w:t>
            </w:r>
          </w:p>
        </w:tc>
      </w:tr>
      <w:tr w14:paraId="3ED4F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727" w:type="pct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top"/>
          </w:tcPr>
          <w:p w14:paraId="476CEC2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5348D1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β(95% CI)</w:t>
            </w:r>
          </w:p>
        </w:tc>
        <w:tc>
          <w:tcPr>
            <w:tcW w:w="4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1488F2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P-value</w:t>
            </w:r>
          </w:p>
        </w:tc>
        <w:tc>
          <w:tcPr>
            <w:tcW w:w="97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223E50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β(95% CI)</w:t>
            </w:r>
          </w:p>
        </w:tc>
        <w:tc>
          <w:tcPr>
            <w:tcW w:w="4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B4263A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P-value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E8808A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β(95% CI)</w:t>
            </w:r>
          </w:p>
        </w:tc>
        <w:tc>
          <w:tcPr>
            <w:tcW w:w="4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6E7FFB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P-value</w:t>
            </w:r>
          </w:p>
        </w:tc>
      </w:tr>
      <w:tr w14:paraId="2340C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27" w:type="pc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3BE1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CBC-Derived Inflammatory Indices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B308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36A3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2E08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412F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5C20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5AE1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18D4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3B22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SII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4F2E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-9.62(-13.99, -5.24)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7633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4851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-10.93(-15.66, -6.19)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47A1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88A4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-8.87(-13.51, -4.24)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E125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</w:tr>
      <w:tr w14:paraId="371B7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86D4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SIRI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9D55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-0.03(-0.04, -0.02)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C410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43E1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-0.03(-0.04, -0.02)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15FE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FDAE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-0.02(-0.03, -0.01)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181F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</w:tr>
      <w:tr w14:paraId="3C1D4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50D3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PLR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4748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0.83(0.09, 1.56)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7BA0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0.028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C757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-0.27(-1.09, 0.55)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D7E6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0.513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9C15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-0.44(-1.24, 0.36)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488D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0.278</w:t>
            </w:r>
          </w:p>
        </w:tc>
      </w:tr>
      <w:tr w14:paraId="1ACC3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D938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MLR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4633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0(-0.00, 0.00)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120E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0.929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E659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-0.00(-0.00, 0.00)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A36E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0.117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F336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0(-0.00, 0.00)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DCB2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0.109</w:t>
            </w:r>
          </w:p>
        </w:tc>
      </w:tr>
      <w:tr w14:paraId="2CFBD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E4F1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NMLR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4877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-0.02(-0.04, -0.01)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750F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0.003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8489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-0.03(-0.05, -0.02)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83F1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F52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-0.03(-0.05, -0.01)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F567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0.002</w:t>
            </w:r>
          </w:p>
        </w:tc>
      </w:tr>
      <w:tr w14:paraId="6E712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0D60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NLR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C0D6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-0.02(-0.04, -0.01)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14F5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0.001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57E71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-0.03(-0.05, -0.02)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A0B6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7D99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-0.03(-0.04, -0.01)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7239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0.001</w:t>
            </w:r>
          </w:p>
        </w:tc>
      </w:tr>
      <w:tr w14:paraId="6B41D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3D0F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dNLR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741F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-0.01(-0.02, -0.01)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712E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0.001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F4EF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-0.02(-0.03, -0.01)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A10F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E125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-0.02(-0.02, -0.01)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61BF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0.003</w:t>
            </w:r>
          </w:p>
        </w:tc>
      </w:tr>
      <w:tr w14:paraId="70ED9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8BE6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Nutrition-Inflammatory</w:t>
            </w: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Indices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38F2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0A16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0B38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C0D0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936C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E145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C332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B53C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HALP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BD65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-0.03(-0.07, 0.01)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0BBE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0.105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A267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0.00(-0.05, 0.05)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5BC4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0.916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8E6D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0.01(-0.04, 0.07)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E517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0.649</w:t>
            </w:r>
          </w:p>
        </w:tc>
      </w:tr>
      <w:tr w14:paraId="05008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8D3E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MAR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232D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-0.00(-0.00, -0.00)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CA44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B473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-0.00(-0.00, -0.00)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5CB6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3E37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-0.00(-0.00, -0.00)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8993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</w:tr>
      <w:tr w14:paraId="12723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E66C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NPAR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5739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-12.20(-15.63, -8.78)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0E9D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B64F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-11.41(-15.02, -7.80)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1F85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992D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-9.97(-13.57, -6.38)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0D6B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</w:tr>
      <w:tr w14:paraId="6B0E1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2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E0FB68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RAR</w:t>
            </w:r>
          </w:p>
        </w:tc>
        <w:tc>
          <w:tcPr>
            <w:tcW w:w="97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D4C950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-0.03(-0.04, -0.02)</w:t>
            </w:r>
          </w:p>
        </w:tc>
        <w:tc>
          <w:tcPr>
            <w:tcW w:w="46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A6463F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76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5D0997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-0.02(-0.02, -0.01)</w:t>
            </w:r>
          </w:p>
        </w:tc>
        <w:tc>
          <w:tcPr>
            <w:tcW w:w="46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1F543F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  <w:tc>
          <w:tcPr>
            <w:tcW w:w="92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412744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-0.01(-0.02, -0.01)</w:t>
            </w:r>
          </w:p>
        </w:tc>
        <w:tc>
          <w:tcPr>
            <w:tcW w:w="46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CF71A4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&lt;0.001</w:t>
            </w:r>
          </w:p>
        </w:tc>
      </w:tr>
    </w:tbl>
    <w:p w14:paraId="31B19B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1: Unadjusted for any covariates.</w:t>
      </w:r>
    </w:p>
    <w:p w14:paraId="759478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2: Adjusted for age, sex, race, education level, marital status, poverty income ratio, body mass index.</w:t>
      </w:r>
    </w:p>
    <w:p w14:paraId="308DFB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3: Further adjusted for hypertension, DM, CHD, stroke, smoking status, physical activity, average energy intake.</w:t>
      </w:r>
    </w:p>
    <w:p w14:paraId="11F5A6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Abbreviations: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CBC, complete blood count; CI, confidence interval; CHD, coronary heart disease; HALP, hemoglobin, albumin, lymphocyte, and platelet; MAR, monocyte-to-albumin ratio; MLR, monocyte-to-lymphocyte ratio; NMLR, neutrophil-to-monocyte-plus-lymphocyte ratio; NLR, neutrophil-to-lymphocyte ratio; dNLR, derived NLR; NPAR, neutrophil percentage-to-albumin ratio; PLR, platelet-to-lymphocyte ratio; RAR, red cell distribution width-to-albumin ratio; SII, systemic immune-inflammation index; SIRI, systemic inflammation response index.</w:t>
      </w:r>
    </w:p>
    <w:p w14:paraId="70FE06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eastAsia="宋体" w:cs="Arial"/>
          <w:b w:val="0"/>
          <w:bCs/>
          <w:i w:val="0"/>
          <w:iCs w:val="0"/>
          <w:color w:val="auto"/>
          <w:sz w:val="20"/>
          <w:szCs w:val="20"/>
          <w:highlight w:val="none"/>
          <w:u w:val="none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>Supplementary Table</w:t>
      </w: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 </w:t>
      </w: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6.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/>
          <w:i w:val="0"/>
          <w:iCs w:val="0"/>
          <w:sz w:val="20"/>
          <w:szCs w:val="20"/>
          <w:highlight w:val="none"/>
        </w:rPr>
        <w:t>Mediation analysis</w:t>
      </w:r>
    </w:p>
    <w:tbl>
      <w:tblPr>
        <w:tblStyle w:val="3"/>
        <w:tblW w:w="106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3062"/>
        <w:gridCol w:w="1790"/>
        <w:gridCol w:w="1790"/>
        <w:gridCol w:w="1790"/>
        <w:gridCol w:w="2169"/>
      </w:tblGrid>
      <w:tr w14:paraId="6C290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306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CB5B4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Biomarkers</w:t>
            </w:r>
          </w:p>
        </w:tc>
        <w:tc>
          <w:tcPr>
            <w:tcW w:w="179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394FF5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Total effect OR </w:t>
            </w:r>
          </w:p>
          <w:p w14:paraId="19C9439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(95% CI)</w:t>
            </w:r>
          </w:p>
        </w:tc>
        <w:tc>
          <w:tcPr>
            <w:tcW w:w="179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92900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Direct effect OR </w:t>
            </w:r>
          </w:p>
          <w:p w14:paraId="489ADAD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(95% CI)</w:t>
            </w:r>
          </w:p>
        </w:tc>
        <w:tc>
          <w:tcPr>
            <w:tcW w:w="179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7CA7D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Indirect effect OR </w:t>
            </w:r>
          </w:p>
          <w:p w14:paraId="565E3B2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(95% CI)</w:t>
            </w:r>
          </w:p>
        </w:tc>
        <w:tc>
          <w:tcPr>
            <w:tcW w:w="2169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2DD3A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 xml:space="preserve">Percentage mediated % </w:t>
            </w:r>
          </w:p>
          <w:p w14:paraId="1E4BBEC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(95% CI)</w:t>
            </w:r>
          </w:p>
        </w:tc>
      </w:tr>
      <w:tr w14:paraId="6BDCA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6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372C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>CBC-Derived Inflammatory Indices</w:t>
            </w: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B78E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0CD2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64F3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3569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96AC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C0A4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SII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247D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-0.079(-0.130, -0.030)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E099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-0.077(-0.129, -0.026)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4891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-0.002(-0.004, -0.001)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6757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0.029(0.009, 0.090)</w:t>
            </w:r>
          </w:p>
        </w:tc>
      </w:tr>
      <w:tr w14:paraId="55FAC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4CDA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SIRI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C11E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-0.079(-0.130, -0.030)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0E962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-0.076(-0.129, -0.025)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D81E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-0.002(-0.005, -0.001)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41D1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0.031(0.009, 0.120)</w:t>
            </w:r>
          </w:p>
        </w:tc>
      </w:tr>
      <w:tr w14:paraId="13C01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433D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NMLR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5B12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-0.079(-0.130, -0.030)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8F04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-0.077(-0.130, -0.027)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BA1D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-0.002(-0.004, -0.000)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9344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0.021(0.001, 0.082)</w:t>
            </w:r>
          </w:p>
        </w:tc>
      </w:tr>
      <w:tr w14:paraId="3B5EF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11D0B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NLR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15F4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-0.079(-0.130, -0.030)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98026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-0.077(-0.130, -0.027)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0F9B8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-0.002(-0.003, -0.000)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BE79F5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0.021(-0.003, -0.000)</w:t>
            </w:r>
          </w:p>
        </w:tc>
      </w:tr>
      <w:tr w14:paraId="001DB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85AF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Nutrition-Inflammatory</w:t>
            </w: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/>
                <w:sz w:val="20"/>
                <w:szCs w:val="20"/>
                <w:highlight w:val="none"/>
              </w:rPr>
              <w:t>Indices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7269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94F73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4192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F549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AA7B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0951D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MAR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FEC9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-0.079(-0.130, -0.030)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687EC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-0.076(-0.126, -0.026)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05FBA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-0.003(-0.005, -0.001)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952D1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0.037(0.014, 0.128)</w:t>
            </w:r>
          </w:p>
        </w:tc>
      </w:tr>
      <w:tr w14:paraId="3DBC7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94104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NPAR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11FEE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-0.079(-0.130, -0.030)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59B1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-0.075(-0.127, -0.026)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A595F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-0.004(-0.007, -0.001)</w:t>
            </w: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A5720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0.053(0.016, 0.171)</w:t>
            </w:r>
          </w:p>
        </w:tc>
      </w:tr>
      <w:tr w14:paraId="16C73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306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DAAA7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RAR</w:t>
            </w:r>
          </w:p>
        </w:tc>
        <w:tc>
          <w:tcPr>
            <w:tcW w:w="17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FF976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-0.079(-0.130, -0.030)</w:t>
            </w:r>
          </w:p>
        </w:tc>
        <w:tc>
          <w:tcPr>
            <w:tcW w:w="17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0876E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-0.069(-0.120, -0.022)</w:t>
            </w:r>
          </w:p>
        </w:tc>
        <w:tc>
          <w:tcPr>
            <w:tcW w:w="17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4C83A07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-0.008(-0.012, -0.005)</w:t>
            </w:r>
          </w:p>
        </w:tc>
        <w:tc>
          <w:tcPr>
            <w:tcW w:w="216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0FA539">
            <w:pPr>
              <w:keepNext/>
              <w:keepLines w:val="0"/>
              <w:widowControl/>
              <w:suppressLineNumbers w:val="0"/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0.103(0.054, 0.274)</w:t>
            </w:r>
          </w:p>
        </w:tc>
      </w:tr>
    </w:tbl>
    <w:p w14:paraId="257A8E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Abbreviations: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CBC, complete blood count; MAR, monocyte-to-albumin ratio; NMLR, neutrophil-to-monocyte-plus-lymphocyte ratio; NLR, neutrophil-to-lymphocyte ratio; NPAR, neutrophil percentage-to-albumin ratio; RAR, red cell distribution width-to-albumin ratio; SII, systemic immune-inflammation index; SIRI, systemic inflammation response index.</w:t>
      </w:r>
    </w:p>
    <w:p w14:paraId="0ABE82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Style w:val="5"/>
          <w:rFonts w:hint="default" w:ascii="Arial" w:hAnsi="Arial" w:eastAsia="宋体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>Supplementary Table</w:t>
      </w: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 </w:t>
      </w: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7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Multivariate regression linear analysis of the association between DI-GM and RAR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1"/>
        <w:gridCol w:w="2039"/>
        <w:gridCol w:w="955"/>
        <w:gridCol w:w="2039"/>
        <w:gridCol w:w="955"/>
        <w:gridCol w:w="2039"/>
        <w:gridCol w:w="957"/>
      </w:tblGrid>
      <w:tr w14:paraId="58AA7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72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C6FD28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6CCC1DF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DI-GM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group</w:t>
            </w:r>
          </w:p>
        </w:tc>
        <w:tc>
          <w:tcPr>
            <w:tcW w:w="1408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D640D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1</w:t>
            </w:r>
          </w:p>
        </w:tc>
        <w:tc>
          <w:tcPr>
            <w:tcW w:w="1408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398B1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40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5820B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3</w:t>
            </w:r>
          </w:p>
        </w:tc>
      </w:tr>
      <w:tr w14:paraId="14B07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72" w:type="pct"/>
            <w:vMerge w:val="continue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172B132E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4363C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β(95% CI)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306EC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51D6B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β(95% CI)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67FD3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31911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β(95% CI)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BD436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6F1E3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AFFB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0-3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6F34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B3F33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C154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5B8DF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F8DB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DD782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3D046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B30F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47F9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-0.06 (-0.09, -0.04)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D4B7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9E26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(-0.06, -0.02)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6B9B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FD92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(-0.06, -0.02)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AE07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9D57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8EF5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4C8D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-0.08 (-0.11, -0.05)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DAE0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AD52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(-0.07, -0.01)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060F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AA73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(-0.07, -0.0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4D3F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</w:tr>
      <w:tr w14:paraId="78160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DFCA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E7F2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-0.13 (-0.16, -0.10)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AABC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9D67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-0.08 (-0.10, -0.05)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41A9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A0ED6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(-0.10, -0.04)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C6F8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21C0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7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C21F3B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3D029DE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18EF8F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D8A033E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CC86BB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4211DA7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7C5AA2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028CF9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1: Unadjusted for any covariates.</w:t>
      </w:r>
    </w:p>
    <w:p w14:paraId="21B845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2: Adjusted for age, sex, race, education level, marital status, poverty income ratio, body mass index.</w:t>
      </w:r>
    </w:p>
    <w:p w14:paraId="120B1C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3: Further adjusted for hypertension, DM, CHD, stroke, smoking status, physical activity, average energy intake.</w:t>
      </w:r>
    </w:p>
    <w:p w14:paraId="4636A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 xml:space="preserve">Abbreviations: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CHD, coronary heart disease; CI, confidence interval; DI-GM, dietary index for gut microbiota; DM, diabetes mellitus; OR, odd ratio; RAR, ratio of red blood cell distribution width to albumin concentration</w:t>
      </w:r>
    </w:p>
    <w:p w14:paraId="7E1FB8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</w:p>
    <w:p w14:paraId="192D93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Style w:val="5"/>
          <w:rFonts w:hint="default" w:ascii="Arial" w:hAnsi="Arial" w:eastAsia="宋体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>Supplementary Table</w:t>
      </w: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 </w:t>
      </w: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8</w:t>
      </w:r>
      <w:r>
        <w:rPr>
          <w:rFonts w:hint="eastAsia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Multivariate regression logistic analysis of the association between RAR and COPD.</w:t>
      </w: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2091"/>
        <w:gridCol w:w="1029"/>
        <w:gridCol w:w="2091"/>
        <w:gridCol w:w="1029"/>
        <w:gridCol w:w="2091"/>
        <w:gridCol w:w="1032"/>
      </w:tblGrid>
      <w:tr w14:paraId="41DDD8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F642CD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664207D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RAR.cut </w:t>
            </w:r>
          </w:p>
        </w:tc>
        <w:tc>
          <w:tcPr>
            <w:tcW w:w="1468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B79A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1</w:t>
            </w:r>
          </w:p>
        </w:tc>
        <w:tc>
          <w:tcPr>
            <w:tcW w:w="1468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0B61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469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FB20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3</w:t>
            </w:r>
          </w:p>
        </w:tc>
      </w:tr>
      <w:tr w14:paraId="7EA9C8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6A1903C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6538F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0D4B5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0FDE65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DD64B8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8AE0B2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1BA4B3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496850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16CF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5468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C9CFB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2003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876445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0F693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1(Reference)</w:t>
            </w: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88675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67589A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6E2C0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172F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1.29 (1.05, 1.59)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292BC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0.01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5140B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1.16 (0.94, 1.43)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88464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0.17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13FE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1.07 (0.86, 1.3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6F3A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0.54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</w:tr>
      <w:tr w14:paraId="32E94B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A7613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8736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1.99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(1.6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2.42)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E9299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EFACB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(1.36, 1.99)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D8AF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90A5B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1.45 (1.19, 1.77)</w:t>
            </w: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8665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F17108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8DAD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BC4A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(2.71, 4.2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1645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93A4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(2.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3.3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45DB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5F32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2.2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(1.7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, 2.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80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)</w:t>
            </w: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424F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74755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AB493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FDAF29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1480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7AA86A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412FF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82634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04E5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65A37F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1: Unadjusted for any covariates.</w:t>
      </w:r>
    </w:p>
    <w:p w14:paraId="17959F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2: Adjusted for age, sex, race, education level, marital status, poverty income ratio, body mass index.</w:t>
      </w:r>
    </w:p>
    <w:p w14:paraId="24E81D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3: Further adjusted for hypertension, DM, CHD, stroke, smoking status, physical activity, average energy intake.</w:t>
      </w:r>
    </w:p>
    <w:p w14:paraId="7E5D7E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Abbreviations: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CHD, coronary heart disease; CI, confidence interval; COPD, chronic obstructive pulmonary diseases; DM, diabetes mellitus; OR, odd ratio; RAR, ratio of red blood cell distribution width to albumin concentration</w:t>
      </w:r>
    </w:p>
    <w:p w14:paraId="131868D3">
      <w:pPr>
        <w:pStyle w:val="7"/>
        <w:jc w:val="both"/>
        <w:rPr>
          <w:rStyle w:val="5"/>
          <w:rFonts w:hint="default" w:ascii="Arial" w:hAnsi="Arial" w:eastAsia="宋体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sectPr>
          <w:type w:val="continuous"/>
          <w:pgSz w:w="11906" w:h="16838"/>
          <w:pgMar w:top="720" w:right="720" w:bottom="720" w:left="77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0F133D6">
      <w:pPr>
        <w:pStyle w:val="8"/>
        <w:jc w:val="left"/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Table </w:t>
      </w:r>
      <w:r>
        <w:rPr>
          <w:rFonts w:hint="default" w:ascii="Arial" w:hAnsi="Arial" w:eastAsia="Palatino Linotype" w:cs="Arial"/>
          <w:b/>
          <w:bCs w:val="0"/>
          <w:snapToGrid/>
          <w:color w:val="000000"/>
          <w:kern w:val="0"/>
          <w:sz w:val="20"/>
          <w:szCs w:val="20"/>
          <w:highlight w:val="none"/>
          <w:lang w:val="en-US" w:eastAsia="zh-CN" w:bidi="ar"/>
        </w:rPr>
        <w:t xml:space="preserve">9 </w:t>
      </w:r>
      <w:r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>Unweighted multivariable logistic regression analysis of the association between DI-GM and COPD</w:t>
      </w:r>
    </w:p>
    <w:tbl>
      <w:tblPr>
        <w:tblStyle w:val="3"/>
        <w:tblW w:w="4999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951"/>
        <w:gridCol w:w="1071"/>
        <w:gridCol w:w="1951"/>
        <w:gridCol w:w="1071"/>
        <w:gridCol w:w="1951"/>
        <w:gridCol w:w="1071"/>
      </w:tblGrid>
      <w:tr w14:paraId="453BE88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56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91FC5F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</w:t>
            </w:r>
          </w:p>
        </w:tc>
        <w:tc>
          <w:tcPr>
            <w:tcW w:w="1414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E0B4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1</w:t>
            </w:r>
          </w:p>
        </w:tc>
        <w:tc>
          <w:tcPr>
            <w:tcW w:w="1414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B773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414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F9C185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3</w:t>
            </w:r>
          </w:p>
        </w:tc>
      </w:tr>
      <w:tr w14:paraId="56F1C80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56" w:type="pct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4BECD207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87860C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OR(95% CI)</w:t>
            </w:r>
          </w:p>
        </w:tc>
        <w:tc>
          <w:tcPr>
            <w:tcW w:w="5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64F7A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1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3768B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OR(95% CI)</w:t>
            </w:r>
          </w:p>
        </w:tc>
        <w:tc>
          <w:tcPr>
            <w:tcW w:w="5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A26B95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1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B379CB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OR(95% CI)</w:t>
            </w:r>
          </w:p>
        </w:tc>
        <w:tc>
          <w:tcPr>
            <w:tcW w:w="5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2E7C46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2B8C157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5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5C9539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DI-GM score</w:t>
            </w:r>
          </w:p>
        </w:tc>
        <w:tc>
          <w:tcPr>
            <w:tcW w:w="91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9373D3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0.89 (0.87, 0.92)</w:t>
            </w:r>
          </w:p>
        </w:tc>
        <w:tc>
          <w:tcPr>
            <w:tcW w:w="50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D0ECCD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215187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0.94 (0.88, 0.94)</w:t>
            </w:r>
          </w:p>
        </w:tc>
        <w:tc>
          <w:tcPr>
            <w:tcW w:w="50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8F6A4F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6D7182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0.94 (0.91, 0.97)</w:t>
            </w:r>
          </w:p>
        </w:tc>
        <w:tc>
          <w:tcPr>
            <w:tcW w:w="50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928F31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733204F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1FF4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DI-GM group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2A341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2A923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C8B71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B041D0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4321A3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CB057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1074B47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15EF4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0-3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B93E2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A333B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B9F9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D3C3F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83B68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1(Reference)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F7EDB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6D2765E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B200F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20855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0.93 (0.83, 1.04)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20D4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0.213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6825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0.95 (0.84, 1.07)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6F89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0.385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A9477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0.97 (0.86, 1.10)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325E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0.684</w:t>
            </w:r>
          </w:p>
        </w:tc>
      </w:tr>
      <w:tr w14:paraId="056AB36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74AF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85CC3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0.84 (0.74, 0.95)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3AE83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0.007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77DDC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0.87 (0.76, 0.99)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CED1A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0.037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CDD40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0.92 (0.80, 1.05)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F0CE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0.224</w:t>
            </w:r>
          </w:p>
        </w:tc>
      </w:tr>
      <w:tr w14:paraId="53BE97F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C1A1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872E9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0.63 (0.55, 0.73)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611DF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0BA29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0.69 (0.60, 0.79)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1215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6216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0.78 (0.68, 0.91)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707C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0.001</w:t>
            </w:r>
          </w:p>
        </w:tc>
      </w:tr>
      <w:tr w14:paraId="06B2412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A29E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EF89D2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974D8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4DC81D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90FC6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D43368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B81E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0.002</w:t>
            </w:r>
          </w:p>
        </w:tc>
      </w:tr>
    </w:tbl>
    <w:p w14:paraId="1F5A0A4B">
      <w:pPr>
        <w:jc w:val="left"/>
        <w:rPr>
          <w:rFonts w:hint="default" w:ascii="Arial" w:hAnsi="Arial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  <w:sectPr>
          <w:type w:val="continuous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4FF86AF3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1: Unadjusted for any covariates.</w:t>
      </w:r>
    </w:p>
    <w:p w14:paraId="30668616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2: Adjusted for age, sex, race, education level, marital status, poverty income ratio, body mass index.</w:t>
      </w:r>
    </w:p>
    <w:p w14:paraId="1A1B84E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3: Further adjusted for hypertension, DM, CHD, stroke, smoking status, physical activity, average energy intake.</w:t>
      </w:r>
    </w:p>
    <w:p w14:paraId="7FD88DF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 xml:space="preserve">Abbreviations: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CHD, coronary heart disease; CI, confidence interval; DI-GM, dietary index for gut microbiota; DM, diabetes mellitus; OR, odd ratio</w:t>
      </w:r>
    </w:p>
    <w:p w14:paraId="0546852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sectPr>
          <w:type w:val="continuous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Table </w:t>
      </w:r>
      <w:r>
        <w:rPr>
          <w:rFonts w:hint="default" w:ascii="Arial" w:hAnsi="Arial" w:cs="Arial" w:eastAsiaTheme="minorHAnsi"/>
          <w:b/>
          <w:bCs w:val="0"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>10</w:t>
      </w:r>
      <w:r>
        <w:rPr>
          <w:rFonts w:hint="eastAsia" w:ascii="Arial" w:hAnsi="Arial" w:cs="Arial" w:eastAsiaTheme="minorHAnsi"/>
          <w:b/>
          <w:bCs w:val="0"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 xml:space="preserve"> </w:t>
      </w:r>
      <w:r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>Unweighted multivariable linear regression analysis of the association between DI-GM and RAR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2050"/>
        <w:gridCol w:w="960"/>
        <w:gridCol w:w="2050"/>
        <w:gridCol w:w="960"/>
        <w:gridCol w:w="2050"/>
        <w:gridCol w:w="962"/>
      </w:tblGrid>
      <w:tr w14:paraId="50AD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72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0E4B60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</w:t>
            </w:r>
          </w:p>
        </w:tc>
        <w:tc>
          <w:tcPr>
            <w:tcW w:w="1408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0DD02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1</w:t>
            </w:r>
          </w:p>
        </w:tc>
        <w:tc>
          <w:tcPr>
            <w:tcW w:w="1408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533F05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40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298AE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3</w:t>
            </w:r>
          </w:p>
        </w:tc>
      </w:tr>
      <w:tr w14:paraId="57417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72" w:type="pct"/>
            <w:vMerge w:val="continue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5BC46C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6C4BD6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β(95% CI)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182CC6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14D624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β(95% CI)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A181DE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07FE2C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β(95% CI)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C597F2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21EA4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7D71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DI-GM score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D0C7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(-0.04, -0.03)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1B4D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1537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-0.02 (-0.03, -0.02)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6CD0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E2EC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-0.02 (-0.02, -0.02)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EFF2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33FB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AF57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DI-GM group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0DF5A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55730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D3B38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CF897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BE8DE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7651D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1A7B9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92F8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0-3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C036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5A06C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F7C2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F25B9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B47E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1(Reference)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EAF4E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59A87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E102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6252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-0.06 (-0.08, -0.04)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6FAE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282B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(-0.06, -0.02)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A1CC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017E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(-0.05, -0.02)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7BF7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1F57D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B2C0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3938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-0.09 (-0.11, -0.07)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CC79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0E4A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-0.05 (-0.07, -0.03)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C65C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7A8E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(-0.06, -0.02)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A38C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6AE7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E004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B55C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-0.15 (-0.17, -0.13)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F6FA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FAE6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-0.10 (-0.12, -0.08)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A905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E1122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-0.09 (-0.10, -0.07)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A621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2D03D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7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F9100E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521CA56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B050E8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90499C7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5EABE6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DC478C3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D65F97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17FCD13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1: Unadjusted for any covariates.</w:t>
      </w:r>
    </w:p>
    <w:p w14:paraId="694E462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2: Adjusted for age, sex, race, education level, marital status, poverty income ratio, body mass index.</w:t>
      </w:r>
    </w:p>
    <w:p w14:paraId="29895F2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3: Further adjusted for hypertension, DM, CHD, stroke, smoking status, physical activity, average energy intake.</w:t>
      </w:r>
    </w:p>
    <w:p w14:paraId="0D7FB0D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eastAsia="宋体" w:cs="Arial"/>
          <w:b w:val="0"/>
          <w:bCs/>
          <w:color w:val="000000"/>
          <w:kern w:val="0"/>
          <w:sz w:val="20"/>
          <w:szCs w:val="20"/>
          <w:highlight w:val="none"/>
          <w:lang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Abbreviations: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CHD, coronary heart disease; CI, confidence interval; DI-GM, dietary index for gut microbiota; DM, diabetes mellitus; OR, odd ratio; RAR, ratio of red blood cell distribution width to albumin concentration</w:t>
      </w:r>
    </w:p>
    <w:p w14:paraId="72414282">
      <w:pPr>
        <w:pStyle w:val="8"/>
        <w:jc w:val="left"/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Table </w:t>
      </w:r>
      <w:r>
        <w:rPr>
          <w:rFonts w:hint="default" w:ascii="Arial" w:hAnsi="Arial" w:cs="Arial" w:eastAsiaTheme="minorHAnsi"/>
          <w:b/>
          <w:bCs w:val="0"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 xml:space="preserve">11 </w:t>
      </w:r>
      <w:r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>Unweighted multivariable logistic regression analysis of the association between RAR and COPD</w:t>
      </w: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2103"/>
        <w:gridCol w:w="1034"/>
        <w:gridCol w:w="2103"/>
        <w:gridCol w:w="1034"/>
        <w:gridCol w:w="2103"/>
        <w:gridCol w:w="1036"/>
      </w:tblGrid>
      <w:tr w14:paraId="22F24C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84D032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</w:t>
            </w:r>
          </w:p>
        </w:tc>
        <w:tc>
          <w:tcPr>
            <w:tcW w:w="1468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645D9F2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1</w:t>
            </w:r>
          </w:p>
        </w:tc>
        <w:tc>
          <w:tcPr>
            <w:tcW w:w="1468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C9B2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469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DEEEC2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3</w:t>
            </w:r>
          </w:p>
        </w:tc>
      </w:tr>
      <w:tr w14:paraId="011CDC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C2246C8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7A9D6D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83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A160E2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84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375C82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83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78EC0E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84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227513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84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1A5D390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328319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701ED2D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RAR</w:t>
            </w:r>
          </w:p>
        </w:tc>
        <w:tc>
          <w:tcPr>
            <w:tcW w:w="984" w:type="pc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5DB605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1.90 (1.76, 2.05)</w:t>
            </w:r>
          </w:p>
        </w:tc>
        <w:tc>
          <w:tcPr>
            <w:tcW w:w="483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268FAD6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12BF2F6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1.76 (1.62, 1.92)</w:t>
            </w:r>
          </w:p>
        </w:tc>
        <w:tc>
          <w:tcPr>
            <w:tcW w:w="483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0ED06CC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5B12A4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1.61 (1.48, 1.76)</w:t>
            </w:r>
          </w:p>
        </w:tc>
        <w:tc>
          <w:tcPr>
            <w:tcW w:w="484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4534A3D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4B54E0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1E81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RAR.cut 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54CD2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B621EA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37A5C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EEE62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243FC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7D2FFB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4DD40E5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046B2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0C16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83C644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6D1D0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E69FE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93E3D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1(Reference)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D1FE5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44A60D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83F1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E8DC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1.30 (1.11, 1.51)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EA46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5DEDD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1.19 (1.02, 1.39)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A797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0.003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0503C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1.12 (0.96, 1.32)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3CA44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0.156</w:t>
            </w:r>
          </w:p>
        </w:tc>
      </w:tr>
      <w:tr w14:paraId="1E936F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0EB30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9FC8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1.83 (1.58, 2.12)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1F9D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2E81C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1.57 (1.35, 1.83)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F977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35E80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1.41 (1.21, 1.65)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8D86C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38C838A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2AC0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B8E7F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2.79 (2.43, 3.21)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6B61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F91DE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2.29 (1.98, 2.66)</w:t>
            </w: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6DBD5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9810A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1.95 (1.67, 2.27)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6A68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1FA45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E813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ABC24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987E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F85A1A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F805B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32E847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04D36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3225FD2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1: Unadjusted for any covariates.</w:t>
      </w:r>
    </w:p>
    <w:p w14:paraId="7C69F79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2: Adjusted for age, sex, race, education level, marital status, poverty income ratio, body mass index.</w:t>
      </w:r>
    </w:p>
    <w:p w14:paraId="635D687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3: Further adjusted for hypertension, DM, CHD, stroke, smoking status, physical activity, average energy intake.</w:t>
      </w:r>
    </w:p>
    <w:p w14:paraId="161F0178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 xml:space="preserve">Abbreviations: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CHD, coronary heart disease; CI, confidence interval; COPD, chronic obstructive pulmonary diseases; DM, diabetes mellitus; OR, odd ratio; RAR, ratio of red blood cell distribution width to albumin concentration</w:t>
      </w:r>
    </w:p>
    <w:p w14:paraId="31D1EB7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Style w:val="5"/>
          <w:rFonts w:hint="default" w:ascii="Arial" w:hAnsi="Arial" w:eastAsia="宋体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Table </w:t>
      </w:r>
      <w:r>
        <w:rPr>
          <w:rFonts w:hint="default" w:ascii="Arial" w:hAnsi="Arial" w:cs="Arial" w:eastAsiaTheme="minorHAnsi"/>
          <w:b/>
          <w:bCs w:val="0"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>12</w:t>
      </w:r>
      <w:r>
        <w:rPr>
          <w:rFonts w:hint="eastAsia" w:ascii="Arial" w:hAnsi="Arial" w:cs="Arial" w:eastAsiaTheme="minorHAnsi"/>
          <w:b/>
          <w:bCs w:val="0"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 xml:space="preserve"> 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</w:rPr>
        <w:t xml:space="preserve">Unweighted </w:t>
      </w:r>
      <w:r>
        <w:rPr>
          <w:rStyle w:val="5"/>
          <w:rFonts w:hint="default" w:ascii="Arial" w:hAnsi="Arial" w:eastAsia="宋体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m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</w:rPr>
        <w:t xml:space="preserve">ediation </w:t>
      </w:r>
      <w:r>
        <w:rPr>
          <w:rStyle w:val="5"/>
          <w:rFonts w:hint="default" w:ascii="Arial" w:hAnsi="Arial" w:eastAsia="宋体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a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</w:rPr>
        <w:t>nalysis</w:t>
      </w:r>
    </w:p>
    <w:tbl>
      <w:tblPr>
        <w:tblStyle w:val="3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0"/>
        <w:gridCol w:w="1720"/>
        <w:gridCol w:w="2165"/>
        <w:gridCol w:w="2182"/>
        <w:gridCol w:w="1553"/>
      </w:tblGrid>
      <w:tr w14:paraId="227CF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F35BD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sz w:val="20"/>
                <w:szCs w:val="20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  <w:tc>
          <w:tcPr>
            <w:tcW w:w="80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CD9A5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Estimate</w:t>
            </w:r>
          </w:p>
        </w:tc>
        <w:tc>
          <w:tcPr>
            <w:tcW w:w="101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D15AD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95% CI lower</w:t>
            </w:r>
          </w:p>
        </w:tc>
        <w:tc>
          <w:tcPr>
            <w:tcW w:w="102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BCA6BE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95% CI upper</w:t>
            </w:r>
          </w:p>
        </w:tc>
        <w:tc>
          <w:tcPr>
            <w:tcW w:w="72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7E5A7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-value</w:t>
            </w:r>
          </w:p>
        </w:tc>
      </w:tr>
      <w:tr w14:paraId="13D47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7E1A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Total effect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A2A8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default" w:ascii="Arial" w:hAnsi="Arial" w:eastAsia="宋体" w:cs="Arial"/>
                <w:b w:val="0"/>
                <w:bCs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3FEC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-0.0</w:t>
            </w:r>
            <w:r>
              <w:rPr>
                <w:rFonts w:hint="default" w:ascii="Arial" w:hAnsi="Arial" w:eastAsia="宋体" w:cs="Arial"/>
                <w:b w:val="0"/>
                <w:bCs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EFDF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default" w:ascii="Arial" w:hAnsi="Arial" w:eastAsia="宋体" w:cs="Arial"/>
                <w:b w:val="0"/>
                <w:bCs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AD48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14979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180C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Mediation effect 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9371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8e-04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2535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-0.001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5F35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-6e-04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4BA1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19C46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3D0C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Direct effect 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75C0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-0.005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85CE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default" w:ascii="Arial" w:hAnsi="Arial" w:eastAsia="宋体" w:cs="Arial"/>
                <w:b w:val="0"/>
                <w:bCs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A0C5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default" w:ascii="Arial" w:hAnsi="Arial" w:eastAsia="宋体" w:cs="Arial"/>
                <w:b w:val="0"/>
                <w:bCs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F406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 w14:paraId="2F54B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EEBB67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Propotion mediated </w:t>
            </w:r>
          </w:p>
        </w:tc>
        <w:tc>
          <w:tcPr>
            <w:tcW w:w="80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FBBEA6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0.14</w:t>
            </w:r>
            <w:r>
              <w:rPr>
                <w:rFonts w:hint="default" w:ascii="Arial" w:hAnsi="Arial" w:eastAsia="宋体" w:cs="Arial"/>
                <w:b w:val="0"/>
                <w:bCs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B9771E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0.08</w:t>
            </w:r>
            <w:r>
              <w:rPr>
                <w:rFonts w:hint="default" w:ascii="Arial" w:hAnsi="Arial" w:eastAsia="宋体" w:cs="Arial"/>
                <w:b w:val="0"/>
                <w:bCs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2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3762AA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default" w:ascii="Arial" w:hAnsi="Arial" w:eastAsia="宋体" w:cs="Arial"/>
                <w:b w:val="0"/>
                <w:bCs/>
                <w:color w:val="000000" w:themeColor="text1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301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A524F6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 w:themeColor="text1"/>
                <w:kern w:val="2"/>
                <w:sz w:val="20"/>
                <w:szCs w:val="20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/>
                <w:color w:val="000000" w:themeColor="text1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</w:tbl>
    <w:p w14:paraId="6168587D">
      <w:pPr>
        <w:pStyle w:val="7"/>
        <w:jc w:val="both"/>
        <w:rPr>
          <w:rFonts w:hint="default" w:ascii="Arial" w:hAnsi="Arial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z w:val="20"/>
          <w:szCs w:val="20"/>
          <w:highlight w:val="none"/>
        </w:rPr>
        <w:t>The model was adjusted for</w:t>
      </w:r>
      <w:r>
        <w:rPr>
          <w:rFonts w:hint="default" w:ascii="Arial" w:hAnsi="Arial" w:cs="Arial"/>
          <w:b w:val="0"/>
          <w:bCs/>
          <w:color w:val="000000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  <w:t xml:space="preserve">age, sex, race, education level, </w:t>
      </w:r>
      <w:r>
        <w:rPr>
          <w:rFonts w:hint="default" w:ascii="Arial" w:hAnsi="Arial" w:cs="Arial"/>
          <w:b w:val="0"/>
          <w:bCs/>
          <w:color w:val="000000"/>
          <w:kern w:val="0"/>
          <w:sz w:val="20"/>
          <w:szCs w:val="20"/>
          <w:highlight w:val="none"/>
        </w:rPr>
        <w:t>marital</w:t>
      </w:r>
      <w:r>
        <w:rPr>
          <w:rFonts w:hint="default" w:ascii="Arial" w:hAnsi="Arial" w:eastAsia="宋体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  <w:t xml:space="preserve"> status, poverty income ratio, body mass index, hypertension, DM, CHD, stroke, smoking status, physical activity, average energy intake.</w:t>
      </w:r>
    </w:p>
    <w:p w14:paraId="75060DB8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Table </w:t>
      </w:r>
      <w:r>
        <w:rPr>
          <w:rStyle w:val="5"/>
          <w:rFonts w:hint="default" w:ascii="Arial" w:hAnsi="Arial" w:eastAsia="Segoe UI" w:cs="Arial"/>
          <w:b/>
          <w:bCs w:val="0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13</w:t>
      </w:r>
      <w:r>
        <w:rPr>
          <w:rStyle w:val="5"/>
          <w:rFonts w:hint="eastAsia" w:ascii="Arial" w:hAnsi="Arial" w:eastAsia="Segoe UI" w:cs="Arial"/>
          <w:b/>
          <w:bCs w:val="0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 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Multivariate regression </w:t>
      </w:r>
      <w:r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 xml:space="preserve">logistic 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analysis of the association between DI-GM and COPD, further adjusted for protein and carbohydrate intake</w:t>
      </w:r>
    </w:p>
    <w:tbl>
      <w:tblPr>
        <w:tblStyle w:val="3"/>
        <w:tblW w:w="4999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951"/>
        <w:gridCol w:w="1071"/>
        <w:gridCol w:w="1951"/>
        <w:gridCol w:w="1071"/>
        <w:gridCol w:w="1951"/>
        <w:gridCol w:w="1071"/>
      </w:tblGrid>
      <w:tr w14:paraId="0722EE1E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56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B0F5A0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</w:t>
            </w:r>
          </w:p>
        </w:tc>
        <w:tc>
          <w:tcPr>
            <w:tcW w:w="1414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EA98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1</w:t>
            </w:r>
          </w:p>
        </w:tc>
        <w:tc>
          <w:tcPr>
            <w:tcW w:w="1414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6541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414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B1FB42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3</w:t>
            </w:r>
          </w:p>
        </w:tc>
      </w:tr>
      <w:tr w14:paraId="3A38EFD9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56" w:type="pct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2F82AC00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DD2D1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5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650590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1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7F63E1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5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AEE8CC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1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810FAF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50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BD8BD8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615AF11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5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1BFF3D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GM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score</w:t>
            </w:r>
          </w:p>
        </w:tc>
        <w:tc>
          <w:tcPr>
            <w:tcW w:w="91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BF89D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0.88 (0.84, 0.92)</w:t>
            </w:r>
          </w:p>
        </w:tc>
        <w:tc>
          <w:tcPr>
            <w:tcW w:w="50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E712E5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87DF19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0.91 (0.86, 0.96)</w:t>
            </w:r>
          </w:p>
        </w:tc>
        <w:tc>
          <w:tcPr>
            <w:tcW w:w="50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600063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105501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0.92 (0.88, 0.97)</w:t>
            </w:r>
          </w:p>
        </w:tc>
        <w:tc>
          <w:tcPr>
            <w:tcW w:w="50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A36661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0.002</w:t>
            </w:r>
          </w:p>
        </w:tc>
      </w:tr>
      <w:tr w14:paraId="3403ABD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1FA72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GM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group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AEC98F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CDB8B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1BC4F7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A32AE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6945F5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9F5F9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58390A9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82C8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0-3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AC90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6ACE0F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C9A03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2EDD3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03E2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40FA5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4616051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C3D66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6BB4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0.94 (0.80, 1.10)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53237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0.424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8F45F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0.97 (0.82, 1.15)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C6F19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0.716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C6847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0.98 (0.83, 1.16)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54531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0.832</w:t>
            </w:r>
          </w:p>
        </w:tc>
      </w:tr>
      <w:tr w14:paraId="6A9B5871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791C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8557B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0.81 (0.65, 1.00)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AD44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0.054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0D6A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0.87 (0.71, 1.08)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D0FF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0.211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BB6D8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0.87 (0.72, 1.06)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684F8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0.167</w:t>
            </w:r>
          </w:p>
        </w:tc>
      </w:tr>
      <w:tr w14:paraId="67B8994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F461D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FC62F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0.58 (0.48, 0.72)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8583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7B553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0.67 (0.54, 0.82)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33B1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EBECD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0.75 (0.61, 0.92)</w:t>
            </w: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0485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0.006</w:t>
            </w:r>
          </w:p>
        </w:tc>
      </w:tr>
      <w:tr w14:paraId="4B72AA43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D7C00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46BD5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3028A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E6002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410CA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1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8F7E6B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50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FAE0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0.005</w:t>
            </w:r>
          </w:p>
        </w:tc>
      </w:tr>
    </w:tbl>
    <w:p w14:paraId="00176225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1: Unadjusted for any covariates.</w:t>
      </w:r>
    </w:p>
    <w:p w14:paraId="1F92FA6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2: Adjusted for age, sex, race, education level, marital status, poverty income ratio, body mass index.</w:t>
      </w:r>
    </w:p>
    <w:p w14:paraId="77E2999E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Model 3: Further adjusted for hypertension, DM, CHD, stroke, smoking status, physical activity, average energy intake, average protein intake, average carbohydrate intake.</w:t>
      </w:r>
    </w:p>
    <w:p w14:paraId="7DD3ED3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Abbreviations: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CHD, coronary heart disease; CI, confidence interval; DI-GM, dietary index for gut microbiota; DM, diabetes mellitus; OR, odd ratio</w:t>
      </w:r>
    </w:p>
    <w:p w14:paraId="424312AC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>Supplementary Table</w:t>
      </w: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 </w:t>
      </w:r>
      <w:r>
        <w:rPr>
          <w:rStyle w:val="5"/>
          <w:rFonts w:hint="default" w:ascii="Arial" w:hAnsi="Arial" w:eastAsia="Segoe UI" w:cs="Arial"/>
          <w:b/>
          <w:bCs w:val="0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14</w:t>
      </w:r>
      <w:r>
        <w:rPr>
          <w:rFonts w:hint="default" w:ascii="Arial" w:hAnsi="Arial" w:cs="Arial"/>
          <w:b/>
          <w:bCs w:val="0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/>
          <w:sz w:val="20"/>
          <w:szCs w:val="20"/>
          <w:highlight w:val="none"/>
          <w:lang w:val="en-US" w:eastAsia="zh-CN"/>
        </w:rPr>
        <w:t xml:space="preserve">Multivariate regression </w:t>
      </w:r>
      <w:r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>linear</w:t>
      </w:r>
      <w:r>
        <w:rPr>
          <w:rFonts w:hint="default" w:ascii="Arial" w:hAnsi="Arial" w:cs="Arial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 xml:space="preserve"> </w:t>
      </w:r>
      <w:r>
        <w:rPr>
          <w:rFonts w:hint="default" w:ascii="Arial" w:hAnsi="Arial" w:cs="Arial"/>
          <w:b w:val="0"/>
          <w:bCs/>
          <w:sz w:val="20"/>
          <w:szCs w:val="20"/>
          <w:highlight w:val="none"/>
          <w:lang w:val="en-US" w:eastAsia="zh-CN"/>
        </w:rPr>
        <w:t xml:space="preserve">analysis of the association between DI-GM and RAR, 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retaining extreme energy intake values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2050"/>
        <w:gridCol w:w="960"/>
        <w:gridCol w:w="2050"/>
        <w:gridCol w:w="960"/>
        <w:gridCol w:w="2050"/>
        <w:gridCol w:w="962"/>
      </w:tblGrid>
      <w:tr w14:paraId="7D71F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72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0F253A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56B32BA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</w:t>
            </w:r>
          </w:p>
        </w:tc>
        <w:tc>
          <w:tcPr>
            <w:tcW w:w="1408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0624E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1</w:t>
            </w:r>
          </w:p>
        </w:tc>
        <w:tc>
          <w:tcPr>
            <w:tcW w:w="1408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60B9A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409" w:type="pct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A240A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3</w:t>
            </w:r>
          </w:p>
        </w:tc>
      </w:tr>
      <w:tr w14:paraId="49C29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772" w:type="pct"/>
            <w:vMerge w:val="continue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6ECB1A95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10C01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β(95% CI)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E3CA4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0EBAD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β(95% CI)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455B7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76914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β(95% CI)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F9641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46381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7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A55A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DI-GM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score</w:t>
            </w:r>
          </w:p>
        </w:tc>
        <w:tc>
          <w:tcPr>
            <w:tcW w:w="9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A56B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-0.03 (-0.04, -0.02)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116B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7E73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-0.02 (-0.02, -0.01)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ACD1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EDF0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-0.01 (-0.02, -0.01)</w:t>
            </w: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86E1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5F4C0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AD2B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DI-GM</w:t>
            </w:r>
            <w:r>
              <w:rPr>
                <w:rFonts w:hint="default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group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0DB0E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C1B6A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CD896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94D5C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81ED6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99EF3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3462D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D838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0-3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3B78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2B25B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4905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C2212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0BB3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4EF20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18883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34A0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3AA2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-0.06 (-0.09, -0.04)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A8B3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5108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(-0.06, -0.02)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F958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04D5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(-0.06, -0.02)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D813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F058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14D1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EAE1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-0.08 (-0.11, -0.05)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F1B5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6628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(-0.07, -0.01)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ACD3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8076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-0.04 (-0.06, -0.01)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C077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0.004</w:t>
            </w:r>
          </w:p>
        </w:tc>
      </w:tr>
      <w:tr w14:paraId="3477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8DDC1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≥6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2EFC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-0.13 (-0.16, -0.10)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915C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2C35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-0.08 (-0.10, -0.05)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107D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E749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-0.07 (-0.09, -0.04)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A3A5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F3C3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77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9699A6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7E3540C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5438ED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8D0D673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5C9DB2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24744BB3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3FA930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46DE4E72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Model 1: Unadjusted for any covariates.</w:t>
      </w:r>
    </w:p>
    <w:p w14:paraId="39F00762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Model 2: Adjusted for age, sex, race, education level, marital status, poverty income ratio, body mass index.</w:t>
      </w:r>
    </w:p>
    <w:p w14:paraId="67583929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Model 3: Further adjusted for hypertension, DM, CHD, stroke, smoking status, physical activity, average energy intake, average protein intake, average carbohydrate intake.</w:t>
      </w:r>
    </w:p>
    <w:p w14:paraId="5674DE90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Style w:val="5"/>
          <w:rFonts w:hint="default" w:ascii="Arial" w:hAnsi="Arial" w:eastAsia="Segoe UI" w:cs="Arial"/>
          <w:b/>
          <w:bCs w:val="0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Abbreviations: 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CHD, coronary heart disease; CI, confidence interval; DI-GM, dietary index for gut microbiota; DM, diabetes mellitus; OR, odd ratio; RAR, ratio of red blood cell distribution width to albumin concentration</w:t>
      </w:r>
    </w:p>
    <w:p w14:paraId="2932026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Table </w:t>
      </w:r>
      <w:r>
        <w:rPr>
          <w:rStyle w:val="5"/>
          <w:rFonts w:hint="default" w:ascii="Arial" w:hAnsi="Arial" w:eastAsia="Segoe UI" w:cs="Arial"/>
          <w:b/>
          <w:bCs w:val="0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15</w:t>
      </w:r>
      <w:r>
        <w:rPr>
          <w:rStyle w:val="5"/>
          <w:rFonts w:hint="eastAsia" w:ascii="Arial" w:hAnsi="Arial" w:eastAsia="Segoe UI" w:cs="Arial"/>
          <w:b/>
          <w:bCs w:val="0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/>
          <w:sz w:val="20"/>
          <w:szCs w:val="20"/>
          <w:highlight w:val="none"/>
          <w:lang w:val="en-US" w:eastAsia="zh-CN"/>
        </w:rPr>
        <w:t xml:space="preserve">Multivariate regression </w:t>
      </w:r>
      <w:r>
        <w:rPr>
          <w:rFonts w:hint="default" w:ascii="Arial" w:hAnsi="Arial" w:cs="Arial" w:eastAsiaTheme="minorHAnsi"/>
          <w:b w:val="0"/>
          <w:bCs/>
          <w:snapToGrid/>
          <w:color w:val="000000"/>
          <w:kern w:val="0"/>
          <w:sz w:val="20"/>
          <w:szCs w:val="20"/>
          <w:highlight w:val="none"/>
          <w:lang w:val="en-US" w:eastAsia="zh-CN" w:bidi="ar-SA"/>
        </w:rPr>
        <w:t xml:space="preserve">logistic </w:t>
      </w:r>
      <w:r>
        <w:rPr>
          <w:rFonts w:hint="default" w:ascii="Arial" w:hAnsi="Arial" w:cs="Arial"/>
          <w:b w:val="0"/>
          <w:bCs/>
          <w:sz w:val="20"/>
          <w:szCs w:val="20"/>
          <w:highlight w:val="none"/>
          <w:lang w:val="en-US" w:eastAsia="zh-CN"/>
        </w:rPr>
        <w:t xml:space="preserve">analysis of the association between RAR and COPD, 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further adjusted for protein and carbohydrate intake</w:t>
      </w:r>
    </w:p>
    <w:p w14:paraId="2E135D4D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</w:p>
    <w:tbl>
      <w:tblPr>
        <w:tblStyle w:val="3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2103"/>
        <w:gridCol w:w="1034"/>
        <w:gridCol w:w="2103"/>
        <w:gridCol w:w="1034"/>
        <w:gridCol w:w="2103"/>
        <w:gridCol w:w="1036"/>
      </w:tblGrid>
      <w:tr w14:paraId="4B7C63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D79D57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  <w:p w14:paraId="29AC750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top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Variable</w:t>
            </w:r>
          </w:p>
        </w:tc>
        <w:tc>
          <w:tcPr>
            <w:tcW w:w="1468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C786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1</w:t>
            </w:r>
          </w:p>
        </w:tc>
        <w:tc>
          <w:tcPr>
            <w:tcW w:w="1468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4C49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2</w:t>
            </w:r>
          </w:p>
        </w:tc>
        <w:tc>
          <w:tcPr>
            <w:tcW w:w="1469" w:type="pct"/>
            <w:gridSpan w:val="2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121ECDF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Model 3</w:t>
            </w:r>
          </w:p>
        </w:tc>
      </w:tr>
      <w:tr w14:paraId="1FD01D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vMerge w:val="continue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top"/>
          </w:tcPr>
          <w:p w14:paraId="76313541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712773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0C3271E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6A9A60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970BC8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  <w:tc>
          <w:tcPr>
            <w:tcW w:w="98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8C63BB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OR (95% CI)</w:t>
            </w:r>
          </w:p>
        </w:tc>
        <w:tc>
          <w:tcPr>
            <w:tcW w:w="485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F6C034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/>
                <w:iCs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50D894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3F089B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RAR</w:t>
            </w:r>
          </w:p>
        </w:tc>
        <w:tc>
          <w:tcPr>
            <w:tcW w:w="98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F89D18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2.21 (1.96, 2.49)</w:t>
            </w:r>
          </w:p>
        </w:tc>
        <w:tc>
          <w:tcPr>
            <w:tcW w:w="484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32042FD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47EC1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1.92 (1.70, 2.17)</w:t>
            </w:r>
          </w:p>
        </w:tc>
        <w:tc>
          <w:tcPr>
            <w:tcW w:w="484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0F513B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4F314F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1.72 (1.52, 1.94)</w:t>
            </w:r>
          </w:p>
        </w:tc>
        <w:tc>
          <w:tcPr>
            <w:tcW w:w="485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099FEA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F2EC3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23325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RAR.cut 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26D9F8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EF1587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D7054B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FE17EA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BCB2C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D6A5B2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356C0F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90689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E09A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FEFA7F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7DCE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Reference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FB4011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1F682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1(Reference)</w:t>
            </w: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60483D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</w:tr>
      <w:tr w14:paraId="0589DA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088D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Q2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EF62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1.29 (1.05, 1.59)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F6375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0.016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C3B8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1.16 (0.94, 1.43)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3A4B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0.173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66252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1.06 (0.85, 1.32)</w:t>
            </w: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42CE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0.597</w:t>
            </w:r>
          </w:p>
        </w:tc>
      </w:tr>
      <w:tr w14:paraId="3E577B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97C9F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Q3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1D602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1.99 (1.64, 2.42)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DE07F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952FD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1.64 (1.36, 1.99)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A6269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F1BFB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1.42 (1.17, 1.73)</w:t>
            </w: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95CF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659CCF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AD37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Q4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D6473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3.40 (2.72, 4.25)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206DF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B3BB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2.65 (2.10, 3.34)</w:t>
            </w: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442C7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9FF28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2.16 (1.72, 2.72)</w:t>
            </w: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33959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  <w:tr w14:paraId="0CF62D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5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94B6ED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Trend.test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C40EB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438A3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245B5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44171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98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9FE23">
            <w:pPr>
              <w:widowControl w:val="0"/>
              <w:spacing w:before="0" w:after="0" w:line="240" w:lineRule="auto"/>
              <w:jc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</w:p>
        </w:tc>
        <w:tc>
          <w:tcPr>
            <w:tcW w:w="4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299DB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&lt;0.001</w:t>
            </w:r>
          </w:p>
        </w:tc>
      </w:tr>
    </w:tbl>
    <w:p w14:paraId="31712A42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Model 1: Unadjusted for any covariates.</w:t>
      </w:r>
    </w:p>
    <w:p w14:paraId="0BA3BD14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Model 2: Adjusted for age, sex, race, education level, marital status, poverty income ratio, body mass index.</w:t>
      </w:r>
    </w:p>
    <w:p w14:paraId="5DFD52A1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Model 3: Further adjusted for hypertension, DM, CHD, stroke, smoking status, physical activity, average energy intake, average protein intake, average carbohydrate intake.</w:t>
      </w:r>
    </w:p>
    <w:p w14:paraId="554D1C6C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Style w:val="5"/>
          <w:rFonts w:hint="default" w:ascii="Arial" w:hAnsi="Arial" w:eastAsia="Segoe UI" w:cs="Arial"/>
          <w:b/>
          <w:bCs w:val="0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Abbreviations: 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CHD, coronary heart disease; CI, confidence interval; COPD, chronic obstructive pulmonary diseases; DM, diabetes mellitus; OR, odd ratio; RAR, ratio of red blood cell distribution width to albumin concentration</w:t>
      </w:r>
    </w:p>
    <w:p w14:paraId="5E07473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/>
        <w:jc w:val="left"/>
        <w:textAlignment w:val="auto"/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Table </w:t>
      </w:r>
      <w:r>
        <w:rPr>
          <w:rStyle w:val="5"/>
          <w:rFonts w:hint="default" w:ascii="Arial" w:hAnsi="Arial" w:eastAsia="Segoe UI" w:cs="Arial"/>
          <w:b/>
          <w:bCs w:val="0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16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/>
          <w:i w:val="0"/>
          <w:iCs w:val="0"/>
          <w:sz w:val="20"/>
          <w:szCs w:val="20"/>
          <w:highlight w:val="none"/>
        </w:rPr>
        <w:t>Mediation analysis</w:t>
      </w:r>
      <w:r>
        <w:rPr>
          <w:rFonts w:hint="default" w:ascii="Arial" w:hAnsi="Arial" w:eastAsia="宋体" w:cs="Arial"/>
          <w:b w:val="0"/>
          <w:bCs/>
          <w:i w:val="0"/>
          <w:iCs w:val="0"/>
          <w:sz w:val="20"/>
          <w:szCs w:val="20"/>
          <w:highlight w:val="none"/>
          <w:lang w:val="en-US" w:eastAsia="zh-CN"/>
        </w:rPr>
        <w:t xml:space="preserve">, 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further adjusted for protein and carbohydrate intake</w:t>
      </w:r>
    </w:p>
    <w:p w14:paraId="47154449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5"/>
        <w:gridCol w:w="1724"/>
        <w:gridCol w:w="2164"/>
        <w:gridCol w:w="2181"/>
        <w:gridCol w:w="1554"/>
      </w:tblGrid>
      <w:tr w14:paraId="5928E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6CB9B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Item</w:t>
            </w:r>
          </w:p>
        </w:tc>
        <w:tc>
          <w:tcPr>
            <w:tcW w:w="80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7E9CE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Estimate</w:t>
            </w:r>
          </w:p>
        </w:tc>
        <w:tc>
          <w:tcPr>
            <w:tcW w:w="101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A312E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95% CI lower</w:t>
            </w:r>
          </w:p>
        </w:tc>
        <w:tc>
          <w:tcPr>
            <w:tcW w:w="1021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596B9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95% CI upper</w:t>
            </w:r>
          </w:p>
        </w:tc>
        <w:tc>
          <w:tcPr>
            <w:tcW w:w="72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BA6E8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eastAsia="宋体" w:cs="Arial"/>
                <w:b w:val="0"/>
                <w:bCs/>
                <w:i/>
                <w:iCs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-value</w:t>
            </w:r>
          </w:p>
        </w:tc>
      </w:tr>
      <w:tr w14:paraId="157A4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C39F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Total Effect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D555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-0.0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80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0359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-0.1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35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6B6A9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-0.0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6735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&lt;0.001</w:t>
            </w:r>
          </w:p>
        </w:tc>
      </w:tr>
      <w:tr w14:paraId="30F99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74F30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Direct Effect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9B864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-0.0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70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FC0F1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-0.1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24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D81CF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-0.0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23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1CA4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0.0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0</w:t>
            </w:r>
          </w:p>
        </w:tc>
      </w:tr>
      <w:tr w14:paraId="47F7F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93865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Indirect Effect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8C788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-0.008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CBB47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-0.01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</w:p>
        </w:tc>
        <w:tc>
          <w:tcPr>
            <w:tcW w:w="10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985F6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-0.00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0AE1C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&lt;0.001</w:t>
            </w:r>
          </w:p>
        </w:tc>
      </w:tr>
      <w:tr w14:paraId="411A4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3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6EF388F2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left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Proportion Mediated</w:t>
            </w:r>
          </w:p>
        </w:tc>
        <w:tc>
          <w:tcPr>
            <w:tcW w:w="8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553ADF6A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0.09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1013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3E8661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0.0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52</w:t>
            </w:r>
          </w:p>
        </w:tc>
        <w:tc>
          <w:tcPr>
            <w:tcW w:w="102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7021BC3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0.</w:t>
            </w:r>
            <w:r>
              <w:rPr>
                <w:rFonts w:hint="default" w:ascii="Arial" w:hAnsi="Arial" w:eastAsia="宋体" w:cs="Arial"/>
                <w:b w:val="0"/>
                <w:bCs/>
                <w:color w:val="auto"/>
                <w:sz w:val="20"/>
                <w:szCs w:val="20"/>
                <w:highlight w:val="none"/>
                <w:lang w:val="en-US" w:eastAsia="zh-CN"/>
              </w:rPr>
              <w:t>280</w:t>
            </w:r>
          </w:p>
        </w:tc>
        <w:tc>
          <w:tcPr>
            <w:tcW w:w="72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1540571E">
            <w:pPr>
              <w:keepNext w:val="0"/>
              <w:keepLines w:val="0"/>
              <w:widowControl/>
              <w:suppressLineNumbers w:val="0"/>
              <w:spacing w:before="0" w:after="0" w:line="240" w:lineRule="auto"/>
              <w:jc w:val="center"/>
              <w:textAlignment w:val="center"/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default" w:ascii="Arial" w:hAnsi="Arial" w:cs="Arial"/>
                <w:b w:val="0"/>
                <w:bCs/>
                <w:color w:val="auto"/>
                <w:sz w:val="20"/>
                <w:szCs w:val="20"/>
                <w:highlight w:val="none"/>
              </w:rPr>
              <w:t>&lt;0.001</w:t>
            </w:r>
          </w:p>
        </w:tc>
      </w:tr>
    </w:tbl>
    <w:p w14:paraId="1C0E6CC0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/>
          <w:b w:val="0"/>
          <w:bCs/>
          <w:sz w:val="20"/>
          <w:szCs w:val="20"/>
          <w:highlight w:val="none"/>
        </w:rPr>
        <w:t>The model was adjusted for</w:t>
      </w:r>
      <w:r>
        <w:rPr>
          <w:rFonts w:hint="default" w:ascii="Arial" w:hAnsi="Arial" w:cs="Arial"/>
          <w:b w:val="0"/>
          <w:bCs/>
          <w:color w:val="000000"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  <w:t xml:space="preserve">age, sex, race, education level, </w:t>
      </w:r>
      <w:r>
        <w:rPr>
          <w:rFonts w:hint="default" w:ascii="Arial" w:hAnsi="Arial" w:cs="Arial"/>
          <w:b w:val="0"/>
          <w:bCs/>
          <w:color w:val="000000"/>
          <w:kern w:val="0"/>
          <w:sz w:val="20"/>
          <w:szCs w:val="20"/>
          <w:highlight w:val="none"/>
        </w:rPr>
        <w:t>marital</w:t>
      </w:r>
      <w:r>
        <w:rPr>
          <w:rFonts w:hint="default" w:ascii="Arial" w:hAnsi="Arial" w:eastAsia="宋体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  <w:t xml:space="preserve"> status, poverty income ratio, body mass index, hypertension, DM, CHD, stroke, smoking status, physical activity, average energy intake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, average protein intake, average carbohydrate intake.</w:t>
      </w:r>
    </w:p>
    <w:p w14:paraId="752B2F17">
      <w:pP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sectPr>
          <w:type w:val="continuous"/>
          <w:pgSz w:w="11906" w:h="16838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8E1A8F8">
      <w:pPr>
        <w:rPr>
          <w:rStyle w:val="5"/>
          <w:rFonts w:hint="eastAsia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Table </w:t>
      </w:r>
      <w:r>
        <w:rPr>
          <w:rStyle w:val="5"/>
          <w:rFonts w:hint="eastAsia" w:ascii="Arial" w:hAnsi="Arial" w:eastAsia="Segoe UI" w:cs="Arial"/>
          <w:b/>
          <w:bCs w:val="0"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17 </w:t>
      </w:r>
      <w:r>
        <w:rPr>
          <w:rStyle w:val="5"/>
          <w:rFonts w:hint="eastAsia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>Sensitivity analysis of the mediation effects in the DI-GM-COPD association with adjustments for specific inflammatory biomarkers</w:t>
      </w:r>
    </w:p>
    <w:tbl>
      <w:tblPr>
        <w:tblStyle w:val="3"/>
        <w:tblW w:w="1549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2547"/>
        <w:gridCol w:w="2636"/>
        <w:gridCol w:w="2889"/>
        <w:gridCol w:w="3282"/>
        <w:gridCol w:w="2758"/>
      </w:tblGrid>
      <w:tr w14:paraId="065D0C6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FF0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Biomarkers</w:t>
            </w:r>
          </w:p>
        </w:tc>
        <w:tc>
          <w:tcPr>
            <w:tcW w:w="0" w:type="auto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2D3A5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Total effect OR(95% CI)</w:t>
            </w:r>
          </w:p>
        </w:tc>
        <w:tc>
          <w:tcPr>
            <w:tcW w:w="0" w:type="auto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910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Direct effect OR(95% CI)</w:t>
            </w:r>
          </w:p>
        </w:tc>
        <w:tc>
          <w:tcPr>
            <w:tcW w:w="0" w:type="auto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3888B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Indirect effect OR(95% CI)</w:t>
            </w:r>
          </w:p>
        </w:tc>
        <w:tc>
          <w:tcPr>
            <w:tcW w:w="0" w:type="auto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F37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Percentage mediated %(95% CI)</w:t>
            </w:r>
          </w:p>
        </w:tc>
        <w:tc>
          <w:tcPr>
            <w:tcW w:w="2758" w:type="dxa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755166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P-value for Indirect Effect</w:t>
            </w:r>
          </w:p>
        </w:tc>
      </w:tr>
      <w:tr w14:paraId="73CA8A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14D172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RAR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0F22E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-0.076(-0.129, -0.025)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2ED08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-0.068(-0.120, -0.019)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C4749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-0.007(-0.010, -0.004)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E1716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0.089(0.043, 0.257)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2758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15059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4E238D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8590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RAR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52D6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-0.075(-0.127, -0.025)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B645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-0.069(-0.122, -0.021)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15F3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-0.004(-0.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008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, -0.0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E381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0.06(0.022, 0.169)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27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24F4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</w:tr>
      <w:tr w14:paraId="5A53E1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7936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NPAR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DE75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-0.068(-0.120, -0.019)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5B37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-0.069(-0.122, -0.021)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37AF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0.001(0.000, 0.003)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0AF3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-0.019(-0.066, 0.001)</w:t>
            </w:r>
          </w:p>
        </w:tc>
        <w:tc>
          <w:tcPr>
            <w:tcW w:w="27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9E5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393CDA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9FE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MAR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4</w:t>
            </w:r>
          </w:p>
        </w:tc>
        <w:tc>
          <w:tcPr>
            <w:tcW w:w="254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079B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-0.068(-0.120, -0.019)</w:t>
            </w:r>
          </w:p>
        </w:tc>
        <w:tc>
          <w:tcPr>
            <w:tcW w:w="263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1CFA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-0.068(-0.119, -0.019)</w:t>
            </w:r>
          </w:p>
        </w:tc>
        <w:tc>
          <w:tcPr>
            <w:tcW w:w="28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E8F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0(-0.001, 0.001)</w:t>
            </w:r>
          </w:p>
        </w:tc>
        <w:tc>
          <w:tcPr>
            <w:tcW w:w="328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CB13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0.004(-0.012, 0.028)</w:t>
            </w:r>
          </w:p>
        </w:tc>
        <w:tc>
          <w:tcPr>
            <w:tcW w:w="275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6B2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0.340</w:t>
            </w:r>
          </w:p>
        </w:tc>
      </w:tr>
    </w:tbl>
    <w:p w14:paraId="5A6E4B7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eastAsia="宋体" w:cs="Arial"/>
          <w:kern w:val="0"/>
          <w:sz w:val="20"/>
          <w:szCs w:val="20"/>
          <w:lang w:val="en-US" w:eastAsia="zh-CN" w:bidi="ar"/>
        </w:rPr>
        <w:t>All models were adjusted for the following baseline covariates: age, sex, race/ethnicity, education level, marital status, poverty-income ratio, body mass index, hypertension, diabetes mellitus, coronary heart disease, stroke, smoking status, physical activity, and average energy, protein, and carbohydrate intake. Additionally, model-specific adjustments were made as follows:</w:t>
      </w:r>
    </w:p>
    <w:p w14:paraId="56264412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eastAsia="宋体" w:cs="Arial"/>
          <w:kern w:val="0"/>
          <w:sz w:val="20"/>
          <w:szCs w:val="20"/>
          <w:lang w:val="en-US" w:eastAsia="zh-CN" w:bidi="ar"/>
        </w:rPr>
        <w:t>¹ RAR¹: Mediation model with RAR as the mediator, additionally adjusted for SIRI.</w:t>
      </w:r>
    </w:p>
    <w:p w14:paraId="0F9C1CF4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eastAsia="宋体" w:cs="Arial"/>
          <w:kern w:val="0"/>
          <w:sz w:val="20"/>
          <w:szCs w:val="20"/>
          <w:lang w:val="en-US" w:eastAsia="zh-CN" w:bidi="ar"/>
        </w:rPr>
        <w:t>² RAR²: Mediation model with RAR as the mediator, additionally adjusted for SIRI and NPAR.</w:t>
      </w:r>
    </w:p>
    <w:p w14:paraId="237DB83D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eastAsia="宋体" w:cs="Arial"/>
          <w:kern w:val="0"/>
          <w:sz w:val="20"/>
          <w:szCs w:val="20"/>
          <w:lang w:val="en-US" w:eastAsia="zh-CN" w:bidi="ar"/>
        </w:rPr>
        <w:t>³ NPAR³: Mediation model with NPAR as the mediator, additionally adjusted for SIRI and RAR.</w:t>
      </w:r>
    </w:p>
    <w:p w14:paraId="4E959DB5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sz w:val="20"/>
          <w:szCs w:val="20"/>
        </w:rPr>
      </w:pPr>
      <w:r>
        <w:rPr>
          <w:rFonts w:hint="default" w:ascii="Arial" w:hAnsi="Arial" w:eastAsia="宋体" w:cs="Arial"/>
          <w:kern w:val="0"/>
          <w:sz w:val="20"/>
          <w:szCs w:val="20"/>
          <w:lang w:val="en-US" w:eastAsia="zh-CN" w:bidi="ar"/>
        </w:rPr>
        <w:t>⁴ MAR⁴: Mediation model with MAR as the mediator, additionally adjusted for SIRI and RAR.</w:t>
      </w:r>
    </w:p>
    <w:p w14:paraId="3BD5B4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eastAsia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Abbreviations: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</w:t>
      </w:r>
      <w:r>
        <w:rPr>
          <w:rStyle w:val="5"/>
          <w:rFonts w:hint="default" w:ascii="Arial" w:hAnsi="Arial" w:eastAsia="Segoe UI" w:cs="Arial"/>
          <w:b w:val="0"/>
          <w:bCs/>
          <w:i w:val="0"/>
          <w:iCs w:val="0"/>
          <w:caps w:val="0"/>
          <w:color w:val="0F1115"/>
          <w:spacing w:val="0"/>
          <w:sz w:val="20"/>
          <w:szCs w:val="20"/>
          <w:highlight w:val="none"/>
          <w:shd w:val="clear" w:fill="FFFFFF"/>
          <w:lang w:val="en-US" w:eastAsia="zh-CN"/>
        </w:rPr>
        <w:t xml:space="preserve">CI, confidence interval; COPD, chronic obstructive pulmonary diseases;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DI-GM, dietary index for gut microbiota;</w:t>
      </w:r>
      <w:r>
        <w:rPr>
          <w:rFonts w:hint="eastAsia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MAR, monocyte-to-albumin ratio; NPAR, neutrophil percentage-to-albumin ratio;</w:t>
      </w:r>
      <w:r>
        <w:rPr>
          <w:rFonts w:hint="eastAsia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RAR, red cell distribution width-to-albumin ratio; SIRI, systemic inflammation response index</w:t>
      </w:r>
      <w:r>
        <w:rPr>
          <w:rFonts w:hint="eastAsia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* P &lt; 0.05</w:t>
      </w:r>
      <w:r>
        <w:rPr>
          <w:rFonts w:hint="eastAsia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>.</w:t>
      </w:r>
    </w:p>
    <w:p w14:paraId="2B5732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</w:p>
    <w:p w14:paraId="215084C6">
      <w:pP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red"/>
          <w:lang w:val="en-US" w:eastAsia="zh-CN" w:bidi="ar-SA"/>
        </w:rPr>
      </w:pPr>
    </w:p>
    <w:p w14:paraId="39DE0276">
      <w:pP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red"/>
          <w:lang w:val="en-US" w:eastAsia="zh-CN" w:bidi="ar-SA"/>
        </w:rPr>
      </w:pPr>
    </w:p>
    <w:p w14:paraId="29F3EF30">
      <w:pP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red"/>
          <w:lang w:val="en-US" w:eastAsia="zh-CN" w:bidi="ar-SA"/>
        </w:rPr>
      </w:pPr>
    </w:p>
    <w:p w14:paraId="749B94A5">
      <w:pP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red"/>
          <w:lang w:val="en-US" w:eastAsia="zh-CN" w:bidi="ar-SA"/>
        </w:rPr>
      </w:pPr>
    </w:p>
    <w:p w14:paraId="672E5BF9">
      <w:pPr>
        <w:rPr>
          <w:rFonts w:hint="eastAsia" w:ascii="Arial" w:hAnsi="Arial" w:cs="Arial"/>
          <w:b/>
          <w:bCs w:val="0"/>
          <w:snapToGrid/>
          <w:sz w:val="20"/>
          <w:szCs w:val="20"/>
          <w:highlight w:val="red"/>
          <w:lang w:val="en-US" w:eastAsia="zh-CN" w:bidi="ar-SA"/>
        </w:rPr>
        <w:sectPr>
          <w:type w:val="continuous"/>
          <w:pgSz w:w="16838" w:h="11906" w:orient="landscape"/>
          <w:pgMar w:top="720" w:right="720" w:bottom="720" w:left="72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57E332FD">
      <w:pPr>
        <w:rPr>
          <w:rFonts w:hint="eastAsia" w:ascii="Arial" w:hAnsi="Arial" w:cs="Arial"/>
          <w:b/>
          <w:bCs w:val="0"/>
          <w:snapToGrid/>
          <w:sz w:val="20"/>
          <w:szCs w:val="20"/>
          <w:highlight w:val="red"/>
          <w:lang w:val="en-US" w:eastAsia="zh-CN" w:bidi="ar-SA"/>
        </w:rPr>
      </w:pPr>
      <w:r>
        <w:rPr>
          <w:rFonts w:hint="eastAsia" w:ascii="Arial" w:hAnsi="Arial" w:cs="Arial"/>
          <w:b/>
          <w:bCs w:val="0"/>
          <w:snapToGrid/>
          <w:sz w:val="20"/>
          <w:szCs w:val="20"/>
          <w:highlight w:val="red"/>
          <w:lang w:val="en-US" w:eastAsia="zh-CN" w:bidi="ar-SA"/>
        </w:rPr>
        <w:drawing>
          <wp:inline distT="0" distB="0" distL="114300" distR="114300">
            <wp:extent cx="4060190" cy="3681730"/>
            <wp:effectExtent l="0" t="0" r="8890" b="6350"/>
            <wp:docPr id="2" name="图片 2" descr="Figure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_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019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410AB">
      <w:pPr>
        <w:rPr>
          <w:rFonts w:hint="eastAsia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</w:pPr>
      <w:r>
        <w:rPr>
          <w:rFonts w:hint="default" w:ascii="Arial" w:hAnsi="Arial" w:cs="Arial" w:eastAsiaTheme="minorHAnsi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Supplementary </w:t>
      </w:r>
      <w:r>
        <w:rPr>
          <w:rFonts w:hint="eastAsia" w:ascii="Arial" w:hAnsi="Arial" w:cs="Arial"/>
          <w:b/>
          <w:bCs w:val="0"/>
          <w:snapToGrid/>
          <w:sz w:val="20"/>
          <w:szCs w:val="20"/>
          <w:highlight w:val="none"/>
          <w:lang w:val="en-US" w:eastAsia="zh-CN" w:bidi="ar-SA"/>
        </w:rPr>
        <w:t xml:space="preserve">Figure1 </w:t>
      </w:r>
      <w:r>
        <w:rPr>
          <w:rFonts w:hint="eastAsia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  <w:t xml:space="preserve">Correlation Matrix of Candidate Inflammatory-Nutritional Mediators. Correlation matrix illustrating the pairwise Pearson correlation coefficients between candidate inflammatory-nutritional mediators. Correlation coefficients range from -1 to 1, with warmer colors (reds) indicating stronger positive correlations and cooler colors (whites/blues) indicating weaker or negative correlations. Absolute values &gt; 0.7 were considered indicative of potential multicollinearity. </w:t>
      </w:r>
    </w:p>
    <w:p w14:paraId="550A58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/>
        <w:textAlignment w:val="auto"/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</w:pPr>
      <w:r>
        <w:rPr>
          <w:rFonts w:hint="default" w:ascii="Arial" w:hAnsi="Arial" w:cs="Arial"/>
          <w:b/>
          <w:bCs w:val="0"/>
          <w:snapToGrid/>
          <w:sz w:val="20"/>
          <w:szCs w:val="20"/>
          <w:highlight w:val="none"/>
          <w:lang w:val="en-US" w:eastAsia="zh-CN"/>
        </w:rPr>
        <w:t>Abbreviations:</w:t>
      </w:r>
      <w: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/>
        </w:rPr>
        <w:t xml:space="preserve"> MAR, monocyte-to-albumin ratio; NMLR, neutrophil-to-monocyte-plus-lymphocyte ratio; NLR, neutrophil-to-lymphocyte ratio; NPAR, neutrophil percentage-to-albumin ratio; RAR, red cell distribution width-to-albumin ratio; SII, systemic immune-inflammation index; SIRI, systemic inflammation response index.</w:t>
      </w:r>
    </w:p>
    <w:p w14:paraId="1EB9B3AA">
      <w:pPr>
        <w:rPr>
          <w:rFonts w:hint="default" w:ascii="Arial" w:hAnsi="Arial" w:cs="Arial"/>
          <w:b w:val="0"/>
          <w:bCs/>
          <w:snapToGrid/>
          <w:sz w:val="20"/>
          <w:szCs w:val="20"/>
          <w:highlight w:val="none"/>
          <w:lang w:val="en-US" w:eastAsia="zh-CN" w:bidi="ar-SA"/>
        </w:rPr>
      </w:pPr>
    </w:p>
    <w:p w14:paraId="7D90D226">
      <w:pPr>
        <w:pStyle w:val="7"/>
        <w:jc w:val="both"/>
        <w:rPr>
          <w:rFonts w:hint="default" w:ascii="Arial" w:hAnsi="Arial" w:eastAsia="宋体" w:cs="Arial"/>
          <w:b w:val="0"/>
          <w:bCs/>
          <w:color w:val="000000"/>
          <w:kern w:val="0"/>
          <w:sz w:val="20"/>
          <w:szCs w:val="20"/>
          <w:highlight w:val="none"/>
          <w:lang w:val="en-US" w:eastAsia="zh-CN"/>
        </w:rPr>
      </w:pPr>
    </w:p>
    <w:sectPr>
      <w:type w:val="continuous"/>
      <w:pgSz w:w="16838" w:h="11906" w:orient="landscape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2FC7"/>
    <w:rsid w:val="00164C26"/>
    <w:rsid w:val="009E5347"/>
    <w:rsid w:val="00B44B5D"/>
    <w:rsid w:val="00DC7C1D"/>
    <w:rsid w:val="01395070"/>
    <w:rsid w:val="016365BB"/>
    <w:rsid w:val="01993D60"/>
    <w:rsid w:val="025D4D8E"/>
    <w:rsid w:val="02D92666"/>
    <w:rsid w:val="02F456F2"/>
    <w:rsid w:val="033C2BF5"/>
    <w:rsid w:val="03546191"/>
    <w:rsid w:val="035C6DF3"/>
    <w:rsid w:val="03617A8A"/>
    <w:rsid w:val="03AC1B29"/>
    <w:rsid w:val="040F20B8"/>
    <w:rsid w:val="041C7566"/>
    <w:rsid w:val="04200DF4"/>
    <w:rsid w:val="04310280"/>
    <w:rsid w:val="04934A97"/>
    <w:rsid w:val="05246072"/>
    <w:rsid w:val="056D353A"/>
    <w:rsid w:val="05E05ABA"/>
    <w:rsid w:val="065C6EBA"/>
    <w:rsid w:val="069845E6"/>
    <w:rsid w:val="069A3EBB"/>
    <w:rsid w:val="06E93094"/>
    <w:rsid w:val="076170CE"/>
    <w:rsid w:val="079E3E7E"/>
    <w:rsid w:val="07D20941"/>
    <w:rsid w:val="07E13D6B"/>
    <w:rsid w:val="08510EF1"/>
    <w:rsid w:val="09491BC8"/>
    <w:rsid w:val="09E05EDB"/>
    <w:rsid w:val="0A0501E5"/>
    <w:rsid w:val="0A1F286F"/>
    <w:rsid w:val="0ABF0394"/>
    <w:rsid w:val="0B462863"/>
    <w:rsid w:val="0B472137"/>
    <w:rsid w:val="0B486BD9"/>
    <w:rsid w:val="0B6902FF"/>
    <w:rsid w:val="0B892750"/>
    <w:rsid w:val="0C1666D9"/>
    <w:rsid w:val="0C2B1A59"/>
    <w:rsid w:val="0CB87790"/>
    <w:rsid w:val="0CD56232"/>
    <w:rsid w:val="0CE340E1"/>
    <w:rsid w:val="0D892EDB"/>
    <w:rsid w:val="0DBE0DD6"/>
    <w:rsid w:val="0DD41D54"/>
    <w:rsid w:val="0E1C3D4F"/>
    <w:rsid w:val="0F1F3AF7"/>
    <w:rsid w:val="0F44530B"/>
    <w:rsid w:val="0F9327B2"/>
    <w:rsid w:val="0FD04DF1"/>
    <w:rsid w:val="0FE73EE9"/>
    <w:rsid w:val="10077F17"/>
    <w:rsid w:val="10A80860"/>
    <w:rsid w:val="10CF7333"/>
    <w:rsid w:val="10F60268"/>
    <w:rsid w:val="11196324"/>
    <w:rsid w:val="11851C0B"/>
    <w:rsid w:val="11AB78C4"/>
    <w:rsid w:val="11CE35B2"/>
    <w:rsid w:val="12483364"/>
    <w:rsid w:val="12506278"/>
    <w:rsid w:val="12654E0D"/>
    <w:rsid w:val="12977E48"/>
    <w:rsid w:val="12E3308D"/>
    <w:rsid w:val="130A061A"/>
    <w:rsid w:val="13143247"/>
    <w:rsid w:val="13D33102"/>
    <w:rsid w:val="14BC1DE8"/>
    <w:rsid w:val="152534E9"/>
    <w:rsid w:val="156A6C7D"/>
    <w:rsid w:val="161A5018"/>
    <w:rsid w:val="1676615B"/>
    <w:rsid w:val="16BA4105"/>
    <w:rsid w:val="16D13F6C"/>
    <w:rsid w:val="16EB64B3"/>
    <w:rsid w:val="16F413C5"/>
    <w:rsid w:val="17A728BA"/>
    <w:rsid w:val="17C0399D"/>
    <w:rsid w:val="17EB6C6C"/>
    <w:rsid w:val="18023FB5"/>
    <w:rsid w:val="18226406"/>
    <w:rsid w:val="1B397CEE"/>
    <w:rsid w:val="1B5C39DD"/>
    <w:rsid w:val="1BD619E1"/>
    <w:rsid w:val="1BE51C24"/>
    <w:rsid w:val="1C450915"/>
    <w:rsid w:val="1C5B3C94"/>
    <w:rsid w:val="1C6762A3"/>
    <w:rsid w:val="1C6C40F3"/>
    <w:rsid w:val="1CFD4D4B"/>
    <w:rsid w:val="1D4D7A81"/>
    <w:rsid w:val="1D6155F1"/>
    <w:rsid w:val="1E0E2891"/>
    <w:rsid w:val="1E71779F"/>
    <w:rsid w:val="1ED65854"/>
    <w:rsid w:val="20017FD2"/>
    <w:rsid w:val="20104D96"/>
    <w:rsid w:val="20256A93"/>
    <w:rsid w:val="20727F86"/>
    <w:rsid w:val="20E97AC1"/>
    <w:rsid w:val="21863561"/>
    <w:rsid w:val="21DC7625"/>
    <w:rsid w:val="21F42F8B"/>
    <w:rsid w:val="2265467C"/>
    <w:rsid w:val="22A5210D"/>
    <w:rsid w:val="230010F2"/>
    <w:rsid w:val="232748D0"/>
    <w:rsid w:val="232C38FC"/>
    <w:rsid w:val="2350094A"/>
    <w:rsid w:val="2392443F"/>
    <w:rsid w:val="24FA6740"/>
    <w:rsid w:val="25284930"/>
    <w:rsid w:val="25302162"/>
    <w:rsid w:val="254774AC"/>
    <w:rsid w:val="255D6CCF"/>
    <w:rsid w:val="25C7239A"/>
    <w:rsid w:val="25E1072B"/>
    <w:rsid w:val="26366115"/>
    <w:rsid w:val="26377520"/>
    <w:rsid w:val="26404627"/>
    <w:rsid w:val="26E20DCB"/>
    <w:rsid w:val="26F7280B"/>
    <w:rsid w:val="2786250D"/>
    <w:rsid w:val="27AB1F74"/>
    <w:rsid w:val="27D112AE"/>
    <w:rsid w:val="286F2FA1"/>
    <w:rsid w:val="28C64B8B"/>
    <w:rsid w:val="292E4C0A"/>
    <w:rsid w:val="298C2B5B"/>
    <w:rsid w:val="29A053DC"/>
    <w:rsid w:val="29A812EF"/>
    <w:rsid w:val="29D05CC2"/>
    <w:rsid w:val="29D55086"/>
    <w:rsid w:val="29E452C9"/>
    <w:rsid w:val="2A704DAF"/>
    <w:rsid w:val="2AA8279A"/>
    <w:rsid w:val="2B193698"/>
    <w:rsid w:val="2C932FD6"/>
    <w:rsid w:val="2CC338BC"/>
    <w:rsid w:val="2D954AF2"/>
    <w:rsid w:val="2DD0599B"/>
    <w:rsid w:val="2E4E3659"/>
    <w:rsid w:val="2E6011BE"/>
    <w:rsid w:val="2FAD43AF"/>
    <w:rsid w:val="2FCB7CB0"/>
    <w:rsid w:val="2FE37DD1"/>
    <w:rsid w:val="30711881"/>
    <w:rsid w:val="30C45E54"/>
    <w:rsid w:val="30FF0E50"/>
    <w:rsid w:val="3104326E"/>
    <w:rsid w:val="31921AAF"/>
    <w:rsid w:val="324059AE"/>
    <w:rsid w:val="3265253D"/>
    <w:rsid w:val="32D54349"/>
    <w:rsid w:val="33134E71"/>
    <w:rsid w:val="33151A4D"/>
    <w:rsid w:val="333D3C9C"/>
    <w:rsid w:val="33FE4CC6"/>
    <w:rsid w:val="34140EA1"/>
    <w:rsid w:val="34A43FD3"/>
    <w:rsid w:val="34BA1A48"/>
    <w:rsid w:val="34E15227"/>
    <w:rsid w:val="355B7104"/>
    <w:rsid w:val="357E0CC8"/>
    <w:rsid w:val="37117919"/>
    <w:rsid w:val="38C20ECB"/>
    <w:rsid w:val="3971469F"/>
    <w:rsid w:val="397C551E"/>
    <w:rsid w:val="399F120C"/>
    <w:rsid w:val="39BA6046"/>
    <w:rsid w:val="39C66799"/>
    <w:rsid w:val="39D37108"/>
    <w:rsid w:val="3ADD1FEC"/>
    <w:rsid w:val="3B011466"/>
    <w:rsid w:val="3C29300F"/>
    <w:rsid w:val="3C9012E0"/>
    <w:rsid w:val="3CC80A7A"/>
    <w:rsid w:val="3FA56E51"/>
    <w:rsid w:val="3FCC6AD3"/>
    <w:rsid w:val="400A48AA"/>
    <w:rsid w:val="4090365D"/>
    <w:rsid w:val="40E701DB"/>
    <w:rsid w:val="41056963"/>
    <w:rsid w:val="4189109F"/>
    <w:rsid w:val="41B65345"/>
    <w:rsid w:val="42246753"/>
    <w:rsid w:val="42507548"/>
    <w:rsid w:val="42616502"/>
    <w:rsid w:val="42A17DA3"/>
    <w:rsid w:val="42B87898"/>
    <w:rsid w:val="42F00D2B"/>
    <w:rsid w:val="4332743B"/>
    <w:rsid w:val="43730EAF"/>
    <w:rsid w:val="444E1964"/>
    <w:rsid w:val="446472DA"/>
    <w:rsid w:val="44734EDB"/>
    <w:rsid w:val="44867251"/>
    <w:rsid w:val="4487121B"/>
    <w:rsid w:val="45D109A0"/>
    <w:rsid w:val="4723522B"/>
    <w:rsid w:val="47CA56A6"/>
    <w:rsid w:val="489B7043"/>
    <w:rsid w:val="48B00D40"/>
    <w:rsid w:val="48B325DE"/>
    <w:rsid w:val="49064E04"/>
    <w:rsid w:val="49885819"/>
    <w:rsid w:val="49AE2DA6"/>
    <w:rsid w:val="49C12AD9"/>
    <w:rsid w:val="4A4C4A1D"/>
    <w:rsid w:val="4A804742"/>
    <w:rsid w:val="4AAD305D"/>
    <w:rsid w:val="4C870AC4"/>
    <w:rsid w:val="4D241CFD"/>
    <w:rsid w:val="4D810EFD"/>
    <w:rsid w:val="4E217FEA"/>
    <w:rsid w:val="4E574EB0"/>
    <w:rsid w:val="4E597784"/>
    <w:rsid w:val="4E7520E4"/>
    <w:rsid w:val="4E976852"/>
    <w:rsid w:val="4EC45545"/>
    <w:rsid w:val="4F624D5E"/>
    <w:rsid w:val="4F6F4D85"/>
    <w:rsid w:val="50E022FA"/>
    <w:rsid w:val="50E21CB3"/>
    <w:rsid w:val="50EC0D83"/>
    <w:rsid w:val="51404C2B"/>
    <w:rsid w:val="516721B8"/>
    <w:rsid w:val="524B7D2C"/>
    <w:rsid w:val="525941F7"/>
    <w:rsid w:val="52742DDF"/>
    <w:rsid w:val="528B637A"/>
    <w:rsid w:val="52B07B8F"/>
    <w:rsid w:val="54175C3D"/>
    <w:rsid w:val="54432CFB"/>
    <w:rsid w:val="554944DC"/>
    <w:rsid w:val="55562C6F"/>
    <w:rsid w:val="559612BE"/>
    <w:rsid w:val="55E71B19"/>
    <w:rsid w:val="570B1838"/>
    <w:rsid w:val="57621DB0"/>
    <w:rsid w:val="57E5652D"/>
    <w:rsid w:val="58262DCD"/>
    <w:rsid w:val="588040E3"/>
    <w:rsid w:val="589278EC"/>
    <w:rsid w:val="59D32AE1"/>
    <w:rsid w:val="59D35E25"/>
    <w:rsid w:val="5ABC5F3A"/>
    <w:rsid w:val="5B044F1C"/>
    <w:rsid w:val="5B9E44A0"/>
    <w:rsid w:val="5CBC5574"/>
    <w:rsid w:val="5CC76201"/>
    <w:rsid w:val="5DCC6844"/>
    <w:rsid w:val="5DEA03F9"/>
    <w:rsid w:val="5E111E29"/>
    <w:rsid w:val="5E176D14"/>
    <w:rsid w:val="5E4E4E2C"/>
    <w:rsid w:val="5E736640"/>
    <w:rsid w:val="5E8C325E"/>
    <w:rsid w:val="5F1637EF"/>
    <w:rsid w:val="5F742670"/>
    <w:rsid w:val="5F8966A3"/>
    <w:rsid w:val="5FBE7D8F"/>
    <w:rsid w:val="5FD216AC"/>
    <w:rsid w:val="600A2FD4"/>
    <w:rsid w:val="6033379D"/>
    <w:rsid w:val="60471B32"/>
    <w:rsid w:val="60CE5DB0"/>
    <w:rsid w:val="61DF3FED"/>
    <w:rsid w:val="61F21F72"/>
    <w:rsid w:val="629D0130"/>
    <w:rsid w:val="645A62CF"/>
    <w:rsid w:val="64746C6E"/>
    <w:rsid w:val="65516FAF"/>
    <w:rsid w:val="657607C4"/>
    <w:rsid w:val="66482160"/>
    <w:rsid w:val="67787E6E"/>
    <w:rsid w:val="67801DCE"/>
    <w:rsid w:val="69DA3A17"/>
    <w:rsid w:val="6AB57FE0"/>
    <w:rsid w:val="6B160A7F"/>
    <w:rsid w:val="6B847F97"/>
    <w:rsid w:val="6BD964F4"/>
    <w:rsid w:val="6C0A7EB8"/>
    <w:rsid w:val="6C635F46"/>
    <w:rsid w:val="6C6E6699"/>
    <w:rsid w:val="6CC76183"/>
    <w:rsid w:val="6D464F20"/>
    <w:rsid w:val="6D505D9E"/>
    <w:rsid w:val="6E054DDB"/>
    <w:rsid w:val="6E423939"/>
    <w:rsid w:val="6E445903"/>
    <w:rsid w:val="6E7B6E4B"/>
    <w:rsid w:val="6FD827A7"/>
    <w:rsid w:val="717A5967"/>
    <w:rsid w:val="71973F9C"/>
    <w:rsid w:val="71F633B8"/>
    <w:rsid w:val="72797E39"/>
    <w:rsid w:val="73B9644B"/>
    <w:rsid w:val="73CB617F"/>
    <w:rsid w:val="74181AC4"/>
    <w:rsid w:val="743E4BA3"/>
    <w:rsid w:val="74533A4B"/>
    <w:rsid w:val="74634609"/>
    <w:rsid w:val="74B61DE9"/>
    <w:rsid w:val="74D6127F"/>
    <w:rsid w:val="74E93C85"/>
    <w:rsid w:val="75241FEA"/>
    <w:rsid w:val="752E6609"/>
    <w:rsid w:val="7557416E"/>
    <w:rsid w:val="75C15A8B"/>
    <w:rsid w:val="75CD2682"/>
    <w:rsid w:val="768A185D"/>
    <w:rsid w:val="771D13E7"/>
    <w:rsid w:val="776B1794"/>
    <w:rsid w:val="77BE24D9"/>
    <w:rsid w:val="77E912C9"/>
    <w:rsid w:val="78047EB1"/>
    <w:rsid w:val="78A551F0"/>
    <w:rsid w:val="79507852"/>
    <w:rsid w:val="79545F00"/>
    <w:rsid w:val="79A454A8"/>
    <w:rsid w:val="7A13262E"/>
    <w:rsid w:val="7B641393"/>
    <w:rsid w:val="7B735A7A"/>
    <w:rsid w:val="7B7A6E08"/>
    <w:rsid w:val="7BCE2CB0"/>
    <w:rsid w:val="7C5331B5"/>
    <w:rsid w:val="7C743857"/>
    <w:rsid w:val="7C7E163A"/>
    <w:rsid w:val="7C855A65"/>
    <w:rsid w:val="7C8D2B6B"/>
    <w:rsid w:val="7D2708CA"/>
    <w:rsid w:val="7D731D61"/>
    <w:rsid w:val="7E85789A"/>
    <w:rsid w:val="7EF81CBC"/>
    <w:rsid w:val="7F96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Supplementary Material"/>
    <w:basedOn w:val="2"/>
    <w:next w:val="2"/>
    <w:qFormat/>
    <w:uiPriority w:val="0"/>
    <w:pPr>
      <w:spacing w:after="120"/>
    </w:pPr>
    <w:rPr>
      <w:i/>
    </w:rPr>
  </w:style>
  <w:style w:type="paragraph" w:styleId="7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customStyle="1" w:styleId="8">
    <w:name w:val="MDPI_5.2_figure"/>
    <w:qFormat/>
    <w:uiPriority w:val="0"/>
    <w:pPr>
      <w:adjustRightInd w:val="0"/>
      <w:snapToGrid w:val="0"/>
      <w:spacing w:before="240" w:after="120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character" w:customStyle="1" w:styleId="9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0">
    <w:name w:val="font31"/>
    <w:basedOn w:val="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  <w:style w:type="character" w:customStyle="1" w:styleId="11">
    <w:name w:val="font0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51"/>
    <w:basedOn w:val="4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3">
    <w:name w:val="font2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628</Words>
  <Characters>3818</Characters>
  <Lines>0</Lines>
  <Paragraphs>0</Paragraphs>
  <TotalTime>18</TotalTime>
  <ScaleCrop>false</ScaleCrop>
  <LinksUpToDate>false</LinksUpToDate>
  <CharactersWithSpaces>4264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2025-09-29T23:24:00Z</dcterms:created>
  <dc:creator>Administrator</dc:creator>
  <cp:lastModifiedBy>sunshine</cp:lastModifiedBy>
  <dcterms:modified xsi:type="dcterms:W3CDTF">2026-03-14T04:29:41Z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eyJoZGlkIjoiMGMzZjY4NGE1Yjg5NDZlMjgxMTg5NzI2NjUzMGQ2OWIiLCJ1c2VySWQiOiI0MjA3NzQ5NDEifQ==</vt:lpwstr>
  </property>
  <property fmtid="{D5CDD505-2E9C-101B-9397-08002B2CF9AE}" pid="4" name="ICV">
    <vt:lpwstr>26C00B3BB8BA4D4BBD7F43B48DFF5080_12</vt:lpwstr>
  </property>
</Properties>
</file>