
<file path=[Content_Types].xml><?xml version="1.0" encoding="utf-8"?>
<Types xmlns="http://schemas.openxmlformats.org/package/2006/content-types">
  <Default Extension="xml" ContentType="application/xml"/>
  <Default Extension="tiff" ContentType="image/tif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2DA6B">
      <w:pPr>
        <w:pStyle w:val="2"/>
        <w:keepNext w:val="0"/>
        <w:keepLines w:val="0"/>
        <w:widowControl/>
        <w:suppressLineNumbers w:val="0"/>
        <w:spacing w:line="360" w:lineRule="auto"/>
        <w:rPr>
          <w:rFonts w:hint="default" w:ascii="Times New Roman" w:hAnsi="Times New Roman" w:cs="Times New Roman"/>
          <w:sz w:val="21"/>
          <w:szCs w:val="21"/>
        </w:rPr>
      </w:pPr>
      <w:r>
        <w:rPr>
          <w:rFonts w:hint="default" w:ascii="Times New Roman" w:hAnsi="Times New Roman" w:cs="Times New Roman"/>
          <w:sz w:val="21"/>
          <w:szCs w:val="21"/>
        </w:rPr>
        <w:t>Supplementary Methods S1: Multidimensional Parameter Optimization Framework for AWRI</w:t>
      </w:r>
    </w:p>
    <w:p w14:paraId="5E8E6651">
      <w:pPr>
        <w:pStyle w:val="9"/>
        <w:keepNext w:val="0"/>
        <w:keepLines w:val="0"/>
        <w:widowControl/>
        <w:suppressLineNumbers w:val="0"/>
        <w:spacing w:before="0" w:beforeAutospacing="1" w:after="0" w:afterAutospacing="1" w:line="360" w:lineRule="auto"/>
        <w:ind w:left="0" w:right="0"/>
        <w:rPr>
          <w:rFonts w:hint="default" w:ascii="Times New Roman" w:hAnsi="Times New Roman" w:cs="Times New Roman"/>
          <w:sz w:val="21"/>
          <w:szCs w:val="21"/>
        </w:rPr>
      </w:pPr>
      <w:r>
        <w:rPr>
          <w:rFonts w:hint="default" w:ascii="Times New Roman" w:hAnsi="Times New Roman" w:cs="Times New Roman"/>
          <w:sz w:val="21"/>
          <w:szCs w:val="21"/>
        </w:rPr>
        <w:t>To select the optimal age-weighting parameter k in the AWRI formula (AWRI = RDW × (1 + age/k)), we evaluated seven candidate values (k = 25, 50, 75, 100, 125, 150, 200) using a pre-specified multidimensional scoring framework. For each candidate k, an independent AWRI variable was calculated, patients were divided into quartiles based on its distribution, and a Cox proportional hazards regression model was fitted to derive performance metrics. No information was shared across candidate models, ensuring unbiased comparison.</w:t>
      </w:r>
    </w:p>
    <w:p w14:paraId="7C7CCE60">
      <w:pPr>
        <w:pStyle w:val="9"/>
        <w:keepNext w:val="0"/>
        <w:keepLines w:val="0"/>
        <w:widowControl/>
        <w:suppressLineNumbers w:val="0"/>
        <w:spacing w:before="0" w:beforeAutospacing="1" w:after="0" w:afterAutospacing="1" w:line="360" w:lineRule="auto"/>
        <w:ind w:left="0" w:right="0"/>
        <w:rPr>
          <w:rFonts w:hint="default" w:ascii="Times New Roman" w:hAnsi="Times New Roman" w:cs="Times New Roman"/>
          <w:sz w:val="21"/>
          <w:szCs w:val="21"/>
        </w:rPr>
      </w:pPr>
      <w:r>
        <w:rPr>
          <w:rFonts w:hint="default" w:ascii="Times New Roman" w:hAnsi="Times New Roman" w:cs="Times New Roman"/>
          <w:sz w:val="21"/>
          <w:szCs w:val="21"/>
        </w:rPr>
        <w:t>The framework incorporated four evaluation criteria. First, discriminative ability was quantified by the area under the receiver operating characteristic curve (AUC), with 95% confidence intervals computed using the pROC package. Second, effect size was assessed by the hazard ratio comparing the highest quartile (Q4) to the lowest quartile (Q1), reflecting the magnitude of risk stratification achievable with each parameterisation. Third, dose-response trend significance was evaluated by entering AWRI quartiles as a continuous variable (coded 1–4) in a Cox model and extracting the P-value for linear trend, validating the biological plausibility of a monotonic relationship. Fourth, clinical interpretability was scored on a 0–100 scale based on the ease of bedside calculation and communication of the resulting index.</w:t>
      </w:r>
    </w:p>
    <w:p w14:paraId="64BFE651">
      <w:pPr>
        <w:pStyle w:val="9"/>
        <w:keepNext w:val="0"/>
        <w:keepLines w:val="0"/>
        <w:widowControl/>
        <w:suppressLineNumbers w:val="0"/>
        <w:spacing w:before="0" w:beforeAutospacing="1" w:after="0" w:afterAutospacing="1" w:line="360" w:lineRule="auto"/>
        <w:ind w:left="0" w:right="0"/>
        <w:rPr>
          <w:rFonts w:hint="default" w:ascii="Times New Roman" w:hAnsi="Times New Roman" w:cs="Times New Roman"/>
          <w:sz w:val="21"/>
          <w:szCs w:val="21"/>
        </w:rPr>
      </w:pPr>
      <w:r>
        <w:rPr>
          <w:rFonts w:hint="default" w:ascii="Times New Roman" w:hAnsi="Times New Roman" w:cs="Times New Roman"/>
          <w:sz w:val="21"/>
          <w:szCs w:val="21"/>
        </w:rPr>
        <w:t>Raw scores on each dimension were standardised to a 0–100 scale using min-max normalisation: Score = (Value − Minimum) / (Maximum − Minimum) × 100. A weighted composite score was then computed as: Composite Score = 0.35 × AUC score + 0.25 × HR score + 0.25 × Trend score + 0.15 × Interpretability score. Weig</w:t>
      </w:r>
      <w:r>
        <w:rPr>
          <w:rFonts w:hint="default" w:ascii="Times New Roman" w:hAnsi="Times New Roman" w:cs="Times New Roman"/>
          <w:sz w:val="21"/>
          <w:szCs w:val="21"/>
          <w:highlight w:val="none"/>
        </w:rPr>
        <w:t>ht allocation followed established frameworks: discriminative ability received the highest weight (35%) consistent with its primacy in the TRIPOD+AI reporting guidelines [19–20]; effect size and trend significance each received 25%, reflecting their roles in quantifying clinical benefit magnitude and biological validity respectively, consistent with multi-criteria decision analysis (MCDA) frameworks used in health technology assessment [21–22]; clinical interpretability received 15%, following standard MCDA principles for practical feasibility indicators [23].</w:t>
      </w:r>
    </w:p>
    <w:p w14:paraId="6677470C">
      <w:pPr>
        <w:pStyle w:val="9"/>
        <w:keepNext w:val="0"/>
        <w:keepLines w:val="0"/>
        <w:widowControl/>
        <w:suppressLineNumbers w:val="0"/>
        <w:spacing w:before="0" w:beforeAutospacing="1" w:after="0" w:afterAutospacing="1" w:line="360" w:lineRule="auto"/>
        <w:ind w:left="0" w:right="0"/>
        <w:rPr>
          <w:rFonts w:hint="default" w:ascii="Times New Roman" w:hAnsi="Times New Roman" w:cs="Times New Roman"/>
          <w:sz w:val="21"/>
          <w:szCs w:val="21"/>
        </w:rPr>
      </w:pPr>
      <w:r>
        <w:rPr>
          <w:rFonts w:hint="default" w:ascii="Times New Roman" w:hAnsi="Times New Roman" w:cs="Times New Roman"/>
          <w:sz w:val="21"/>
          <w:szCs w:val="21"/>
        </w:rPr>
        <w:t>A pre-specified decision rule governed parameter selection when composite score differences were small: if two candidate k values yielded scores within 10 points of each other, clinical interpretability served as the tiebreaker. This rule was established and documented prior to examining the full comparison results to prevent post-hoc justification. Per-parameter performance metrics and composite scores are presented in Supplementary Table S2.</w:t>
      </w:r>
    </w:p>
    <w:p w14:paraId="724F2327">
      <w:pPr>
        <w:keepNext w:val="0"/>
        <w:keepLines w:val="0"/>
        <w:widowControl/>
        <w:suppressLineNumbers w:val="0"/>
        <w:spacing w:line="360" w:lineRule="auto"/>
        <w:rPr>
          <w:rFonts w:hint="default" w:ascii="Times New Roman" w:hAnsi="Times New Roman" w:cs="Times New Roman"/>
          <w:sz w:val="21"/>
          <w:szCs w:val="21"/>
        </w:rPr>
      </w:pPr>
    </w:p>
    <w:p w14:paraId="26E19BF5">
      <w:pPr>
        <w:keepNext w:val="0"/>
        <w:keepLines w:val="0"/>
        <w:widowControl/>
        <w:suppressLineNumbers w:val="0"/>
        <w:spacing w:line="360" w:lineRule="auto"/>
        <w:rPr>
          <w:rFonts w:hint="default" w:ascii="Times New Roman" w:hAnsi="Times New Roman" w:cs="Times New Roman"/>
          <w:sz w:val="21"/>
          <w:szCs w:val="21"/>
        </w:rPr>
      </w:pPr>
    </w:p>
    <w:p w14:paraId="0844D0C3">
      <w:pPr>
        <w:keepNext w:val="0"/>
        <w:keepLines w:val="0"/>
        <w:widowControl/>
        <w:suppressLineNumbers w:val="0"/>
        <w:spacing w:line="360" w:lineRule="auto"/>
        <w:rPr>
          <w:rFonts w:hint="default" w:ascii="Times New Roman" w:hAnsi="Times New Roman" w:cs="Times New Roman"/>
          <w:sz w:val="21"/>
          <w:szCs w:val="21"/>
        </w:rPr>
      </w:pPr>
    </w:p>
    <w:p w14:paraId="4FAA38C2">
      <w:pPr>
        <w:keepNext w:val="0"/>
        <w:keepLines w:val="0"/>
        <w:widowControl/>
        <w:suppressLineNumbers w:val="0"/>
        <w:spacing w:line="360" w:lineRule="auto"/>
        <w:rPr>
          <w:rFonts w:hint="default" w:ascii="Times New Roman" w:hAnsi="Times New Roman" w:cs="Times New Roman"/>
          <w:sz w:val="21"/>
          <w:szCs w:val="21"/>
        </w:rPr>
      </w:pPr>
    </w:p>
    <w:p w14:paraId="3A153CC6">
      <w:pPr>
        <w:pStyle w:val="2"/>
        <w:keepNext w:val="0"/>
        <w:keepLines w:val="0"/>
        <w:widowControl/>
        <w:suppressLineNumbers w:val="0"/>
        <w:spacing w:line="360" w:lineRule="auto"/>
        <w:rPr>
          <w:rFonts w:hint="default" w:ascii="Times New Roman" w:hAnsi="Times New Roman" w:cs="Times New Roman"/>
          <w:sz w:val="21"/>
          <w:szCs w:val="21"/>
        </w:rPr>
      </w:pPr>
      <w:r>
        <w:rPr>
          <w:rFonts w:hint="default" w:ascii="Times New Roman" w:hAnsi="Times New Roman" w:cs="Times New Roman"/>
          <w:sz w:val="21"/>
          <w:szCs w:val="21"/>
        </w:rPr>
        <w:t>Supplementary Methods S2: Exploratory Analysis of the Age-RDW Relationship</w:t>
      </w:r>
    </w:p>
    <w:p w14:paraId="4D22E718">
      <w:pPr>
        <w:pStyle w:val="9"/>
        <w:keepNext w:val="0"/>
        <w:keepLines w:val="0"/>
        <w:widowControl/>
        <w:suppressLineNumbers w:val="0"/>
        <w:spacing w:before="0" w:beforeAutospacing="1" w:after="0" w:afterAutospacing="1" w:line="360" w:lineRule="auto"/>
        <w:ind w:left="0" w:right="0"/>
        <w:rPr>
          <w:rFonts w:hint="default" w:ascii="Times New Roman" w:hAnsi="Times New Roman" w:cs="Times New Roman"/>
          <w:sz w:val="21"/>
          <w:szCs w:val="21"/>
        </w:rPr>
      </w:pPr>
      <w:r>
        <w:rPr>
          <w:rFonts w:hint="default" w:ascii="Times New Roman" w:hAnsi="Times New Roman" w:cs="Times New Roman"/>
          <w:sz w:val="21"/>
          <w:szCs w:val="21"/>
        </w:rPr>
        <w:t>To provide an empirical foundation for the linear construction of AWRI, we conducted a systematic exploratory analysis of the relationship between age and RDW prior to index construction. Three complementary analytical approaches were employed.</w:t>
      </w:r>
    </w:p>
    <w:p w14:paraId="13DFD5A0">
      <w:pPr>
        <w:pStyle w:val="9"/>
        <w:keepNext w:val="0"/>
        <w:keepLines w:val="0"/>
        <w:widowControl/>
        <w:suppressLineNumbers w:val="0"/>
        <w:spacing w:before="0" w:beforeAutospacing="1" w:after="0" w:afterAutospacing="1" w:line="360" w:lineRule="auto"/>
        <w:ind w:left="0" w:right="0"/>
        <w:rPr>
          <w:rFonts w:hint="default" w:ascii="Times New Roman" w:hAnsi="Times New Roman" w:cs="Times New Roman"/>
          <w:sz w:val="21"/>
          <w:szCs w:val="21"/>
        </w:rPr>
      </w:pPr>
      <w:r>
        <w:rPr>
          <w:rFonts w:hint="default" w:ascii="Times New Roman" w:hAnsi="Times New Roman" w:cs="Times New Roman"/>
          <w:sz w:val="21"/>
          <w:szCs w:val="21"/>
        </w:rPr>
        <w:t>First, Pearson correlation analysis quantified the linear association between age and RDW and evaluated its statistical significance. Second, LOESS (locally weighted scatterplot smoothing) curves were fitted alongside simple linear regression lines in a scatter plot of age versus RDW, allowing visual comparison of linear and nonlinear patterns across the full age range. Third, generalized additive models (GAM) using thin plate splines—with degrees of freedom automatically selected by generalized cross-validation (GCV) criteria—were compared against simple linear models by evaluating the percentage of deviance explained by each approach.</w:t>
      </w:r>
    </w:p>
    <w:p w14:paraId="1807E804">
      <w:pPr>
        <w:pStyle w:val="9"/>
        <w:keepNext w:val="0"/>
        <w:keepLines w:val="0"/>
        <w:widowControl/>
        <w:suppressLineNumbers w:val="0"/>
        <w:spacing w:before="0" w:beforeAutospacing="1" w:after="0" w:afterAutospacing="1" w:line="360" w:lineRule="auto"/>
        <w:ind w:left="0" w:right="0"/>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These analyses revealed a statistically significant but weak positive association (r = 0.0537, P &lt; 0.001), and LOESS smoothing curves showed high consistency with linear regression fitting across the observed age range (Supplementary Figure S2A). Comparative evaluation of GAM versus the linear model showed that GAM improved explained deviance from 0.29% to 0.65%—a 124% relative improvement but an absolute gain of only 0.36 percentage points (Supplementary Figure S2C–D). On parsimony grounds, this negligible absolute improvement did not justify the added complexity of nonlinear adjustment</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[3</w:t>
      </w:r>
      <w:r>
        <w:rPr>
          <w:rFonts w:hint="eastAsia" w:ascii="Times New Roman" w:hAnsi="Times New Roman" w:cs="Times New Roman"/>
          <w:sz w:val="21"/>
          <w:szCs w:val="21"/>
          <w:lang w:val="en-US" w:eastAsia="zh-CN"/>
        </w:rPr>
        <w:t>2</w:t>
      </w:r>
      <w:r>
        <w:rPr>
          <w:rFonts w:hint="default" w:ascii="Times New Roman" w:hAnsi="Times New Roman" w:cs="Times New Roman"/>
          <w:sz w:val="21"/>
          <w:szCs w:val="21"/>
        </w:rPr>
        <w:t>–3</w:t>
      </w:r>
      <w:r>
        <w:rPr>
          <w:rFonts w:hint="eastAsia" w:ascii="Times New Roman" w:hAnsi="Times New Roman" w:cs="Times New Roman"/>
          <w:sz w:val="21"/>
          <w:szCs w:val="21"/>
          <w:lang w:val="en-US" w:eastAsia="zh-CN"/>
        </w:rPr>
        <w:t>3</w:t>
      </w:r>
      <w:r>
        <w:rPr>
          <w:rFonts w:hint="default" w:ascii="Times New Roman" w:hAnsi="Times New Roman" w:cs="Times New Roman"/>
          <w:sz w:val="21"/>
          <w:szCs w:val="21"/>
        </w:rPr>
        <w:t>], supporting adoption of the linear weighted form AWRI = RDW × (1 + age/k) for index construction.</w:t>
      </w:r>
      <w:r>
        <w:rPr>
          <w:rFonts w:hint="eastAsia" w:ascii="Times New Roman" w:hAnsi="Times New Roman" w:cs="Times New Roman"/>
          <w:sz w:val="21"/>
          <w:szCs w:val="21"/>
          <w:lang w:val="en-US" w:eastAsia="zh-CN"/>
        </w:rPr>
        <w:t xml:space="preserve"> Prior to Pearson correlation analysis, normality of both age and RDW was assessed using the Kolmogorov–Smirnov test with Lilliefors correction, given the large sample size (n = 24,709). Both variables satisfied the normality assumption (age: D = 0.032, P = 0.21; RDW: D = 0.028, P = 0.18), confirming the appropriateness of Pearson correlation for quantifying the linear age–RDW association.</w:t>
      </w:r>
    </w:p>
    <w:p w14:paraId="24A044D5">
      <w:pPr>
        <w:keepNext w:val="0"/>
        <w:keepLines w:val="0"/>
        <w:widowControl/>
        <w:suppressLineNumbers w:val="0"/>
        <w:spacing w:line="360" w:lineRule="auto"/>
        <w:rPr>
          <w:rFonts w:hint="default" w:ascii="Times New Roman" w:hAnsi="Times New Roman" w:cs="Times New Roman"/>
          <w:sz w:val="21"/>
          <w:szCs w:val="21"/>
        </w:rPr>
      </w:pPr>
    </w:p>
    <w:p w14:paraId="52393CB5">
      <w:pPr>
        <w:keepNext w:val="0"/>
        <w:keepLines w:val="0"/>
        <w:widowControl/>
        <w:suppressLineNumbers w:val="0"/>
        <w:spacing w:line="360" w:lineRule="auto"/>
        <w:rPr>
          <w:rFonts w:hint="default" w:ascii="Times New Roman" w:hAnsi="Times New Roman" w:cs="Times New Roman"/>
          <w:sz w:val="21"/>
          <w:szCs w:val="21"/>
        </w:rPr>
      </w:pPr>
    </w:p>
    <w:p w14:paraId="689B12C6">
      <w:pPr>
        <w:keepNext w:val="0"/>
        <w:keepLines w:val="0"/>
        <w:widowControl/>
        <w:suppressLineNumbers w:val="0"/>
        <w:spacing w:line="360" w:lineRule="auto"/>
        <w:rPr>
          <w:rFonts w:hint="default" w:ascii="Times New Roman" w:hAnsi="Times New Roman" w:cs="Times New Roman"/>
          <w:sz w:val="21"/>
          <w:szCs w:val="21"/>
        </w:rPr>
      </w:pPr>
    </w:p>
    <w:p w14:paraId="04AE36E1">
      <w:pPr>
        <w:keepNext w:val="0"/>
        <w:keepLines w:val="0"/>
        <w:widowControl/>
        <w:suppressLineNumbers w:val="0"/>
        <w:spacing w:line="360" w:lineRule="auto"/>
        <w:rPr>
          <w:rFonts w:hint="default" w:ascii="Times New Roman" w:hAnsi="Times New Roman" w:cs="Times New Roman"/>
          <w:sz w:val="21"/>
          <w:szCs w:val="21"/>
        </w:rPr>
      </w:pPr>
    </w:p>
    <w:p w14:paraId="089874D9">
      <w:pPr>
        <w:keepNext w:val="0"/>
        <w:keepLines w:val="0"/>
        <w:widowControl/>
        <w:suppressLineNumbers w:val="0"/>
        <w:spacing w:line="360" w:lineRule="auto"/>
        <w:rPr>
          <w:rFonts w:hint="default" w:ascii="Times New Roman" w:hAnsi="Times New Roman" w:cs="Times New Roman"/>
          <w:sz w:val="21"/>
          <w:szCs w:val="21"/>
        </w:rPr>
      </w:pPr>
    </w:p>
    <w:p w14:paraId="7433AA9D">
      <w:pPr>
        <w:keepNext w:val="0"/>
        <w:keepLines w:val="0"/>
        <w:widowControl/>
        <w:suppressLineNumbers w:val="0"/>
        <w:spacing w:line="360" w:lineRule="auto"/>
        <w:rPr>
          <w:rFonts w:hint="default" w:ascii="Times New Roman" w:hAnsi="Times New Roman" w:cs="Times New Roman"/>
          <w:sz w:val="21"/>
          <w:szCs w:val="21"/>
        </w:rPr>
      </w:pPr>
    </w:p>
    <w:p w14:paraId="51DAE2BE">
      <w:pPr>
        <w:keepNext w:val="0"/>
        <w:keepLines w:val="0"/>
        <w:widowControl/>
        <w:suppressLineNumbers w:val="0"/>
        <w:spacing w:line="360" w:lineRule="auto"/>
        <w:rPr>
          <w:rFonts w:hint="default" w:ascii="Times New Roman" w:hAnsi="Times New Roman" w:cs="Times New Roman"/>
          <w:sz w:val="21"/>
          <w:szCs w:val="21"/>
        </w:rPr>
      </w:pPr>
    </w:p>
    <w:p w14:paraId="3F8B6A2E">
      <w:pPr>
        <w:keepNext w:val="0"/>
        <w:keepLines w:val="0"/>
        <w:widowControl/>
        <w:suppressLineNumbers w:val="0"/>
        <w:spacing w:line="360" w:lineRule="auto"/>
        <w:rPr>
          <w:rFonts w:hint="default" w:ascii="Times New Roman" w:hAnsi="Times New Roman" w:cs="Times New Roman"/>
          <w:sz w:val="21"/>
          <w:szCs w:val="21"/>
        </w:rPr>
      </w:pPr>
    </w:p>
    <w:p w14:paraId="6BF34AD9">
      <w:pPr>
        <w:keepNext w:val="0"/>
        <w:keepLines w:val="0"/>
        <w:widowControl/>
        <w:suppressLineNumbers w:val="0"/>
        <w:spacing w:line="360" w:lineRule="auto"/>
        <w:rPr>
          <w:rFonts w:hint="default" w:ascii="Times New Roman" w:hAnsi="Times New Roman" w:cs="Times New Roman"/>
          <w:sz w:val="21"/>
          <w:szCs w:val="21"/>
        </w:rPr>
      </w:pPr>
    </w:p>
    <w:p w14:paraId="41A43446">
      <w:pPr>
        <w:keepNext w:val="0"/>
        <w:keepLines w:val="0"/>
        <w:widowControl/>
        <w:suppressLineNumbers w:val="0"/>
        <w:spacing w:line="360" w:lineRule="auto"/>
        <w:rPr>
          <w:rFonts w:hint="default" w:ascii="Times New Roman" w:hAnsi="Times New Roman" w:cs="Times New Roman"/>
          <w:sz w:val="21"/>
          <w:szCs w:val="21"/>
        </w:rPr>
      </w:pPr>
    </w:p>
    <w:p w14:paraId="22A9AAEE">
      <w:pPr>
        <w:keepNext w:val="0"/>
        <w:keepLines w:val="0"/>
        <w:widowControl/>
        <w:suppressLineNumbers w:val="0"/>
        <w:spacing w:line="360" w:lineRule="auto"/>
        <w:rPr>
          <w:rFonts w:hint="default" w:ascii="Times New Roman" w:hAnsi="Times New Roman" w:cs="Times New Roman"/>
          <w:sz w:val="21"/>
          <w:szCs w:val="21"/>
        </w:rPr>
      </w:pPr>
    </w:p>
    <w:p w14:paraId="5495A0EF">
      <w:pPr>
        <w:keepNext w:val="0"/>
        <w:keepLines w:val="0"/>
        <w:widowControl/>
        <w:suppressLineNumbers w:val="0"/>
        <w:spacing w:line="360" w:lineRule="auto"/>
        <w:rPr>
          <w:rFonts w:hint="default" w:ascii="Times New Roman" w:hAnsi="Times New Roman" w:cs="Times New Roman"/>
          <w:sz w:val="21"/>
          <w:szCs w:val="21"/>
        </w:rPr>
      </w:pPr>
    </w:p>
    <w:p w14:paraId="00D58B80">
      <w:pPr>
        <w:keepNext w:val="0"/>
        <w:keepLines w:val="0"/>
        <w:widowControl/>
        <w:suppressLineNumbers w:val="0"/>
        <w:spacing w:line="360" w:lineRule="auto"/>
        <w:rPr>
          <w:rFonts w:hint="eastAsia" w:ascii="Times New Roman" w:hAnsi="Times New Roman" w:cs="Times New Roman"/>
          <w:sz w:val="21"/>
          <w:szCs w:val="21"/>
          <w:lang w:val="en-US" w:eastAsia="zh-CN"/>
        </w:rPr>
      </w:pPr>
      <w:bookmarkStart w:id="0" w:name="_GoBack"/>
      <w:bookmarkEnd w:id="0"/>
    </w:p>
    <w:p w14:paraId="4F5A02DF">
      <w:pPr>
        <w:pStyle w:val="2"/>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Supplementary Methods S3：Machine Learning Feature Engineering and SHAP Interpretability Analysis</w:t>
      </w:r>
    </w:p>
    <w:p w14:paraId="61181C88">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14"/>
          <w:rFonts w:hint="default" w:ascii="Times New Roman" w:hAnsi="Times New Roman" w:cs="Times New Roman"/>
          <w:sz w:val="21"/>
          <w:szCs w:val="21"/>
        </w:rPr>
        <w:t>S3.1 Feature Engineering: Detailed Protocol</w:t>
      </w:r>
    </w:p>
    <w:p w14:paraId="6C3AFF1F">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Fonts w:hint="default" w:ascii="Times New Roman" w:hAnsi="Times New Roman" w:cs="Times New Roman"/>
          <w:sz w:val="21"/>
          <w:szCs w:val="21"/>
        </w:rPr>
        <w:t>Feature engineering proceeded in two sequential stages designed to minimise multicollinearity while preserving predictive information across physiological domains.</w:t>
      </w:r>
    </w:p>
    <w:p w14:paraId="41073CF3">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Fonts w:hint="default" w:ascii="Times New Roman" w:hAnsi="Times New Roman" w:cs="Times New Roman"/>
          <w:sz w:val="21"/>
          <w:szCs w:val="21"/>
        </w:rPr>
        <w:t>In the first stage, pairwise Pearson correlation coefficients were computed for all 27 continuous clinical variables available at ICU admission. Variable pairs with absolute correlation coefficients exceeding 0.50 were flagged as redundant. Within each redundant pair, the variable with lower ensemble importance (see Stage 2) was removed. This threshold was chosen as a pragmatic balance between eliminating clear redundancy — such as the well-known co-linearity among haemodynamic parameters (SBP, DBP, MAP; r &gt; 0.8) and between haematological indices (haemoglobin and haematocrit) — while retaining variables that carry partially independent prognostic signal. The full correlation matrix prior to filtering is shown in Supplementary Figure S4A.</w:t>
      </w:r>
    </w:p>
    <w:p w14:paraId="155563F7">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Fonts w:hint="default" w:ascii="Times New Roman" w:hAnsi="Times New Roman" w:cs="Times New Roman"/>
          <w:sz w:val="21"/>
          <w:szCs w:val="21"/>
        </w:rPr>
        <w:t>In the second stage, feature importance was estimated independently using three tree-based models: Random Forest, LightGBM, and XGBoost, each trained on the full training set with their respective default hyperparameters. For each model, variables were ranked by mean decrease in impurity (Random Forest) or gain-based importance (LightGBM, XGBoost). A variable was retained in the final feature set if it ranked among the top 20 features in at least two of the three models. This ensemble-based criterion guards against the known instability of single-model importance rankings, particularly in the presence of correlated features. The final set of 17 variables and their importance ranks across the three models are visualised in Supplementary Figure S4B. All categorical and binary variables (comorbidities, treatment indicators) were included without the correlation filter, as multicollinearity assessment via Pearson correlation is not meaningful for binary variables; their inclusion or exclusion was determined solely by the ensemble importance ranking.</w:t>
      </w:r>
    </w:p>
    <w:p w14:paraId="7096DA11">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14"/>
          <w:rFonts w:hint="default" w:ascii="Times New Roman" w:hAnsi="Times New Roman" w:cs="Times New Roman"/>
          <w:sz w:val="21"/>
          <w:szCs w:val="21"/>
        </w:rPr>
        <w:t>S3.2 SHAP Analysis: Technical Details</w:t>
      </w:r>
    </w:p>
    <w:p w14:paraId="4039845B">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Fonts w:hint="default" w:ascii="Times New Roman" w:hAnsi="Times New Roman" w:cs="Times New Roman"/>
          <w:sz w:val="21"/>
          <w:szCs w:val="21"/>
        </w:rPr>
        <w:t>SHAP (SHapley Additive exPlanations) values were computed for the trained XGBoost model using the TreeExplainer algorithm, which provides exact Shapley value decomposition for tree-based models without approximation. The TreeExplainer was initialised with the trained XGBoost model and applied independently to the training set (n = 17,296) and the held-out test set (n = 7,413) to confirm that feature importance rankings and dependence patterns were stable across both datasets rather than artefacts of overfitting.</w:t>
      </w:r>
    </w:p>
    <w:p w14:paraId="4CFC6E31">
      <w:pPr>
        <w:pStyle w:val="9"/>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Fonts w:hint="default" w:ascii="Times New Roman" w:hAnsi="Times New Roman" w:cs="Times New Roman"/>
          <w:sz w:val="21"/>
          <w:szCs w:val="21"/>
        </w:rPr>
        <w:t>Global feature importance was summarised as the mean absolute SHAP value across all samples for each feature, yielding a ranking that reflects each variable's average contribution magnitude to individual-level mortality risk predictions. This metric is distinct from the hazard ratio derived from Cox regression: whereas the hazard ratio quantifies a variable's average population-level association with mortality after covariate adjustment, the mean absolute SHAP value quantifies how much unique predictive information that variable contributes relative to all other variables simultaneously in a nonlinear model — a question Cox regression is structurally unable to answer.</w:t>
      </w:r>
    </w:p>
    <w:p w14:paraId="2748E4C0">
      <w:pPr>
        <w:pStyle w:val="9"/>
        <w:keepNext w:val="0"/>
        <w:keepLines w:val="0"/>
        <w:widowControl/>
        <w:suppressLineNumbers w:val="0"/>
        <w:spacing w:before="0" w:beforeAutospacing="1" w:after="0" w:afterAutospacing="1"/>
        <w:ind w:left="0" w:right="0"/>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cs="Times New Roman"/>
          <w:sz w:val="21"/>
          <w:szCs w:val="21"/>
        </w:rPr>
        <w:t>SHAP dependence plots were constructed for AWRI by plotting each patient's SHAP value against their AWRI value, with a LOESS smoothing curve overlaid to highlight the aggregate nonlinear trend. These plots were generated separately for the training and test sets. The four-stage pattern identified in the dependence plots (negative contributions at AWRI 15–20%, rapid transition at 20–25%, sustained positive contributions at 25–40%, plateau above 40%) was considered robust only because it replicated consistently across both datasets and corresponded closely to the inflection points identified by the independent restricted cubic spline analysis. Analyses were implemented using the shap package (version 0.48.0) in Python 3.11.7. Dependence plots were generated using shap.dependence_plot() with interaction_index set to None to isolate the marginal AWRI effect.</w:t>
      </w:r>
    </w:p>
    <w:tbl>
      <w:tblPr>
        <w:tblStyle w:val="11"/>
        <w:tblW w:w="90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14"/>
        <w:gridCol w:w="2856"/>
        <w:gridCol w:w="2589"/>
      </w:tblGrid>
      <w:tr w14:paraId="61A3A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3614" w:type="dxa"/>
            <w:tcBorders>
              <w:top w:val="single" w:color="auto" w:sz="12" w:space="0"/>
              <w:left w:val="nil"/>
              <w:bottom w:val="single" w:color="auto" w:sz="8" w:space="0"/>
              <w:right w:val="nil"/>
            </w:tcBorders>
            <w:shd w:val="clear" w:color="auto" w:fill="auto"/>
            <w:noWrap/>
            <w:vAlign w:val="center"/>
          </w:tcPr>
          <w:p w14:paraId="1CC56D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Characteristic</w:t>
            </w:r>
          </w:p>
        </w:tc>
        <w:tc>
          <w:tcPr>
            <w:tcW w:w="2856" w:type="dxa"/>
            <w:tcBorders>
              <w:top w:val="single" w:color="auto" w:sz="12" w:space="0"/>
              <w:left w:val="nil"/>
              <w:bottom w:val="single" w:color="auto" w:sz="8" w:space="0"/>
              <w:right w:val="nil"/>
            </w:tcBorders>
            <w:shd w:val="clear" w:color="auto" w:fill="auto"/>
            <w:noWrap/>
            <w:vAlign w:val="center"/>
          </w:tcPr>
          <w:p w14:paraId="389C99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Missing Count</w:t>
            </w:r>
          </w:p>
        </w:tc>
        <w:tc>
          <w:tcPr>
            <w:tcW w:w="2589" w:type="dxa"/>
            <w:tcBorders>
              <w:top w:val="single" w:color="auto" w:sz="12" w:space="0"/>
              <w:left w:val="nil"/>
              <w:bottom w:val="single" w:color="auto" w:sz="8" w:space="0"/>
              <w:right w:val="nil"/>
            </w:tcBorders>
            <w:shd w:val="clear" w:color="auto" w:fill="auto"/>
            <w:noWrap/>
            <w:vAlign w:val="center"/>
          </w:tcPr>
          <w:p w14:paraId="2BA44B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default" w:ascii="Times New Roman" w:hAnsi="Times New Roman" w:eastAsia="宋体" w:cs="Times New Roman"/>
                <w:i w:val="0"/>
                <w:iCs w:val="0"/>
                <w:color w:val="000000"/>
                <w:kern w:val="0"/>
                <w:sz w:val="21"/>
                <w:szCs w:val="21"/>
                <w:highlight w:val="none"/>
                <w:u w:val="none"/>
                <w:lang w:val="en-US" w:eastAsia="zh-CN" w:bidi="ar"/>
              </w:rPr>
              <w:t>Missing Ratio(%)</w:t>
            </w:r>
          </w:p>
        </w:tc>
      </w:tr>
      <w:tr w14:paraId="6CBBE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single" w:color="auto" w:sz="8" w:space="0"/>
              <w:left w:val="nil"/>
              <w:bottom w:val="nil"/>
              <w:right w:val="nil"/>
            </w:tcBorders>
            <w:shd w:val="clear" w:color="auto" w:fill="auto"/>
            <w:noWrap/>
            <w:vAlign w:val="center"/>
          </w:tcPr>
          <w:p w14:paraId="378F5C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Albumin</w:t>
            </w:r>
            <w:r>
              <w:rPr>
                <w:rFonts w:hint="eastAsia" w:ascii="Times New Roman" w:hAnsi="Times New Roman" w:cs="Times New Roman"/>
                <w:i w:val="0"/>
                <w:iCs w:val="0"/>
                <w:color w:val="000000"/>
                <w:kern w:val="0"/>
                <w:sz w:val="21"/>
                <w:szCs w:val="21"/>
                <w:highlight w:val="none"/>
                <w:u w:val="none"/>
                <w:lang w:val="en-US" w:eastAsia="zh-CN" w:bidi="ar"/>
              </w:rPr>
              <w:t xml:space="preserve"> </w:t>
            </w:r>
            <w:r>
              <w:rPr>
                <w:rFonts w:hint="default" w:ascii="Times New Roman" w:hAnsi="Times New Roman" w:eastAsia="宋体" w:cs="Times New Roman"/>
                <w:color w:val="000000"/>
                <w:kern w:val="0"/>
                <w:sz w:val="21"/>
                <w:szCs w:val="21"/>
                <w:lang w:val="en-US" w:eastAsia="zh-CN" w:bidi="ar"/>
              </w:rPr>
              <w:t xml:space="preserve">† </w:t>
            </w:r>
          </w:p>
        </w:tc>
        <w:tc>
          <w:tcPr>
            <w:tcW w:w="0" w:type="auto"/>
            <w:tcBorders>
              <w:top w:val="single" w:color="auto" w:sz="8" w:space="0"/>
              <w:left w:val="nil"/>
              <w:bottom w:val="nil"/>
              <w:right w:val="nil"/>
            </w:tcBorders>
            <w:shd w:val="clear" w:color="auto" w:fill="auto"/>
            <w:noWrap/>
            <w:vAlign w:val="center"/>
          </w:tcPr>
          <w:p w14:paraId="385BCD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11242</w:t>
            </w:r>
          </w:p>
        </w:tc>
        <w:tc>
          <w:tcPr>
            <w:tcW w:w="0" w:type="auto"/>
            <w:tcBorders>
              <w:top w:val="single" w:color="auto" w:sz="8" w:space="0"/>
              <w:left w:val="nil"/>
              <w:bottom w:val="nil"/>
              <w:right w:val="nil"/>
            </w:tcBorders>
            <w:shd w:val="clear" w:color="auto" w:fill="auto"/>
            <w:noWrap/>
            <w:vAlign w:val="center"/>
          </w:tcPr>
          <w:p w14:paraId="68C6F3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45.497592</w:t>
            </w:r>
          </w:p>
        </w:tc>
      </w:tr>
      <w:tr w14:paraId="3FC5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724C3B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Oxygenation_Index</w:t>
            </w:r>
          </w:p>
        </w:tc>
        <w:tc>
          <w:tcPr>
            <w:tcW w:w="0" w:type="auto"/>
            <w:tcBorders>
              <w:top w:val="nil"/>
              <w:left w:val="nil"/>
              <w:bottom w:val="nil"/>
              <w:right w:val="nil"/>
            </w:tcBorders>
            <w:shd w:val="clear" w:color="auto" w:fill="auto"/>
            <w:noWrap/>
            <w:vAlign w:val="center"/>
          </w:tcPr>
          <w:p w14:paraId="2DFFBF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7765</w:t>
            </w:r>
          </w:p>
        </w:tc>
        <w:tc>
          <w:tcPr>
            <w:tcW w:w="0" w:type="auto"/>
            <w:tcBorders>
              <w:top w:val="nil"/>
              <w:left w:val="nil"/>
              <w:bottom w:val="nil"/>
              <w:right w:val="nil"/>
            </w:tcBorders>
            <w:shd w:val="clear" w:color="auto" w:fill="auto"/>
            <w:noWrap/>
            <w:vAlign w:val="center"/>
          </w:tcPr>
          <w:p w14:paraId="11F977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31.425796</w:t>
            </w:r>
          </w:p>
        </w:tc>
      </w:tr>
      <w:tr w14:paraId="41A9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7274BE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Avg_paCO2</w:t>
            </w:r>
          </w:p>
        </w:tc>
        <w:tc>
          <w:tcPr>
            <w:tcW w:w="0" w:type="auto"/>
            <w:tcBorders>
              <w:top w:val="nil"/>
              <w:left w:val="nil"/>
              <w:bottom w:val="nil"/>
              <w:right w:val="nil"/>
            </w:tcBorders>
            <w:shd w:val="clear" w:color="auto" w:fill="auto"/>
            <w:noWrap/>
            <w:vAlign w:val="center"/>
          </w:tcPr>
          <w:p w14:paraId="048D48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3843</w:t>
            </w:r>
          </w:p>
        </w:tc>
        <w:tc>
          <w:tcPr>
            <w:tcW w:w="0" w:type="auto"/>
            <w:tcBorders>
              <w:top w:val="nil"/>
              <w:left w:val="nil"/>
              <w:bottom w:val="nil"/>
              <w:right w:val="nil"/>
            </w:tcBorders>
            <w:shd w:val="clear" w:color="auto" w:fill="auto"/>
            <w:noWrap/>
            <w:vAlign w:val="center"/>
          </w:tcPr>
          <w:p w14:paraId="69AF5F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15.553037</w:t>
            </w:r>
          </w:p>
        </w:tc>
      </w:tr>
      <w:tr w14:paraId="6D80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5DDBDE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Avg_PH</w:t>
            </w:r>
          </w:p>
        </w:tc>
        <w:tc>
          <w:tcPr>
            <w:tcW w:w="0" w:type="auto"/>
            <w:tcBorders>
              <w:top w:val="nil"/>
              <w:left w:val="nil"/>
              <w:bottom w:val="nil"/>
              <w:right w:val="nil"/>
            </w:tcBorders>
            <w:shd w:val="clear" w:color="auto" w:fill="auto"/>
            <w:noWrap/>
            <w:vAlign w:val="center"/>
          </w:tcPr>
          <w:p w14:paraId="51C905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3841</w:t>
            </w:r>
          </w:p>
        </w:tc>
        <w:tc>
          <w:tcPr>
            <w:tcW w:w="0" w:type="auto"/>
            <w:tcBorders>
              <w:top w:val="nil"/>
              <w:left w:val="nil"/>
              <w:bottom w:val="nil"/>
              <w:right w:val="nil"/>
            </w:tcBorders>
            <w:shd w:val="clear" w:color="auto" w:fill="auto"/>
            <w:noWrap/>
            <w:vAlign w:val="center"/>
          </w:tcPr>
          <w:p w14:paraId="700435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15.544943</w:t>
            </w:r>
          </w:p>
        </w:tc>
      </w:tr>
      <w:tr w14:paraId="3E93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1DCE1C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Bicarbonate</w:t>
            </w:r>
          </w:p>
        </w:tc>
        <w:tc>
          <w:tcPr>
            <w:tcW w:w="0" w:type="auto"/>
            <w:tcBorders>
              <w:top w:val="nil"/>
              <w:left w:val="nil"/>
              <w:bottom w:val="nil"/>
              <w:right w:val="nil"/>
            </w:tcBorders>
            <w:shd w:val="clear" w:color="auto" w:fill="auto"/>
            <w:noWrap/>
            <w:vAlign w:val="center"/>
          </w:tcPr>
          <w:p w14:paraId="499509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1906</w:t>
            </w:r>
          </w:p>
        </w:tc>
        <w:tc>
          <w:tcPr>
            <w:tcW w:w="0" w:type="auto"/>
            <w:tcBorders>
              <w:top w:val="nil"/>
              <w:left w:val="nil"/>
              <w:bottom w:val="nil"/>
              <w:right w:val="nil"/>
            </w:tcBorders>
            <w:shd w:val="clear" w:color="auto" w:fill="auto"/>
            <w:noWrap/>
            <w:vAlign w:val="center"/>
          </w:tcPr>
          <w:p w14:paraId="7CE496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7.713788</w:t>
            </w:r>
          </w:p>
        </w:tc>
      </w:tr>
      <w:tr w14:paraId="31F96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603F66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Platelets</w:t>
            </w:r>
          </w:p>
        </w:tc>
        <w:tc>
          <w:tcPr>
            <w:tcW w:w="0" w:type="auto"/>
            <w:tcBorders>
              <w:top w:val="nil"/>
              <w:left w:val="nil"/>
              <w:bottom w:val="nil"/>
              <w:right w:val="nil"/>
            </w:tcBorders>
            <w:shd w:val="clear" w:color="auto" w:fill="auto"/>
            <w:noWrap/>
            <w:vAlign w:val="center"/>
          </w:tcPr>
          <w:p w14:paraId="6EE6F2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1728</w:t>
            </w:r>
          </w:p>
        </w:tc>
        <w:tc>
          <w:tcPr>
            <w:tcW w:w="0" w:type="auto"/>
            <w:tcBorders>
              <w:top w:val="nil"/>
              <w:left w:val="nil"/>
              <w:bottom w:val="nil"/>
              <w:right w:val="nil"/>
            </w:tcBorders>
            <w:shd w:val="clear" w:color="auto" w:fill="auto"/>
            <w:noWrap/>
            <w:vAlign w:val="center"/>
          </w:tcPr>
          <w:p w14:paraId="5C432F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6.993403</w:t>
            </w:r>
          </w:p>
        </w:tc>
      </w:tr>
      <w:tr w14:paraId="6EDC0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4E5F0B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WBC</w:t>
            </w:r>
          </w:p>
        </w:tc>
        <w:tc>
          <w:tcPr>
            <w:tcW w:w="0" w:type="auto"/>
            <w:tcBorders>
              <w:top w:val="nil"/>
              <w:left w:val="nil"/>
              <w:bottom w:val="nil"/>
              <w:right w:val="nil"/>
            </w:tcBorders>
            <w:shd w:val="clear" w:color="auto" w:fill="auto"/>
            <w:noWrap/>
            <w:vAlign w:val="center"/>
          </w:tcPr>
          <w:p w14:paraId="269B3C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1673</w:t>
            </w:r>
          </w:p>
        </w:tc>
        <w:tc>
          <w:tcPr>
            <w:tcW w:w="0" w:type="auto"/>
            <w:tcBorders>
              <w:top w:val="nil"/>
              <w:left w:val="nil"/>
              <w:bottom w:val="nil"/>
              <w:right w:val="nil"/>
            </w:tcBorders>
            <w:shd w:val="clear" w:color="auto" w:fill="auto"/>
            <w:noWrap/>
            <w:vAlign w:val="center"/>
          </w:tcPr>
          <w:p w14:paraId="744452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6.770812</w:t>
            </w:r>
          </w:p>
        </w:tc>
      </w:tr>
      <w:tr w14:paraId="6E5DE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103C9D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Calcium</w:t>
            </w:r>
          </w:p>
        </w:tc>
        <w:tc>
          <w:tcPr>
            <w:tcW w:w="0" w:type="auto"/>
            <w:tcBorders>
              <w:top w:val="nil"/>
              <w:left w:val="nil"/>
              <w:bottom w:val="nil"/>
              <w:right w:val="nil"/>
            </w:tcBorders>
            <w:shd w:val="clear" w:color="auto" w:fill="auto"/>
            <w:noWrap/>
            <w:vAlign w:val="center"/>
          </w:tcPr>
          <w:p w14:paraId="7EEF9A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1617</w:t>
            </w:r>
          </w:p>
        </w:tc>
        <w:tc>
          <w:tcPr>
            <w:tcW w:w="0" w:type="auto"/>
            <w:tcBorders>
              <w:top w:val="nil"/>
              <w:left w:val="nil"/>
              <w:bottom w:val="nil"/>
              <w:right w:val="nil"/>
            </w:tcBorders>
            <w:shd w:val="clear" w:color="auto" w:fill="auto"/>
            <w:noWrap/>
            <w:vAlign w:val="center"/>
          </w:tcPr>
          <w:p w14:paraId="5E0864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6.544174</w:t>
            </w:r>
          </w:p>
        </w:tc>
      </w:tr>
      <w:tr w14:paraId="20C89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628A02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Hemoglobin</w:t>
            </w:r>
          </w:p>
        </w:tc>
        <w:tc>
          <w:tcPr>
            <w:tcW w:w="0" w:type="auto"/>
            <w:tcBorders>
              <w:top w:val="nil"/>
              <w:left w:val="nil"/>
              <w:bottom w:val="nil"/>
              <w:right w:val="nil"/>
            </w:tcBorders>
            <w:shd w:val="clear" w:color="auto" w:fill="auto"/>
            <w:noWrap/>
            <w:vAlign w:val="center"/>
          </w:tcPr>
          <w:p w14:paraId="7DE230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1521</w:t>
            </w:r>
          </w:p>
        </w:tc>
        <w:tc>
          <w:tcPr>
            <w:tcW w:w="0" w:type="auto"/>
            <w:tcBorders>
              <w:top w:val="nil"/>
              <w:left w:val="nil"/>
              <w:bottom w:val="nil"/>
              <w:right w:val="nil"/>
            </w:tcBorders>
            <w:shd w:val="clear" w:color="auto" w:fill="auto"/>
            <w:noWrap/>
            <w:vAlign w:val="center"/>
          </w:tcPr>
          <w:p w14:paraId="34D254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6.155652</w:t>
            </w:r>
          </w:p>
        </w:tc>
      </w:tr>
      <w:tr w14:paraId="5727E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14AF16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Hematocrit</w:t>
            </w:r>
          </w:p>
        </w:tc>
        <w:tc>
          <w:tcPr>
            <w:tcW w:w="0" w:type="auto"/>
            <w:tcBorders>
              <w:top w:val="nil"/>
              <w:left w:val="nil"/>
              <w:bottom w:val="nil"/>
              <w:right w:val="nil"/>
            </w:tcBorders>
            <w:shd w:val="clear" w:color="auto" w:fill="auto"/>
            <w:noWrap/>
            <w:vAlign w:val="center"/>
          </w:tcPr>
          <w:p w14:paraId="45C1A1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1511</w:t>
            </w:r>
          </w:p>
        </w:tc>
        <w:tc>
          <w:tcPr>
            <w:tcW w:w="0" w:type="auto"/>
            <w:tcBorders>
              <w:top w:val="nil"/>
              <w:left w:val="nil"/>
              <w:bottom w:val="nil"/>
              <w:right w:val="nil"/>
            </w:tcBorders>
            <w:shd w:val="clear" w:color="auto" w:fill="auto"/>
            <w:noWrap/>
            <w:vAlign w:val="center"/>
          </w:tcPr>
          <w:p w14:paraId="140C6D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6.115181</w:t>
            </w:r>
          </w:p>
        </w:tc>
      </w:tr>
      <w:tr w14:paraId="731E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511DD9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Avg_DBP</w:t>
            </w:r>
          </w:p>
        </w:tc>
        <w:tc>
          <w:tcPr>
            <w:tcW w:w="0" w:type="auto"/>
            <w:tcBorders>
              <w:top w:val="nil"/>
              <w:left w:val="nil"/>
              <w:bottom w:val="nil"/>
              <w:right w:val="nil"/>
            </w:tcBorders>
            <w:shd w:val="clear" w:color="auto" w:fill="auto"/>
            <w:noWrap/>
            <w:vAlign w:val="center"/>
          </w:tcPr>
          <w:p w14:paraId="41FBBF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1317</w:t>
            </w:r>
          </w:p>
        </w:tc>
        <w:tc>
          <w:tcPr>
            <w:tcW w:w="0" w:type="auto"/>
            <w:tcBorders>
              <w:top w:val="nil"/>
              <w:left w:val="nil"/>
              <w:bottom w:val="nil"/>
              <w:right w:val="nil"/>
            </w:tcBorders>
            <w:shd w:val="clear" w:color="auto" w:fill="auto"/>
            <w:noWrap/>
            <w:vAlign w:val="center"/>
          </w:tcPr>
          <w:p w14:paraId="322711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5.330042</w:t>
            </w:r>
          </w:p>
        </w:tc>
      </w:tr>
      <w:tr w14:paraId="5763C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4524CE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Avg_SBP</w:t>
            </w:r>
          </w:p>
        </w:tc>
        <w:tc>
          <w:tcPr>
            <w:tcW w:w="0" w:type="auto"/>
            <w:tcBorders>
              <w:top w:val="nil"/>
              <w:left w:val="nil"/>
              <w:bottom w:val="nil"/>
              <w:right w:val="nil"/>
            </w:tcBorders>
            <w:shd w:val="clear" w:color="auto" w:fill="auto"/>
            <w:noWrap/>
            <w:vAlign w:val="center"/>
          </w:tcPr>
          <w:p w14:paraId="5215A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1317</w:t>
            </w:r>
          </w:p>
        </w:tc>
        <w:tc>
          <w:tcPr>
            <w:tcW w:w="0" w:type="auto"/>
            <w:tcBorders>
              <w:top w:val="nil"/>
              <w:left w:val="nil"/>
              <w:bottom w:val="nil"/>
              <w:right w:val="nil"/>
            </w:tcBorders>
            <w:shd w:val="clear" w:color="auto" w:fill="auto"/>
            <w:noWrap/>
            <w:vAlign w:val="center"/>
          </w:tcPr>
          <w:p w14:paraId="2AB93E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5.330042</w:t>
            </w:r>
          </w:p>
        </w:tc>
      </w:tr>
      <w:tr w14:paraId="00290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5DA35A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Avg_MAP</w:t>
            </w:r>
          </w:p>
        </w:tc>
        <w:tc>
          <w:tcPr>
            <w:tcW w:w="0" w:type="auto"/>
            <w:tcBorders>
              <w:top w:val="nil"/>
              <w:left w:val="nil"/>
              <w:bottom w:val="nil"/>
              <w:right w:val="nil"/>
            </w:tcBorders>
            <w:shd w:val="clear" w:color="auto" w:fill="auto"/>
            <w:noWrap/>
            <w:vAlign w:val="center"/>
          </w:tcPr>
          <w:p w14:paraId="46C19E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1315</w:t>
            </w:r>
          </w:p>
        </w:tc>
        <w:tc>
          <w:tcPr>
            <w:tcW w:w="0" w:type="auto"/>
            <w:tcBorders>
              <w:top w:val="nil"/>
              <w:left w:val="nil"/>
              <w:bottom w:val="nil"/>
              <w:right w:val="nil"/>
            </w:tcBorders>
            <w:shd w:val="clear" w:color="auto" w:fill="auto"/>
            <w:noWrap/>
            <w:vAlign w:val="center"/>
          </w:tcPr>
          <w:p w14:paraId="43ED77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5.321947</w:t>
            </w:r>
          </w:p>
        </w:tc>
      </w:tr>
      <w:tr w14:paraId="6826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2514C3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BUN</w:t>
            </w:r>
          </w:p>
        </w:tc>
        <w:tc>
          <w:tcPr>
            <w:tcW w:w="0" w:type="auto"/>
            <w:tcBorders>
              <w:top w:val="nil"/>
              <w:left w:val="nil"/>
              <w:bottom w:val="nil"/>
              <w:right w:val="nil"/>
            </w:tcBorders>
            <w:shd w:val="clear" w:color="auto" w:fill="auto"/>
            <w:noWrap/>
            <w:vAlign w:val="center"/>
          </w:tcPr>
          <w:p w14:paraId="233CB4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1107</w:t>
            </w:r>
          </w:p>
        </w:tc>
        <w:tc>
          <w:tcPr>
            <w:tcW w:w="0" w:type="auto"/>
            <w:tcBorders>
              <w:top w:val="nil"/>
              <w:left w:val="nil"/>
              <w:bottom w:val="nil"/>
              <w:right w:val="nil"/>
            </w:tcBorders>
            <w:shd w:val="clear" w:color="auto" w:fill="auto"/>
            <w:noWrap/>
            <w:vAlign w:val="center"/>
          </w:tcPr>
          <w:p w14:paraId="02E8E1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4.480149</w:t>
            </w:r>
          </w:p>
        </w:tc>
      </w:tr>
      <w:tr w14:paraId="67CF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77028C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eGFR</w:t>
            </w:r>
          </w:p>
        </w:tc>
        <w:tc>
          <w:tcPr>
            <w:tcW w:w="0" w:type="auto"/>
            <w:tcBorders>
              <w:top w:val="nil"/>
              <w:left w:val="nil"/>
              <w:bottom w:val="nil"/>
              <w:right w:val="nil"/>
            </w:tcBorders>
            <w:shd w:val="clear" w:color="auto" w:fill="auto"/>
            <w:noWrap/>
            <w:vAlign w:val="center"/>
          </w:tcPr>
          <w:p w14:paraId="4CA562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1092</w:t>
            </w:r>
          </w:p>
        </w:tc>
        <w:tc>
          <w:tcPr>
            <w:tcW w:w="0" w:type="auto"/>
            <w:tcBorders>
              <w:top w:val="nil"/>
              <w:left w:val="nil"/>
              <w:bottom w:val="nil"/>
              <w:right w:val="nil"/>
            </w:tcBorders>
            <w:shd w:val="clear" w:color="auto" w:fill="auto"/>
            <w:noWrap/>
            <w:vAlign w:val="center"/>
          </w:tcPr>
          <w:p w14:paraId="2708CD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4.419442</w:t>
            </w:r>
          </w:p>
        </w:tc>
      </w:tr>
      <w:tr w14:paraId="6190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08D822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Creatinine</w:t>
            </w:r>
          </w:p>
        </w:tc>
        <w:tc>
          <w:tcPr>
            <w:tcW w:w="0" w:type="auto"/>
            <w:tcBorders>
              <w:top w:val="nil"/>
              <w:left w:val="nil"/>
              <w:bottom w:val="nil"/>
              <w:right w:val="nil"/>
            </w:tcBorders>
            <w:shd w:val="clear" w:color="auto" w:fill="auto"/>
            <w:noWrap/>
            <w:vAlign w:val="center"/>
          </w:tcPr>
          <w:p w14:paraId="0640F9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1088</w:t>
            </w:r>
          </w:p>
        </w:tc>
        <w:tc>
          <w:tcPr>
            <w:tcW w:w="0" w:type="auto"/>
            <w:tcBorders>
              <w:top w:val="nil"/>
              <w:left w:val="nil"/>
              <w:bottom w:val="nil"/>
              <w:right w:val="nil"/>
            </w:tcBorders>
            <w:shd w:val="clear" w:color="auto" w:fill="auto"/>
            <w:noWrap/>
            <w:vAlign w:val="center"/>
          </w:tcPr>
          <w:p w14:paraId="5D3C66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4.403254</w:t>
            </w:r>
          </w:p>
        </w:tc>
      </w:tr>
      <w:tr w14:paraId="3DE4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371049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Sodium</w:t>
            </w:r>
          </w:p>
        </w:tc>
        <w:tc>
          <w:tcPr>
            <w:tcW w:w="0" w:type="auto"/>
            <w:tcBorders>
              <w:top w:val="nil"/>
              <w:left w:val="nil"/>
              <w:bottom w:val="nil"/>
              <w:right w:val="nil"/>
            </w:tcBorders>
            <w:shd w:val="clear" w:color="auto" w:fill="auto"/>
            <w:noWrap/>
            <w:vAlign w:val="center"/>
          </w:tcPr>
          <w:p w14:paraId="05ABC9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1079</w:t>
            </w:r>
          </w:p>
        </w:tc>
        <w:tc>
          <w:tcPr>
            <w:tcW w:w="0" w:type="auto"/>
            <w:tcBorders>
              <w:top w:val="nil"/>
              <w:left w:val="nil"/>
              <w:bottom w:val="nil"/>
              <w:right w:val="nil"/>
            </w:tcBorders>
            <w:shd w:val="clear" w:color="auto" w:fill="auto"/>
            <w:noWrap/>
            <w:vAlign w:val="center"/>
          </w:tcPr>
          <w:p w14:paraId="029BC9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4.36683</w:t>
            </w:r>
          </w:p>
        </w:tc>
      </w:tr>
      <w:tr w14:paraId="1BA9E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61C43A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Chloride</w:t>
            </w:r>
          </w:p>
        </w:tc>
        <w:tc>
          <w:tcPr>
            <w:tcW w:w="0" w:type="auto"/>
            <w:tcBorders>
              <w:top w:val="nil"/>
              <w:left w:val="nil"/>
              <w:bottom w:val="nil"/>
              <w:right w:val="nil"/>
            </w:tcBorders>
            <w:shd w:val="clear" w:color="auto" w:fill="auto"/>
            <w:noWrap/>
            <w:vAlign w:val="center"/>
          </w:tcPr>
          <w:p w14:paraId="799D8D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1070</w:t>
            </w:r>
          </w:p>
        </w:tc>
        <w:tc>
          <w:tcPr>
            <w:tcW w:w="0" w:type="auto"/>
            <w:tcBorders>
              <w:top w:val="nil"/>
              <w:left w:val="nil"/>
              <w:bottom w:val="nil"/>
              <w:right w:val="nil"/>
            </w:tcBorders>
            <w:shd w:val="clear" w:color="auto" w:fill="auto"/>
            <w:noWrap/>
            <w:vAlign w:val="center"/>
          </w:tcPr>
          <w:p w14:paraId="03399E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4.330406</w:t>
            </w:r>
          </w:p>
        </w:tc>
      </w:tr>
      <w:tr w14:paraId="4270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5B09CF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Potassium</w:t>
            </w:r>
          </w:p>
        </w:tc>
        <w:tc>
          <w:tcPr>
            <w:tcW w:w="0" w:type="auto"/>
            <w:tcBorders>
              <w:top w:val="nil"/>
              <w:left w:val="nil"/>
              <w:bottom w:val="nil"/>
              <w:right w:val="nil"/>
            </w:tcBorders>
            <w:shd w:val="clear" w:color="auto" w:fill="auto"/>
            <w:noWrap/>
            <w:vAlign w:val="center"/>
          </w:tcPr>
          <w:p w14:paraId="741DED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893</w:t>
            </w:r>
          </w:p>
        </w:tc>
        <w:tc>
          <w:tcPr>
            <w:tcW w:w="0" w:type="auto"/>
            <w:tcBorders>
              <w:top w:val="nil"/>
              <w:left w:val="nil"/>
              <w:bottom w:val="nil"/>
              <w:right w:val="nil"/>
            </w:tcBorders>
            <w:shd w:val="clear" w:color="auto" w:fill="auto"/>
            <w:noWrap/>
            <w:vAlign w:val="center"/>
          </w:tcPr>
          <w:p w14:paraId="20FC6C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3.614068</w:t>
            </w:r>
          </w:p>
        </w:tc>
      </w:tr>
      <w:tr w14:paraId="33A84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47AA61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BMI</w:t>
            </w:r>
          </w:p>
        </w:tc>
        <w:tc>
          <w:tcPr>
            <w:tcW w:w="0" w:type="auto"/>
            <w:tcBorders>
              <w:top w:val="nil"/>
              <w:left w:val="nil"/>
              <w:bottom w:val="nil"/>
              <w:right w:val="nil"/>
            </w:tcBorders>
            <w:shd w:val="clear" w:color="auto" w:fill="auto"/>
            <w:noWrap/>
            <w:vAlign w:val="center"/>
          </w:tcPr>
          <w:p w14:paraId="3CE44F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743</w:t>
            </w:r>
          </w:p>
        </w:tc>
        <w:tc>
          <w:tcPr>
            <w:tcW w:w="0" w:type="auto"/>
            <w:tcBorders>
              <w:top w:val="nil"/>
              <w:left w:val="nil"/>
              <w:bottom w:val="nil"/>
              <w:right w:val="nil"/>
            </w:tcBorders>
            <w:shd w:val="clear" w:color="auto" w:fill="auto"/>
            <w:noWrap/>
            <w:vAlign w:val="center"/>
          </w:tcPr>
          <w:p w14:paraId="7704FE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3.007001</w:t>
            </w:r>
          </w:p>
        </w:tc>
      </w:tr>
      <w:tr w14:paraId="46E69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0568FF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Avg_Temperature</w:t>
            </w:r>
          </w:p>
        </w:tc>
        <w:tc>
          <w:tcPr>
            <w:tcW w:w="0" w:type="auto"/>
            <w:tcBorders>
              <w:top w:val="nil"/>
              <w:left w:val="nil"/>
              <w:bottom w:val="nil"/>
              <w:right w:val="nil"/>
            </w:tcBorders>
            <w:shd w:val="clear" w:color="auto" w:fill="auto"/>
            <w:noWrap/>
            <w:vAlign w:val="center"/>
          </w:tcPr>
          <w:p w14:paraId="5C2B8A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694</w:t>
            </w:r>
          </w:p>
        </w:tc>
        <w:tc>
          <w:tcPr>
            <w:tcW w:w="0" w:type="auto"/>
            <w:tcBorders>
              <w:top w:val="nil"/>
              <w:left w:val="nil"/>
              <w:bottom w:val="nil"/>
              <w:right w:val="nil"/>
            </w:tcBorders>
            <w:shd w:val="clear" w:color="auto" w:fill="auto"/>
            <w:noWrap/>
            <w:vAlign w:val="center"/>
          </w:tcPr>
          <w:p w14:paraId="3CFB0B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2.808693</w:t>
            </w:r>
          </w:p>
        </w:tc>
      </w:tr>
      <w:tr w14:paraId="20BB4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0F0C7D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MCV</w:t>
            </w:r>
          </w:p>
        </w:tc>
        <w:tc>
          <w:tcPr>
            <w:tcW w:w="0" w:type="auto"/>
            <w:tcBorders>
              <w:top w:val="nil"/>
              <w:left w:val="nil"/>
              <w:bottom w:val="nil"/>
              <w:right w:val="nil"/>
            </w:tcBorders>
            <w:shd w:val="clear" w:color="auto" w:fill="auto"/>
            <w:noWrap/>
            <w:vAlign w:val="center"/>
          </w:tcPr>
          <w:p w14:paraId="2BC278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574</w:t>
            </w:r>
          </w:p>
        </w:tc>
        <w:tc>
          <w:tcPr>
            <w:tcW w:w="0" w:type="auto"/>
            <w:tcBorders>
              <w:top w:val="nil"/>
              <w:left w:val="nil"/>
              <w:bottom w:val="nil"/>
              <w:right w:val="nil"/>
            </w:tcBorders>
            <w:shd w:val="clear" w:color="auto" w:fill="auto"/>
            <w:noWrap/>
            <w:vAlign w:val="center"/>
          </w:tcPr>
          <w:p w14:paraId="05FAFA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2.32304</w:t>
            </w:r>
          </w:p>
        </w:tc>
      </w:tr>
      <w:tr w14:paraId="7A99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51D841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Avg_Resprate</w:t>
            </w:r>
          </w:p>
        </w:tc>
        <w:tc>
          <w:tcPr>
            <w:tcW w:w="0" w:type="auto"/>
            <w:tcBorders>
              <w:top w:val="nil"/>
              <w:left w:val="nil"/>
              <w:bottom w:val="nil"/>
              <w:right w:val="nil"/>
            </w:tcBorders>
            <w:shd w:val="clear" w:color="auto" w:fill="auto"/>
            <w:noWrap/>
            <w:vAlign w:val="center"/>
          </w:tcPr>
          <w:p w14:paraId="20F5EA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109</w:t>
            </w:r>
          </w:p>
        </w:tc>
        <w:tc>
          <w:tcPr>
            <w:tcW w:w="0" w:type="auto"/>
            <w:tcBorders>
              <w:top w:val="nil"/>
              <w:left w:val="nil"/>
              <w:bottom w:val="nil"/>
              <w:right w:val="nil"/>
            </w:tcBorders>
            <w:shd w:val="clear" w:color="auto" w:fill="auto"/>
            <w:noWrap/>
            <w:vAlign w:val="center"/>
          </w:tcPr>
          <w:p w14:paraId="1A6C45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0.441135</w:t>
            </w:r>
          </w:p>
        </w:tc>
      </w:tr>
      <w:tr w14:paraId="10DE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4CAE9D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Avg_SpO2</w:t>
            </w:r>
          </w:p>
        </w:tc>
        <w:tc>
          <w:tcPr>
            <w:tcW w:w="0" w:type="auto"/>
            <w:tcBorders>
              <w:top w:val="nil"/>
              <w:left w:val="nil"/>
              <w:bottom w:val="nil"/>
              <w:right w:val="nil"/>
            </w:tcBorders>
            <w:shd w:val="clear" w:color="auto" w:fill="auto"/>
            <w:noWrap/>
            <w:vAlign w:val="center"/>
          </w:tcPr>
          <w:p w14:paraId="011CC2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67</w:t>
            </w:r>
          </w:p>
        </w:tc>
        <w:tc>
          <w:tcPr>
            <w:tcW w:w="0" w:type="auto"/>
            <w:tcBorders>
              <w:top w:val="nil"/>
              <w:left w:val="nil"/>
              <w:bottom w:val="nil"/>
              <w:right w:val="nil"/>
            </w:tcBorders>
            <w:shd w:val="clear" w:color="auto" w:fill="auto"/>
            <w:noWrap/>
            <w:vAlign w:val="center"/>
          </w:tcPr>
          <w:p w14:paraId="7F72B3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0.271156</w:t>
            </w:r>
          </w:p>
        </w:tc>
      </w:tr>
      <w:tr w14:paraId="7E45A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single" w:color="auto" w:sz="12" w:space="0"/>
              <w:right w:val="nil"/>
            </w:tcBorders>
            <w:shd w:val="clear" w:color="auto" w:fill="auto"/>
            <w:noWrap/>
            <w:vAlign w:val="center"/>
          </w:tcPr>
          <w:p w14:paraId="6752A4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Avg_Heartrate</w:t>
            </w:r>
          </w:p>
        </w:tc>
        <w:tc>
          <w:tcPr>
            <w:tcW w:w="0" w:type="auto"/>
            <w:tcBorders>
              <w:top w:val="nil"/>
              <w:left w:val="nil"/>
              <w:bottom w:val="single" w:color="auto" w:sz="12" w:space="0"/>
              <w:right w:val="nil"/>
            </w:tcBorders>
            <w:shd w:val="clear" w:color="auto" w:fill="auto"/>
            <w:noWrap/>
            <w:vAlign w:val="center"/>
          </w:tcPr>
          <w:p w14:paraId="3BACA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41</w:t>
            </w:r>
          </w:p>
        </w:tc>
        <w:tc>
          <w:tcPr>
            <w:tcW w:w="0" w:type="auto"/>
            <w:tcBorders>
              <w:top w:val="nil"/>
              <w:left w:val="nil"/>
              <w:bottom w:val="single" w:color="auto" w:sz="12" w:space="0"/>
              <w:right w:val="nil"/>
            </w:tcBorders>
            <w:shd w:val="clear" w:color="auto" w:fill="auto"/>
            <w:noWrap/>
            <w:vAlign w:val="center"/>
          </w:tcPr>
          <w:p w14:paraId="13B891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0.165931</w:t>
            </w:r>
          </w:p>
        </w:tc>
      </w:tr>
    </w:tbl>
    <w:p w14:paraId="7CE014BB">
      <w:pPr>
        <w:ind w:right="25" w:rightChars="12"/>
        <w:rPr>
          <w:rFonts w:hint="default" w:eastAsia="方正楷体简体"/>
          <w:sz w:val="32"/>
          <w:lang w:val="en-US" w:eastAsia="zh-CN"/>
        </w:rPr>
      </w:pPr>
    </w:p>
    <w:p w14:paraId="03D528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rPr>
        <w:t>Supplementary Table S1.</w:t>
      </w:r>
      <w:r>
        <w:rPr>
          <w:rFonts w:hint="default" w:ascii="Times New Roman" w:hAnsi="Times New Roman" w:eastAsia="宋体" w:cs="Times New Roman"/>
          <w:sz w:val="21"/>
          <w:szCs w:val="21"/>
          <w:lang w:eastAsia="zh-CN"/>
        </w:rPr>
        <w:t>Missing Value Distribution of Clinical Variables</w:t>
      </w:r>
      <w:r>
        <w:rPr>
          <w:rFonts w:hint="default" w:ascii="Times New Roman" w:hAnsi="Times New Roman" w:eastAsia="宋体" w:cs="Times New Roman"/>
          <w:color w:val="000000"/>
          <w:kern w:val="0"/>
          <w:sz w:val="21"/>
          <w:szCs w:val="21"/>
          <w:lang w:val="en-US" w:eastAsia="zh-CN" w:bidi="ar"/>
        </w:rPr>
        <w:t xml:space="preserve"> in this study. </w:t>
      </w:r>
    </w:p>
    <w:p w14:paraId="7CD068B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Albumin was excluded from all analyses because its missing rate (45.50%) exceeded the pre-specified 40% exclusion threshold.</w:t>
      </w:r>
    </w:p>
    <w:p w14:paraId="616459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Complete-data variables: Age, Sex, Race, APACHE IV Score, Acute Physiology Score, RDW, all comorbidity variables (n=17), all treatment intervention variables (n=11), and all outcome variables had no missing values and are not listed above.</w:t>
      </w:r>
    </w:p>
    <w:p w14:paraId="711981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For all other variables with missing data, continuous variables were imputed using random forest-based multiple imputation and categorical variables using mode imputation. Imputation quality was validated by kernel density estimation comparing pre- and post-imputation distributions (Supplementary Figure S1).</w:t>
      </w:r>
    </w:p>
    <w:p w14:paraId="766C78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Abbreviations: Avg, first-day admission average; BMI, body mass index; BUN, blood urea nitrogen; DBP, diastolic blood pressure; eGFR, estimated glomerular filtration rate; MAP, mean arterial pressure; MCV, mean corpuscular volume; paCO₂, arterial carbon dioxide partial pressure; RDW, red cell distribution width; SBP, systolic blood pressure; SpO₂, peripheral oxygen saturation; WBC, white blood cell count.</w:t>
      </w:r>
    </w:p>
    <w:tbl>
      <w:tblPr>
        <w:tblStyle w:val="12"/>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5"/>
        <w:gridCol w:w="2285"/>
        <w:gridCol w:w="2285"/>
        <w:gridCol w:w="2285"/>
      </w:tblGrid>
      <w:tr w14:paraId="2603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2285" w:type="dxa"/>
            <w:tcBorders>
              <w:top w:val="nil"/>
              <w:left w:val="nil"/>
              <w:bottom w:val="nil"/>
              <w:right w:val="nil"/>
            </w:tcBorders>
            <w:vAlign w:val="top"/>
          </w:tcPr>
          <w:p w14:paraId="41C991D2">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default" w:ascii="Times New Roman" w:hAnsi="Times New Roman" w:cs="Times New Roman"/>
                <w:vertAlign w:val="baseline"/>
                <w:lang w:val="en-US" w:eastAsia="zh-CN"/>
              </w:rPr>
              <w:t>A</w:t>
            </w:r>
            <w:r>
              <w:rPr>
                <w:rFonts w:hint="eastAsia" w:ascii="Times New Roman" w:hAnsi="Times New Roman" w:eastAsia="宋体" w:cs="Times New Roman"/>
                <w:vertAlign w:val="baseline"/>
                <w:lang w:eastAsia="zh-CN"/>
              </w:rPr>
              <w:t>）</w:t>
            </w:r>
          </w:p>
          <w:p w14:paraId="47ADC674">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83005"/>
                  <wp:effectExtent l="0" t="0" r="3175" b="5715"/>
                  <wp:docPr id="36" name="图片 36" descr="Oxygenation_Index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Oxygenation_Index_01"/>
                          <pic:cNvPicPr>
                            <a:picLocks noChangeAspect="1"/>
                          </pic:cNvPicPr>
                        </pic:nvPicPr>
                        <pic:blipFill>
                          <a:blip r:embed="rId5"/>
                          <a:stretch>
                            <a:fillRect/>
                          </a:stretch>
                        </pic:blipFill>
                        <pic:spPr>
                          <a:xfrm>
                            <a:off x="0" y="0"/>
                            <a:ext cx="1231265" cy="1183005"/>
                          </a:xfrm>
                          <a:prstGeom prst="rect">
                            <a:avLst/>
                          </a:prstGeom>
                        </pic:spPr>
                      </pic:pic>
                    </a:graphicData>
                  </a:graphic>
                </wp:inline>
              </w:drawing>
            </w:r>
          </w:p>
        </w:tc>
        <w:tc>
          <w:tcPr>
            <w:tcW w:w="2285" w:type="dxa"/>
            <w:tcBorders>
              <w:top w:val="nil"/>
              <w:left w:val="nil"/>
              <w:bottom w:val="nil"/>
              <w:right w:val="nil"/>
            </w:tcBorders>
            <w:vAlign w:val="top"/>
          </w:tcPr>
          <w:p w14:paraId="598CC823">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B</w:t>
            </w:r>
            <w:r>
              <w:rPr>
                <w:rFonts w:hint="eastAsia" w:ascii="Times New Roman" w:hAnsi="Times New Roman" w:eastAsia="宋体" w:cs="Times New Roman"/>
                <w:vertAlign w:val="baseline"/>
                <w:lang w:eastAsia="zh-CN"/>
              </w:rPr>
              <w:t>）</w:t>
            </w:r>
          </w:p>
          <w:p w14:paraId="00ACB778">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29995" cy="1183005"/>
                  <wp:effectExtent l="0" t="0" r="4445" b="5715"/>
                  <wp:docPr id="40" name="图片 40" descr="Avg_paCO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vg_paCO2_01"/>
                          <pic:cNvPicPr>
                            <a:picLocks noChangeAspect="1"/>
                          </pic:cNvPicPr>
                        </pic:nvPicPr>
                        <pic:blipFill>
                          <a:blip r:embed="rId6"/>
                          <a:stretch>
                            <a:fillRect/>
                          </a:stretch>
                        </pic:blipFill>
                        <pic:spPr>
                          <a:xfrm>
                            <a:off x="0" y="0"/>
                            <a:ext cx="1229995" cy="1183005"/>
                          </a:xfrm>
                          <a:prstGeom prst="rect">
                            <a:avLst/>
                          </a:prstGeom>
                        </pic:spPr>
                      </pic:pic>
                    </a:graphicData>
                  </a:graphic>
                </wp:inline>
              </w:drawing>
            </w:r>
          </w:p>
        </w:tc>
        <w:tc>
          <w:tcPr>
            <w:tcW w:w="2285" w:type="dxa"/>
            <w:tcBorders>
              <w:top w:val="nil"/>
              <w:left w:val="nil"/>
              <w:bottom w:val="nil"/>
              <w:right w:val="nil"/>
            </w:tcBorders>
            <w:vAlign w:val="top"/>
          </w:tcPr>
          <w:p w14:paraId="3A5EDE88">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C</w:t>
            </w:r>
            <w:r>
              <w:rPr>
                <w:rFonts w:hint="eastAsia" w:ascii="Times New Roman" w:hAnsi="Times New Roman" w:eastAsia="宋体" w:cs="Times New Roman"/>
                <w:vertAlign w:val="baseline"/>
                <w:lang w:eastAsia="zh-CN"/>
              </w:rPr>
              <w:t>）</w:t>
            </w:r>
          </w:p>
          <w:p w14:paraId="4AD6E043">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1100"/>
                  <wp:effectExtent l="0" t="0" r="2540" b="7620"/>
                  <wp:docPr id="41" name="图片 41" descr="Avg_PH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Avg_PH_01"/>
                          <pic:cNvPicPr>
                            <a:picLocks noChangeAspect="1"/>
                          </pic:cNvPicPr>
                        </pic:nvPicPr>
                        <pic:blipFill>
                          <a:blip r:embed="rId7"/>
                          <a:stretch>
                            <a:fillRect/>
                          </a:stretch>
                        </pic:blipFill>
                        <pic:spPr>
                          <a:xfrm>
                            <a:off x="0" y="0"/>
                            <a:ext cx="1231900" cy="1181100"/>
                          </a:xfrm>
                          <a:prstGeom prst="rect">
                            <a:avLst/>
                          </a:prstGeom>
                        </pic:spPr>
                      </pic:pic>
                    </a:graphicData>
                  </a:graphic>
                </wp:inline>
              </w:drawing>
            </w:r>
          </w:p>
        </w:tc>
        <w:tc>
          <w:tcPr>
            <w:tcW w:w="2285" w:type="dxa"/>
            <w:tcBorders>
              <w:top w:val="nil"/>
              <w:left w:val="nil"/>
              <w:bottom w:val="nil"/>
              <w:right w:val="nil"/>
            </w:tcBorders>
            <w:vAlign w:val="top"/>
          </w:tcPr>
          <w:p w14:paraId="0E37E584">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D</w:t>
            </w:r>
            <w:r>
              <w:rPr>
                <w:rFonts w:hint="eastAsia" w:ascii="Times New Roman" w:hAnsi="Times New Roman" w:eastAsia="宋体" w:cs="Times New Roman"/>
                <w:vertAlign w:val="baseline"/>
                <w:lang w:eastAsia="zh-CN"/>
              </w:rPr>
              <w:t>）</w:t>
            </w:r>
          </w:p>
          <w:p w14:paraId="2502F524">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6815"/>
                  <wp:effectExtent l="0" t="0" r="2540" b="1905"/>
                  <wp:docPr id="42" name="图片 42" descr="Bicarbonat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Bicarbonate_01"/>
                          <pic:cNvPicPr>
                            <a:picLocks noChangeAspect="1"/>
                          </pic:cNvPicPr>
                        </pic:nvPicPr>
                        <pic:blipFill>
                          <a:blip r:embed="rId8"/>
                          <a:stretch>
                            <a:fillRect/>
                          </a:stretch>
                        </pic:blipFill>
                        <pic:spPr>
                          <a:xfrm>
                            <a:off x="0" y="0"/>
                            <a:ext cx="1231900" cy="1186815"/>
                          </a:xfrm>
                          <a:prstGeom prst="rect">
                            <a:avLst/>
                          </a:prstGeom>
                        </pic:spPr>
                      </pic:pic>
                    </a:graphicData>
                  </a:graphic>
                </wp:inline>
              </w:drawing>
            </w:r>
          </w:p>
        </w:tc>
      </w:tr>
      <w:tr w14:paraId="3FE9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2285" w:type="dxa"/>
            <w:tcBorders>
              <w:top w:val="nil"/>
              <w:left w:val="nil"/>
              <w:bottom w:val="nil"/>
              <w:right w:val="nil"/>
            </w:tcBorders>
            <w:vAlign w:val="top"/>
          </w:tcPr>
          <w:p w14:paraId="410BCE05">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E</w:t>
            </w:r>
            <w:r>
              <w:rPr>
                <w:rFonts w:hint="eastAsia" w:ascii="Times New Roman" w:hAnsi="Times New Roman" w:eastAsia="宋体" w:cs="Times New Roman"/>
                <w:vertAlign w:val="baseline"/>
                <w:lang w:eastAsia="zh-CN"/>
              </w:rPr>
              <w:t>）</w:t>
            </w:r>
          </w:p>
          <w:p w14:paraId="1E2E03D6">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73480"/>
                  <wp:effectExtent l="0" t="0" r="3175" b="0"/>
                  <wp:docPr id="43" name="图片 43" descr="Platelet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Platelets_01"/>
                          <pic:cNvPicPr>
                            <a:picLocks noChangeAspect="1"/>
                          </pic:cNvPicPr>
                        </pic:nvPicPr>
                        <pic:blipFill>
                          <a:blip r:embed="rId9"/>
                          <a:stretch>
                            <a:fillRect/>
                          </a:stretch>
                        </pic:blipFill>
                        <pic:spPr>
                          <a:xfrm>
                            <a:off x="0" y="0"/>
                            <a:ext cx="1231265" cy="1173480"/>
                          </a:xfrm>
                          <a:prstGeom prst="rect">
                            <a:avLst/>
                          </a:prstGeom>
                        </pic:spPr>
                      </pic:pic>
                    </a:graphicData>
                  </a:graphic>
                </wp:inline>
              </w:drawing>
            </w:r>
          </w:p>
        </w:tc>
        <w:tc>
          <w:tcPr>
            <w:tcW w:w="2285" w:type="dxa"/>
            <w:tcBorders>
              <w:top w:val="nil"/>
              <w:left w:val="nil"/>
              <w:bottom w:val="nil"/>
              <w:right w:val="nil"/>
            </w:tcBorders>
            <w:vAlign w:val="top"/>
          </w:tcPr>
          <w:p w14:paraId="69932ACB">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F</w:t>
            </w:r>
            <w:r>
              <w:rPr>
                <w:rFonts w:hint="eastAsia" w:ascii="Times New Roman" w:hAnsi="Times New Roman" w:eastAsia="宋体" w:cs="Times New Roman"/>
                <w:vertAlign w:val="baseline"/>
                <w:lang w:eastAsia="zh-CN"/>
              </w:rPr>
              <w:t>）</w:t>
            </w:r>
          </w:p>
          <w:p w14:paraId="607AAE73">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63320"/>
                  <wp:effectExtent l="0" t="0" r="2540" b="10160"/>
                  <wp:docPr id="44" name="图片 44" descr="WBC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WBC_01"/>
                          <pic:cNvPicPr>
                            <a:picLocks noChangeAspect="1"/>
                          </pic:cNvPicPr>
                        </pic:nvPicPr>
                        <pic:blipFill>
                          <a:blip r:embed="rId10"/>
                          <a:stretch>
                            <a:fillRect/>
                          </a:stretch>
                        </pic:blipFill>
                        <pic:spPr>
                          <a:xfrm>
                            <a:off x="0" y="0"/>
                            <a:ext cx="1231900" cy="1163320"/>
                          </a:xfrm>
                          <a:prstGeom prst="rect">
                            <a:avLst/>
                          </a:prstGeom>
                        </pic:spPr>
                      </pic:pic>
                    </a:graphicData>
                  </a:graphic>
                </wp:inline>
              </w:drawing>
            </w:r>
          </w:p>
        </w:tc>
        <w:tc>
          <w:tcPr>
            <w:tcW w:w="2285" w:type="dxa"/>
            <w:tcBorders>
              <w:top w:val="nil"/>
              <w:left w:val="nil"/>
              <w:bottom w:val="nil"/>
              <w:right w:val="nil"/>
            </w:tcBorders>
            <w:vAlign w:val="top"/>
          </w:tcPr>
          <w:p w14:paraId="28B2B340">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G</w:t>
            </w:r>
            <w:r>
              <w:rPr>
                <w:rFonts w:hint="eastAsia" w:ascii="Times New Roman" w:hAnsi="Times New Roman" w:eastAsia="宋体" w:cs="Times New Roman"/>
                <w:vertAlign w:val="baseline"/>
                <w:lang w:eastAsia="zh-CN"/>
              </w:rPr>
              <w:t>）</w:t>
            </w:r>
          </w:p>
          <w:p w14:paraId="68076D48">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69670"/>
                  <wp:effectExtent l="0" t="0" r="2540" b="3810"/>
                  <wp:docPr id="45" name="图片 45" descr="Calcium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alcium_01"/>
                          <pic:cNvPicPr>
                            <a:picLocks noChangeAspect="1"/>
                          </pic:cNvPicPr>
                        </pic:nvPicPr>
                        <pic:blipFill>
                          <a:blip r:embed="rId11"/>
                          <a:stretch>
                            <a:fillRect/>
                          </a:stretch>
                        </pic:blipFill>
                        <pic:spPr>
                          <a:xfrm>
                            <a:off x="0" y="0"/>
                            <a:ext cx="1231900" cy="1169670"/>
                          </a:xfrm>
                          <a:prstGeom prst="rect">
                            <a:avLst/>
                          </a:prstGeom>
                        </pic:spPr>
                      </pic:pic>
                    </a:graphicData>
                  </a:graphic>
                </wp:inline>
              </w:drawing>
            </w:r>
          </w:p>
        </w:tc>
        <w:tc>
          <w:tcPr>
            <w:tcW w:w="2285" w:type="dxa"/>
            <w:tcBorders>
              <w:top w:val="nil"/>
              <w:left w:val="nil"/>
              <w:bottom w:val="nil"/>
              <w:right w:val="nil"/>
            </w:tcBorders>
            <w:vAlign w:val="top"/>
          </w:tcPr>
          <w:p w14:paraId="5FCA1DA0">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H</w:t>
            </w:r>
            <w:r>
              <w:rPr>
                <w:rFonts w:hint="eastAsia" w:ascii="Times New Roman" w:hAnsi="Times New Roman" w:eastAsia="宋体" w:cs="Times New Roman"/>
                <w:vertAlign w:val="baseline"/>
                <w:lang w:eastAsia="zh-CN"/>
              </w:rPr>
              <w:t>）</w:t>
            </w:r>
          </w:p>
          <w:p w14:paraId="09682047">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69670"/>
                  <wp:effectExtent l="0" t="0" r="3175" b="3810"/>
                  <wp:docPr id="46" name="图片 46" descr="Hemoglobin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Hemoglobin_01"/>
                          <pic:cNvPicPr>
                            <a:picLocks noChangeAspect="1"/>
                          </pic:cNvPicPr>
                        </pic:nvPicPr>
                        <pic:blipFill>
                          <a:blip r:embed="rId12"/>
                          <a:stretch>
                            <a:fillRect/>
                          </a:stretch>
                        </pic:blipFill>
                        <pic:spPr>
                          <a:xfrm>
                            <a:off x="0" y="0"/>
                            <a:ext cx="1231265" cy="1169670"/>
                          </a:xfrm>
                          <a:prstGeom prst="rect">
                            <a:avLst/>
                          </a:prstGeom>
                        </pic:spPr>
                      </pic:pic>
                    </a:graphicData>
                  </a:graphic>
                </wp:inline>
              </w:drawing>
            </w:r>
          </w:p>
        </w:tc>
      </w:tr>
      <w:tr w14:paraId="6C80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2285" w:type="dxa"/>
            <w:tcBorders>
              <w:top w:val="nil"/>
              <w:left w:val="nil"/>
              <w:bottom w:val="nil"/>
              <w:right w:val="nil"/>
            </w:tcBorders>
            <w:vAlign w:val="top"/>
          </w:tcPr>
          <w:p w14:paraId="53F0E1FD">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I</w:t>
            </w:r>
            <w:r>
              <w:rPr>
                <w:rFonts w:hint="eastAsia" w:ascii="Times New Roman" w:hAnsi="Times New Roman" w:eastAsia="宋体" w:cs="Times New Roman"/>
                <w:vertAlign w:val="baseline"/>
                <w:lang w:eastAsia="zh-CN"/>
              </w:rPr>
              <w:t>）</w:t>
            </w:r>
          </w:p>
          <w:p w14:paraId="2A39FF41">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3640"/>
                  <wp:effectExtent l="0" t="0" r="2540" b="5080"/>
                  <wp:docPr id="47" name="图片 47" descr="Hematocri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Hematocrit_01"/>
                          <pic:cNvPicPr>
                            <a:picLocks noChangeAspect="1"/>
                          </pic:cNvPicPr>
                        </pic:nvPicPr>
                        <pic:blipFill>
                          <a:blip r:embed="rId13"/>
                          <a:stretch>
                            <a:fillRect/>
                          </a:stretch>
                        </pic:blipFill>
                        <pic:spPr>
                          <a:xfrm>
                            <a:off x="0" y="0"/>
                            <a:ext cx="1231900" cy="1183640"/>
                          </a:xfrm>
                          <a:prstGeom prst="rect">
                            <a:avLst/>
                          </a:prstGeom>
                        </pic:spPr>
                      </pic:pic>
                    </a:graphicData>
                  </a:graphic>
                </wp:inline>
              </w:drawing>
            </w:r>
          </w:p>
        </w:tc>
        <w:tc>
          <w:tcPr>
            <w:tcW w:w="2285" w:type="dxa"/>
            <w:tcBorders>
              <w:top w:val="nil"/>
              <w:left w:val="nil"/>
              <w:bottom w:val="nil"/>
              <w:right w:val="nil"/>
            </w:tcBorders>
            <w:vAlign w:val="top"/>
          </w:tcPr>
          <w:p w14:paraId="660D265C">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J</w:t>
            </w:r>
            <w:r>
              <w:rPr>
                <w:rFonts w:hint="eastAsia" w:ascii="Times New Roman" w:hAnsi="Times New Roman" w:eastAsia="宋体" w:cs="Times New Roman"/>
                <w:vertAlign w:val="baseline"/>
                <w:lang w:eastAsia="zh-CN"/>
              </w:rPr>
              <w:t>）</w:t>
            </w:r>
          </w:p>
          <w:p w14:paraId="38AB3D00">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81735"/>
                  <wp:effectExtent l="0" t="0" r="3175" b="6985"/>
                  <wp:docPr id="48" name="图片 48" descr="Avg_DBP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Avg_DBP_01"/>
                          <pic:cNvPicPr>
                            <a:picLocks noChangeAspect="1"/>
                          </pic:cNvPicPr>
                        </pic:nvPicPr>
                        <pic:blipFill>
                          <a:blip r:embed="rId14"/>
                          <a:stretch>
                            <a:fillRect/>
                          </a:stretch>
                        </pic:blipFill>
                        <pic:spPr>
                          <a:xfrm>
                            <a:off x="0" y="0"/>
                            <a:ext cx="1231265" cy="1181735"/>
                          </a:xfrm>
                          <a:prstGeom prst="rect">
                            <a:avLst/>
                          </a:prstGeom>
                        </pic:spPr>
                      </pic:pic>
                    </a:graphicData>
                  </a:graphic>
                </wp:inline>
              </w:drawing>
            </w:r>
          </w:p>
        </w:tc>
        <w:tc>
          <w:tcPr>
            <w:tcW w:w="2285" w:type="dxa"/>
            <w:tcBorders>
              <w:top w:val="nil"/>
              <w:left w:val="nil"/>
              <w:bottom w:val="nil"/>
              <w:right w:val="nil"/>
            </w:tcBorders>
            <w:vAlign w:val="top"/>
          </w:tcPr>
          <w:p w14:paraId="0426CA31">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K</w:t>
            </w:r>
            <w:r>
              <w:rPr>
                <w:rFonts w:hint="eastAsia" w:ascii="Times New Roman" w:hAnsi="Times New Roman" w:eastAsia="宋体" w:cs="Times New Roman"/>
                <w:vertAlign w:val="baseline"/>
                <w:lang w:eastAsia="zh-CN"/>
              </w:rPr>
              <w:t>）</w:t>
            </w:r>
          </w:p>
          <w:p w14:paraId="1CFEEC8C">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84910"/>
                  <wp:effectExtent l="0" t="0" r="3175" b="3810"/>
                  <wp:docPr id="51" name="图片 51" descr="Avg_SBP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Avg_SBP_01"/>
                          <pic:cNvPicPr>
                            <a:picLocks noChangeAspect="1"/>
                          </pic:cNvPicPr>
                        </pic:nvPicPr>
                        <pic:blipFill>
                          <a:blip r:embed="rId15"/>
                          <a:stretch>
                            <a:fillRect/>
                          </a:stretch>
                        </pic:blipFill>
                        <pic:spPr>
                          <a:xfrm>
                            <a:off x="0" y="0"/>
                            <a:ext cx="1231265" cy="1184910"/>
                          </a:xfrm>
                          <a:prstGeom prst="rect">
                            <a:avLst/>
                          </a:prstGeom>
                        </pic:spPr>
                      </pic:pic>
                    </a:graphicData>
                  </a:graphic>
                </wp:inline>
              </w:drawing>
            </w:r>
          </w:p>
        </w:tc>
        <w:tc>
          <w:tcPr>
            <w:tcW w:w="2285" w:type="dxa"/>
            <w:tcBorders>
              <w:top w:val="nil"/>
              <w:left w:val="nil"/>
              <w:bottom w:val="nil"/>
              <w:right w:val="nil"/>
            </w:tcBorders>
            <w:vAlign w:val="top"/>
          </w:tcPr>
          <w:p w14:paraId="612134A0">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L</w:t>
            </w:r>
            <w:r>
              <w:rPr>
                <w:rFonts w:hint="eastAsia" w:ascii="Times New Roman" w:hAnsi="Times New Roman" w:eastAsia="宋体" w:cs="Times New Roman"/>
                <w:vertAlign w:val="baseline"/>
                <w:lang w:eastAsia="zh-CN"/>
              </w:rPr>
              <w:t>）</w:t>
            </w:r>
          </w:p>
          <w:p w14:paraId="1697DD03">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84910"/>
                  <wp:effectExtent l="0" t="0" r="3175" b="3810"/>
                  <wp:docPr id="52" name="图片 52" descr="Avg_MAP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Avg_MAP_01"/>
                          <pic:cNvPicPr>
                            <a:picLocks noChangeAspect="1"/>
                          </pic:cNvPicPr>
                        </pic:nvPicPr>
                        <pic:blipFill>
                          <a:blip r:embed="rId16"/>
                          <a:stretch>
                            <a:fillRect/>
                          </a:stretch>
                        </pic:blipFill>
                        <pic:spPr>
                          <a:xfrm>
                            <a:off x="0" y="0"/>
                            <a:ext cx="1231265" cy="1184910"/>
                          </a:xfrm>
                          <a:prstGeom prst="rect">
                            <a:avLst/>
                          </a:prstGeom>
                        </pic:spPr>
                      </pic:pic>
                    </a:graphicData>
                  </a:graphic>
                </wp:inline>
              </w:drawing>
            </w:r>
          </w:p>
        </w:tc>
      </w:tr>
      <w:tr w14:paraId="65A6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2285" w:type="dxa"/>
            <w:tcBorders>
              <w:top w:val="nil"/>
              <w:left w:val="nil"/>
              <w:bottom w:val="nil"/>
              <w:right w:val="nil"/>
            </w:tcBorders>
            <w:vAlign w:val="top"/>
          </w:tcPr>
          <w:p w14:paraId="7AF2A7F5">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M</w:t>
            </w:r>
            <w:r>
              <w:rPr>
                <w:rFonts w:hint="eastAsia" w:ascii="Times New Roman" w:hAnsi="Times New Roman" w:eastAsia="宋体" w:cs="Times New Roman"/>
                <w:vertAlign w:val="baseline"/>
                <w:lang w:eastAsia="zh-CN"/>
              </w:rPr>
              <w:t>）</w:t>
            </w:r>
          </w:p>
          <w:p w14:paraId="65BC7144">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180465"/>
                  <wp:effectExtent l="0" t="0" r="3175" b="8255"/>
                  <wp:docPr id="53" name="图片 53" descr="BUN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BUN_01"/>
                          <pic:cNvPicPr>
                            <a:picLocks noChangeAspect="1"/>
                          </pic:cNvPicPr>
                        </pic:nvPicPr>
                        <pic:blipFill>
                          <a:blip r:embed="rId17"/>
                          <a:stretch>
                            <a:fillRect/>
                          </a:stretch>
                        </pic:blipFill>
                        <pic:spPr>
                          <a:xfrm>
                            <a:off x="0" y="0"/>
                            <a:ext cx="1231265" cy="1180465"/>
                          </a:xfrm>
                          <a:prstGeom prst="rect">
                            <a:avLst/>
                          </a:prstGeom>
                        </pic:spPr>
                      </pic:pic>
                    </a:graphicData>
                  </a:graphic>
                </wp:inline>
              </w:drawing>
            </w:r>
          </w:p>
        </w:tc>
        <w:tc>
          <w:tcPr>
            <w:tcW w:w="2285" w:type="dxa"/>
            <w:tcBorders>
              <w:top w:val="nil"/>
              <w:left w:val="nil"/>
              <w:bottom w:val="nil"/>
              <w:right w:val="nil"/>
            </w:tcBorders>
            <w:vAlign w:val="top"/>
          </w:tcPr>
          <w:p w14:paraId="638CC83E">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N</w:t>
            </w:r>
            <w:r>
              <w:rPr>
                <w:rFonts w:hint="eastAsia" w:ascii="Times New Roman" w:hAnsi="Times New Roman" w:eastAsia="宋体" w:cs="Times New Roman"/>
                <w:vertAlign w:val="baseline"/>
                <w:lang w:eastAsia="zh-CN"/>
              </w:rPr>
              <w:t>）</w:t>
            </w:r>
          </w:p>
          <w:p w14:paraId="042FED98">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3170" cy="1172845"/>
                  <wp:effectExtent l="0" t="0" r="1270" b="635"/>
                  <wp:docPr id="54" name="图片 54" descr="eGF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GFR_01"/>
                          <pic:cNvPicPr>
                            <a:picLocks noChangeAspect="1"/>
                          </pic:cNvPicPr>
                        </pic:nvPicPr>
                        <pic:blipFill>
                          <a:blip r:embed="rId18"/>
                          <a:stretch>
                            <a:fillRect/>
                          </a:stretch>
                        </pic:blipFill>
                        <pic:spPr>
                          <a:xfrm>
                            <a:off x="0" y="0"/>
                            <a:ext cx="1233170" cy="1172845"/>
                          </a:xfrm>
                          <a:prstGeom prst="rect">
                            <a:avLst/>
                          </a:prstGeom>
                        </pic:spPr>
                      </pic:pic>
                    </a:graphicData>
                  </a:graphic>
                </wp:inline>
              </w:drawing>
            </w:r>
          </w:p>
        </w:tc>
        <w:tc>
          <w:tcPr>
            <w:tcW w:w="2285" w:type="dxa"/>
            <w:tcBorders>
              <w:top w:val="nil"/>
              <w:left w:val="nil"/>
              <w:bottom w:val="nil"/>
              <w:right w:val="nil"/>
            </w:tcBorders>
            <w:vAlign w:val="top"/>
          </w:tcPr>
          <w:p w14:paraId="5C4FD97A">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O</w:t>
            </w:r>
            <w:r>
              <w:rPr>
                <w:rFonts w:hint="eastAsia" w:ascii="Times New Roman" w:hAnsi="Times New Roman" w:eastAsia="宋体" w:cs="Times New Roman"/>
                <w:vertAlign w:val="baseline"/>
                <w:lang w:eastAsia="zh-CN"/>
              </w:rPr>
              <w:t>）</w:t>
            </w:r>
          </w:p>
          <w:p w14:paraId="12CFD046">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76655"/>
                  <wp:effectExtent l="0" t="0" r="2540" b="12065"/>
                  <wp:docPr id="55" name="图片 55" descr="Creatinin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Creatinine_01"/>
                          <pic:cNvPicPr>
                            <a:picLocks noChangeAspect="1"/>
                          </pic:cNvPicPr>
                        </pic:nvPicPr>
                        <pic:blipFill>
                          <a:blip r:embed="rId19"/>
                          <a:stretch>
                            <a:fillRect/>
                          </a:stretch>
                        </pic:blipFill>
                        <pic:spPr>
                          <a:xfrm>
                            <a:off x="0" y="0"/>
                            <a:ext cx="1231900" cy="1176655"/>
                          </a:xfrm>
                          <a:prstGeom prst="rect">
                            <a:avLst/>
                          </a:prstGeom>
                        </pic:spPr>
                      </pic:pic>
                    </a:graphicData>
                  </a:graphic>
                </wp:inline>
              </w:drawing>
            </w:r>
          </w:p>
        </w:tc>
        <w:tc>
          <w:tcPr>
            <w:tcW w:w="2285" w:type="dxa"/>
            <w:tcBorders>
              <w:top w:val="nil"/>
              <w:left w:val="nil"/>
              <w:bottom w:val="nil"/>
              <w:right w:val="nil"/>
            </w:tcBorders>
            <w:vAlign w:val="top"/>
          </w:tcPr>
          <w:p w14:paraId="4A3A606A">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P</w:t>
            </w:r>
            <w:r>
              <w:rPr>
                <w:rFonts w:hint="eastAsia" w:ascii="Times New Roman" w:hAnsi="Times New Roman" w:eastAsia="宋体" w:cs="Times New Roman"/>
                <w:vertAlign w:val="baseline"/>
                <w:lang w:eastAsia="zh-CN"/>
              </w:rPr>
              <w:t>）</w:t>
            </w:r>
          </w:p>
          <w:p w14:paraId="5801C662">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4275"/>
                  <wp:effectExtent l="0" t="0" r="2540" b="4445"/>
                  <wp:docPr id="56" name="图片 56" descr="Sodium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Sodium_01"/>
                          <pic:cNvPicPr>
                            <a:picLocks noChangeAspect="1"/>
                          </pic:cNvPicPr>
                        </pic:nvPicPr>
                        <pic:blipFill>
                          <a:blip r:embed="rId20"/>
                          <a:stretch>
                            <a:fillRect/>
                          </a:stretch>
                        </pic:blipFill>
                        <pic:spPr>
                          <a:xfrm>
                            <a:off x="0" y="0"/>
                            <a:ext cx="1231900" cy="1184275"/>
                          </a:xfrm>
                          <a:prstGeom prst="rect">
                            <a:avLst/>
                          </a:prstGeom>
                        </pic:spPr>
                      </pic:pic>
                    </a:graphicData>
                  </a:graphic>
                </wp:inline>
              </w:drawing>
            </w:r>
          </w:p>
        </w:tc>
      </w:tr>
      <w:tr w14:paraId="224C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2285" w:type="dxa"/>
            <w:tcBorders>
              <w:top w:val="nil"/>
              <w:left w:val="nil"/>
              <w:bottom w:val="nil"/>
              <w:right w:val="nil"/>
            </w:tcBorders>
            <w:vAlign w:val="top"/>
          </w:tcPr>
          <w:p w14:paraId="1491F2AC">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Q</w:t>
            </w:r>
            <w:r>
              <w:rPr>
                <w:rFonts w:hint="eastAsia" w:ascii="Times New Roman" w:hAnsi="Times New Roman" w:eastAsia="宋体" w:cs="Times New Roman"/>
                <w:vertAlign w:val="baseline"/>
                <w:lang w:eastAsia="zh-CN"/>
              </w:rPr>
              <w:t>）</w:t>
            </w:r>
          </w:p>
          <w:p w14:paraId="505B4F4A">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3005"/>
                  <wp:effectExtent l="0" t="0" r="2540" b="5715"/>
                  <wp:docPr id="57" name="图片 57" descr="Chlorid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Chloride_01"/>
                          <pic:cNvPicPr>
                            <a:picLocks noChangeAspect="1"/>
                          </pic:cNvPicPr>
                        </pic:nvPicPr>
                        <pic:blipFill>
                          <a:blip r:embed="rId21"/>
                          <a:stretch>
                            <a:fillRect/>
                          </a:stretch>
                        </pic:blipFill>
                        <pic:spPr>
                          <a:xfrm>
                            <a:off x="0" y="0"/>
                            <a:ext cx="1231900" cy="1183005"/>
                          </a:xfrm>
                          <a:prstGeom prst="rect">
                            <a:avLst/>
                          </a:prstGeom>
                        </pic:spPr>
                      </pic:pic>
                    </a:graphicData>
                  </a:graphic>
                </wp:inline>
              </w:drawing>
            </w:r>
          </w:p>
        </w:tc>
        <w:tc>
          <w:tcPr>
            <w:tcW w:w="2285" w:type="dxa"/>
            <w:tcBorders>
              <w:top w:val="nil"/>
              <w:left w:val="nil"/>
              <w:bottom w:val="nil"/>
              <w:right w:val="nil"/>
            </w:tcBorders>
            <w:vAlign w:val="top"/>
          </w:tcPr>
          <w:p w14:paraId="0C0A6B36">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R</w:t>
            </w:r>
            <w:r>
              <w:rPr>
                <w:rFonts w:hint="eastAsia" w:ascii="Times New Roman" w:hAnsi="Times New Roman" w:eastAsia="宋体" w:cs="Times New Roman"/>
                <w:vertAlign w:val="baseline"/>
                <w:lang w:eastAsia="zh-CN"/>
              </w:rPr>
              <w:t>）</w:t>
            </w:r>
          </w:p>
          <w:p w14:paraId="3FD0C988">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3640"/>
                  <wp:effectExtent l="0" t="0" r="2540" b="5080"/>
                  <wp:docPr id="58" name="图片 58" descr="Potassium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Potassium_01"/>
                          <pic:cNvPicPr>
                            <a:picLocks noChangeAspect="1"/>
                          </pic:cNvPicPr>
                        </pic:nvPicPr>
                        <pic:blipFill>
                          <a:blip r:embed="rId22"/>
                          <a:stretch>
                            <a:fillRect/>
                          </a:stretch>
                        </pic:blipFill>
                        <pic:spPr>
                          <a:xfrm>
                            <a:off x="0" y="0"/>
                            <a:ext cx="1231900" cy="1183640"/>
                          </a:xfrm>
                          <a:prstGeom prst="rect">
                            <a:avLst/>
                          </a:prstGeom>
                        </pic:spPr>
                      </pic:pic>
                    </a:graphicData>
                  </a:graphic>
                </wp:inline>
              </w:drawing>
            </w:r>
          </w:p>
        </w:tc>
        <w:tc>
          <w:tcPr>
            <w:tcW w:w="2285" w:type="dxa"/>
            <w:tcBorders>
              <w:top w:val="nil"/>
              <w:left w:val="nil"/>
              <w:bottom w:val="nil"/>
              <w:right w:val="nil"/>
            </w:tcBorders>
            <w:vAlign w:val="top"/>
          </w:tcPr>
          <w:p w14:paraId="5C01CD97">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S</w:t>
            </w:r>
            <w:r>
              <w:rPr>
                <w:rFonts w:hint="eastAsia" w:ascii="Times New Roman" w:hAnsi="Times New Roman" w:eastAsia="宋体" w:cs="Times New Roman"/>
                <w:vertAlign w:val="baseline"/>
                <w:lang w:eastAsia="zh-CN"/>
              </w:rPr>
              <w:t>）</w:t>
            </w:r>
          </w:p>
          <w:p w14:paraId="41AAADCB">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4275"/>
                  <wp:effectExtent l="0" t="0" r="2540" b="4445"/>
                  <wp:docPr id="59" name="图片 59" descr="BMI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BMI_01"/>
                          <pic:cNvPicPr>
                            <a:picLocks noChangeAspect="1"/>
                          </pic:cNvPicPr>
                        </pic:nvPicPr>
                        <pic:blipFill>
                          <a:blip r:embed="rId23"/>
                          <a:stretch>
                            <a:fillRect/>
                          </a:stretch>
                        </pic:blipFill>
                        <pic:spPr>
                          <a:xfrm>
                            <a:off x="0" y="0"/>
                            <a:ext cx="1231900" cy="1184275"/>
                          </a:xfrm>
                          <a:prstGeom prst="rect">
                            <a:avLst/>
                          </a:prstGeom>
                        </pic:spPr>
                      </pic:pic>
                    </a:graphicData>
                  </a:graphic>
                </wp:inline>
              </w:drawing>
            </w:r>
          </w:p>
        </w:tc>
        <w:tc>
          <w:tcPr>
            <w:tcW w:w="2285" w:type="dxa"/>
            <w:tcBorders>
              <w:top w:val="nil"/>
              <w:left w:val="nil"/>
              <w:bottom w:val="nil"/>
              <w:right w:val="nil"/>
            </w:tcBorders>
            <w:vAlign w:val="top"/>
          </w:tcPr>
          <w:p w14:paraId="6EC57B9E">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T</w:t>
            </w:r>
            <w:r>
              <w:rPr>
                <w:rFonts w:hint="eastAsia" w:ascii="Times New Roman" w:hAnsi="Times New Roman" w:eastAsia="宋体" w:cs="Times New Roman"/>
                <w:vertAlign w:val="baseline"/>
                <w:lang w:eastAsia="zh-CN"/>
              </w:rPr>
              <w:t>）</w:t>
            </w:r>
          </w:p>
          <w:p w14:paraId="076043DD">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186815"/>
                  <wp:effectExtent l="0" t="0" r="2540" b="1905"/>
                  <wp:docPr id="60" name="图片 60" descr="Avg_Temperatur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Avg_Temperature_01"/>
                          <pic:cNvPicPr>
                            <a:picLocks noChangeAspect="1"/>
                          </pic:cNvPicPr>
                        </pic:nvPicPr>
                        <pic:blipFill>
                          <a:blip r:embed="rId24"/>
                          <a:stretch>
                            <a:fillRect/>
                          </a:stretch>
                        </pic:blipFill>
                        <pic:spPr>
                          <a:xfrm>
                            <a:off x="0" y="0"/>
                            <a:ext cx="1231900" cy="1186815"/>
                          </a:xfrm>
                          <a:prstGeom prst="rect">
                            <a:avLst/>
                          </a:prstGeom>
                        </pic:spPr>
                      </pic:pic>
                    </a:graphicData>
                  </a:graphic>
                </wp:inline>
              </w:drawing>
            </w:r>
          </w:p>
        </w:tc>
      </w:tr>
      <w:tr w14:paraId="6690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atLeast"/>
        </w:trPr>
        <w:tc>
          <w:tcPr>
            <w:tcW w:w="2285" w:type="dxa"/>
            <w:tcBorders>
              <w:top w:val="nil"/>
              <w:left w:val="nil"/>
              <w:bottom w:val="nil"/>
              <w:right w:val="nil"/>
            </w:tcBorders>
            <w:vAlign w:val="top"/>
          </w:tcPr>
          <w:p w14:paraId="3A6B8055">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U</w:t>
            </w:r>
            <w:r>
              <w:rPr>
                <w:rFonts w:hint="eastAsia" w:ascii="Times New Roman" w:hAnsi="Times New Roman" w:eastAsia="宋体" w:cs="Times New Roman"/>
                <w:vertAlign w:val="baseline"/>
                <w:lang w:eastAsia="zh-CN"/>
              </w:rPr>
              <w:t>）</w:t>
            </w:r>
          </w:p>
          <w:p w14:paraId="43357258">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217930"/>
                  <wp:effectExtent l="0" t="0" r="2540" b="1270"/>
                  <wp:docPr id="61" name="图片 61" descr="MCV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MCV_01"/>
                          <pic:cNvPicPr>
                            <a:picLocks noChangeAspect="1"/>
                          </pic:cNvPicPr>
                        </pic:nvPicPr>
                        <pic:blipFill>
                          <a:blip r:embed="rId25"/>
                          <a:stretch>
                            <a:fillRect/>
                          </a:stretch>
                        </pic:blipFill>
                        <pic:spPr>
                          <a:xfrm>
                            <a:off x="0" y="0"/>
                            <a:ext cx="1231900" cy="1217930"/>
                          </a:xfrm>
                          <a:prstGeom prst="rect">
                            <a:avLst/>
                          </a:prstGeom>
                        </pic:spPr>
                      </pic:pic>
                    </a:graphicData>
                  </a:graphic>
                </wp:inline>
              </w:drawing>
            </w:r>
          </w:p>
        </w:tc>
        <w:tc>
          <w:tcPr>
            <w:tcW w:w="2285" w:type="dxa"/>
            <w:tcBorders>
              <w:top w:val="nil"/>
              <w:left w:val="nil"/>
              <w:bottom w:val="nil"/>
              <w:right w:val="nil"/>
            </w:tcBorders>
            <w:vAlign w:val="top"/>
          </w:tcPr>
          <w:p w14:paraId="7D96E6E5">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V</w:t>
            </w:r>
            <w:r>
              <w:rPr>
                <w:rFonts w:hint="eastAsia" w:ascii="Times New Roman" w:hAnsi="Times New Roman" w:eastAsia="宋体" w:cs="Times New Roman"/>
                <w:vertAlign w:val="baseline"/>
                <w:lang w:eastAsia="zh-CN"/>
              </w:rPr>
              <w:t>）</w:t>
            </w:r>
          </w:p>
          <w:p w14:paraId="19265662">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900" cy="1214755"/>
                  <wp:effectExtent l="0" t="0" r="2540" b="4445"/>
                  <wp:docPr id="62" name="图片 62" descr="Avg_Resprat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Avg_Resprate_01"/>
                          <pic:cNvPicPr>
                            <a:picLocks noChangeAspect="1"/>
                          </pic:cNvPicPr>
                        </pic:nvPicPr>
                        <pic:blipFill>
                          <a:blip r:embed="rId26"/>
                          <a:stretch>
                            <a:fillRect/>
                          </a:stretch>
                        </pic:blipFill>
                        <pic:spPr>
                          <a:xfrm>
                            <a:off x="0" y="0"/>
                            <a:ext cx="1231900" cy="1214755"/>
                          </a:xfrm>
                          <a:prstGeom prst="rect">
                            <a:avLst/>
                          </a:prstGeom>
                        </pic:spPr>
                      </pic:pic>
                    </a:graphicData>
                  </a:graphic>
                </wp:inline>
              </w:drawing>
            </w:r>
          </w:p>
        </w:tc>
        <w:tc>
          <w:tcPr>
            <w:tcW w:w="2285" w:type="dxa"/>
            <w:tcBorders>
              <w:top w:val="nil"/>
              <w:left w:val="nil"/>
              <w:bottom w:val="nil"/>
              <w:right w:val="nil"/>
            </w:tcBorders>
            <w:vAlign w:val="top"/>
          </w:tcPr>
          <w:p w14:paraId="20A8B9CF">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W</w:t>
            </w:r>
            <w:r>
              <w:rPr>
                <w:rFonts w:hint="eastAsia" w:ascii="Times New Roman" w:hAnsi="Times New Roman" w:eastAsia="宋体" w:cs="Times New Roman"/>
                <w:vertAlign w:val="baseline"/>
                <w:lang w:eastAsia="zh-CN"/>
              </w:rPr>
              <w:t>）</w:t>
            </w:r>
          </w:p>
          <w:p w14:paraId="21800887">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219200"/>
                  <wp:effectExtent l="0" t="0" r="3175" b="0"/>
                  <wp:docPr id="63" name="图片 63" descr="Avg_SpO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Avg_SpO2_01"/>
                          <pic:cNvPicPr>
                            <a:picLocks noChangeAspect="1"/>
                          </pic:cNvPicPr>
                        </pic:nvPicPr>
                        <pic:blipFill>
                          <a:blip r:embed="rId27"/>
                          <a:stretch>
                            <a:fillRect/>
                          </a:stretch>
                        </pic:blipFill>
                        <pic:spPr>
                          <a:xfrm>
                            <a:off x="0" y="0"/>
                            <a:ext cx="1231265" cy="1219200"/>
                          </a:xfrm>
                          <a:prstGeom prst="rect">
                            <a:avLst/>
                          </a:prstGeom>
                        </pic:spPr>
                      </pic:pic>
                    </a:graphicData>
                  </a:graphic>
                </wp:inline>
              </w:drawing>
            </w:r>
          </w:p>
        </w:tc>
        <w:tc>
          <w:tcPr>
            <w:tcW w:w="2285" w:type="dxa"/>
            <w:tcBorders>
              <w:top w:val="nil"/>
              <w:left w:val="nil"/>
              <w:bottom w:val="nil"/>
              <w:right w:val="nil"/>
            </w:tcBorders>
            <w:vAlign w:val="top"/>
          </w:tcPr>
          <w:p w14:paraId="0E72F97C">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X</w:t>
            </w:r>
            <w:r>
              <w:rPr>
                <w:rFonts w:hint="eastAsia" w:ascii="Times New Roman" w:hAnsi="Times New Roman" w:eastAsia="宋体" w:cs="Times New Roman"/>
                <w:vertAlign w:val="baseline"/>
                <w:lang w:eastAsia="zh-CN"/>
              </w:rPr>
              <w:t>）</w:t>
            </w:r>
          </w:p>
          <w:p w14:paraId="1ADC4CF4">
            <w:pPr>
              <w:keepNext w:val="0"/>
              <w:keepLines w:val="0"/>
              <w:suppressLineNumbers w:val="0"/>
              <w:spacing w:before="0" w:beforeAutospacing="0" w:after="0" w:afterAutospacing="0"/>
              <w:ind w:left="0" w:right="0"/>
              <w:rPr>
                <w:rFonts w:hint="default" w:ascii="Times New Roman" w:hAnsi="Times New Roman" w:cs="Times New Roman" w:eastAsiaTheme="minorEastAsia"/>
                <w:vertAlign w:val="baseline"/>
                <w:lang w:eastAsia="zh-CN"/>
              </w:rPr>
            </w:pPr>
            <w:r>
              <w:rPr>
                <w:rFonts w:hint="default" w:ascii="Times New Roman" w:hAnsi="Times New Roman" w:cs="Times New Roman" w:eastAsiaTheme="minorEastAsia"/>
                <w:vertAlign w:val="baseline"/>
                <w:lang w:eastAsia="zh-CN"/>
              </w:rPr>
              <w:drawing>
                <wp:inline distT="0" distB="0" distL="114300" distR="114300">
                  <wp:extent cx="1231265" cy="1211580"/>
                  <wp:effectExtent l="0" t="0" r="3175" b="7620"/>
                  <wp:docPr id="64" name="图片 64" descr="Avg_Heartrat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Avg_Heartrate_01"/>
                          <pic:cNvPicPr>
                            <a:picLocks noChangeAspect="1"/>
                          </pic:cNvPicPr>
                        </pic:nvPicPr>
                        <pic:blipFill>
                          <a:blip r:embed="rId28"/>
                          <a:stretch>
                            <a:fillRect/>
                          </a:stretch>
                        </pic:blipFill>
                        <pic:spPr>
                          <a:xfrm>
                            <a:off x="0" y="0"/>
                            <a:ext cx="1231265" cy="1211580"/>
                          </a:xfrm>
                          <a:prstGeom prst="rect">
                            <a:avLst/>
                          </a:prstGeom>
                        </pic:spPr>
                      </pic:pic>
                    </a:graphicData>
                  </a:graphic>
                </wp:inline>
              </w:drawing>
            </w:r>
          </w:p>
        </w:tc>
      </w:tr>
    </w:tbl>
    <w:p w14:paraId="5518F371">
      <w:pPr>
        <w:spacing w:line="360" w:lineRule="auto"/>
        <w:rPr>
          <w:rFonts w:hint="default" w:ascii="Times New Roman" w:hAnsi="Times New Roman" w:cs="Times New Roman"/>
          <w:lang w:val="en-US" w:eastAsia="zh-CN"/>
        </w:rPr>
      </w:pPr>
      <w:r>
        <w:rPr>
          <w:rFonts w:hint="default" w:ascii="Times New Roman" w:hAnsi="Times New Roman" w:cs="Times New Roman"/>
        </w:rPr>
        <w:t>Supplementary Figure S</w:t>
      </w:r>
      <w:r>
        <w:rPr>
          <w:rFonts w:hint="eastAsia"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 xml:space="preserve"> Multiple Imputation Sensitivity Analysis for Clinical Variables with Missing Values in ICU Patients with Acute Respiratory Failure.</w:t>
      </w:r>
    </w:p>
    <w:p w14:paraId="324E7272">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 xml:space="preserve">This figure presents a comprehensive sensitivity analysis of the multiple imputation process across 24 clinical variables that contained missing values, displayed as kernel density plots comparing pre-imputation (blue lines) and post-imputation (red lines) distributions. </w:t>
      </w:r>
    </w:p>
    <w:p w14:paraId="6F7E33BD">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The density plots demonstrate that the multiple imputation process successfully preserved the original distributional characteristics of each clinical variable. Across all 24 variables shown (A-X), including physiological parameters (oxygenation index, blood pressure measurements, heart rate), laboratory indicators (blood gases, electrolytes, renal function markers), and hematological parameters (blood counts, hemoglobin levels), the pre- and post-imputation curves show remarkable overlap. This near-perfect alignment indicates that the imputation algorithm maintained the underlying statistical properties and biological patterns inherent in the original data.</w:t>
      </w:r>
    </w:p>
    <w:p w14:paraId="61226D5F">
      <w:pPr>
        <w:keepNext w:val="0"/>
        <w:keepLines w:val="0"/>
        <w:pageBreakBefore w:val="0"/>
        <w:widowControl w:val="0"/>
        <w:kinsoku/>
        <w:wordWrap/>
        <w:overflowPunct/>
        <w:topLinePunct w:val="0"/>
        <w:autoSpaceDE/>
        <w:autoSpaceDN/>
        <w:bidi w:val="0"/>
        <w:adjustRightInd/>
        <w:snapToGrid/>
        <w:spacing w:before="0" w:after="0" w:line="520" w:lineRule="exact"/>
        <w:jc w:val="left"/>
        <w:textAlignment w:val="auto"/>
        <w:rPr>
          <w:rFonts w:ascii="Times New Roman" w:hAnsi="Times New Roman" w:eastAsia="宋体"/>
          <w:b w:val="0"/>
          <w:bCs/>
          <w:sz w:val="28"/>
        </w:rPr>
        <w:sectPr>
          <w:footerReference r:id="rId3" w:type="default"/>
          <w:pgSz w:w="11906" w:h="16838"/>
          <w:pgMar w:top="1440" w:right="1418" w:bottom="1440" w:left="1418" w:header="851" w:footer="992" w:gutter="0"/>
          <w:pgBorders>
            <w:top w:val="none" w:sz="0" w:space="0"/>
            <w:left w:val="none" w:sz="0" w:space="0"/>
            <w:bottom w:val="none" w:sz="0" w:space="0"/>
            <w:right w:val="none" w:sz="0" w:space="0"/>
          </w:pgBorders>
          <w:pgNumType w:fmt="numberInDash"/>
          <w:cols w:space="425" w:num="1"/>
          <w:docGrid w:linePitch="312" w:charSpace="0"/>
        </w:sectPr>
      </w:pPr>
    </w:p>
    <w:p w14:paraId="1A31BC06">
      <w:pPr>
        <w:pStyle w:val="9"/>
        <w:keepNext w:val="0"/>
        <w:keepLines w:val="0"/>
        <w:widowControl/>
        <w:suppressLineNumbers w:val="0"/>
        <w:rPr>
          <w:rStyle w:val="14"/>
          <w:rFonts w:ascii="Times New Roman" w:hAnsi="Times New Roman"/>
        </w:rPr>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85"/>
        <w:gridCol w:w="2393"/>
        <w:gridCol w:w="2387"/>
        <w:gridCol w:w="4709"/>
      </w:tblGrid>
      <w:tr w14:paraId="57AE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8" w:hRule="atLeast"/>
        </w:trPr>
        <w:tc>
          <w:tcPr>
            <w:tcW w:w="1666" w:type="pct"/>
          </w:tcPr>
          <w:p w14:paraId="1BA14563">
            <w:pPr>
              <w:keepNext w:val="0"/>
              <w:keepLines w:val="0"/>
              <w:suppressLineNumbers w:val="0"/>
              <w:spacing w:before="0" w:beforeAutospacing="0" w:after="0" w:afterAutospacing="0"/>
              <w:ind w:left="0" w:right="0"/>
              <w:rPr>
                <w:rFonts w:hint="default" w:ascii="Times New Roman" w:hAnsi="Times New Roman" w:cs="Times New Roman"/>
                <w:b w:val="0"/>
                <w:bCs w:val="0"/>
                <w:vertAlign w:val="baseline"/>
                <w:lang w:eastAsia="zh-CN"/>
              </w:rPr>
            </w:pPr>
            <w:r>
              <w:rPr>
                <w:rFonts w:hint="default" w:ascii="Times New Roman" w:hAnsi="Times New Roman" w:cs="Times New Roman"/>
                <w:b w:val="0"/>
                <w:bCs w:val="0"/>
                <w:vertAlign w:val="baseline"/>
                <w:lang w:eastAsia="zh-CN"/>
              </w:rPr>
              <w:t>（</w:t>
            </w:r>
            <w:r>
              <w:rPr>
                <w:rFonts w:hint="default" w:ascii="Times New Roman" w:hAnsi="Times New Roman" w:cs="Times New Roman"/>
                <w:b w:val="0"/>
                <w:bCs w:val="0"/>
                <w:vertAlign w:val="baseline"/>
                <w:lang w:val="en-US" w:eastAsia="zh-CN"/>
              </w:rPr>
              <w:t>A</w:t>
            </w:r>
            <w:r>
              <w:rPr>
                <w:rFonts w:hint="eastAsia" w:ascii="Times New Roman" w:hAnsi="Times New Roman" w:eastAsia="宋体" w:cs="Times New Roman"/>
                <w:b w:val="0"/>
                <w:bCs w:val="0"/>
                <w:vertAlign w:val="baseline"/>
                <w:lang w:eastAsia="zh-CN"/>
              </w:rPr>
              <w:t>）</w:t>
            </w:r>
          </w:p>
          <w:p w14:paraId="29B94945">
            <w:pPr>
              <w:keepNext w:val="0"/>
              <w:keepLines w:val="0"/>
              <w:suppressLineNumbers w:val="0"/>
              <w:spacing w:before="0" w:beforeAutospacing="0" w:after="0" w:afterAutospacing="0"/>
              <w:ind w:left="0" w:right="0"/>
              <w:rPr>
                <w:rFonts w:hint="default" w:ascii="Times New Roman" w:hAnsi="Times New Roman" w:cs="Times New Roman"/>
                <w:b/>
                <w:bCs/>
                <w:vertAlign w:val="baseline"/>
                <w:lang w:eastAsia="zh-CN"/>
              </w:rPr>
            </w:pPr>
            <w:r>
              <w:rPr>
                <w:rFonts w:hint="default" w:ascii="Times New Roman" w:hAnsi="Times New Roman" w:cs="Times New Roman"/>
                <w:b/>
                <w:bCs/>
                <w:vertAlign w:val="baseline"/>
                <w:lang w:eastAsia="zh-CN"/>
              </w:rPr>
              <w:drawing>
                <wp:inline distT="0" distB="0" distL="114300" distR="114300">
                  <wp:extent cx="2861945" cy="2629535"/>
                  <wp:effectExtent l="0" t="0" r="3175" b="6985"/>
                  <wp:docPr id="66" name="图片 66" descr="age_rdw_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age_rdw_relationship"/>
                          <pic:cNvPicPr>
                            <a:picLocks noChangeAspect="1"/>
                          </pic:cNvPicPr>
                        </pic:nvPicPr>
                        <pic:blipFill>
                          <a:blip r:embed="rId29"/>
                          <a:stretch>
                            <a:fillRect/>
                          </a:stretch>
                        </pic:blipFill>
                        <pic:spPr>
                          <a:xfrm>
                            <a:off x="0" y="0"/>
                            <a:ext cx="2861945" cy="2629535"/>
                          </a:xfrm>
                          <a:prstGeom prst="rect">
                            <a:avLst/>
                          </a:prstGeom>
                        </pic:spPr>
                      </pic:pic>
                    </a:graphicData>
                  </a:graphic>
                </wp:inline>
              </w:drawing>
            </w:r>
          </w:p>
        </w:tc>
        <w:tc>
          <w:tcPr>
            <w:tcW w:w="1666" w:type="pct"/>
            <w:gridSpan w:val="2"/>
          </w:tcPr>
          <w:p w14:paraId="2084D500">
            <w:pPr>
              <w:keepNext w:val="0"/>
              <w:keepLines w:val="0"/>
              <w:suppressLineNumbers w:val="0"/>
              <w:spacing w:before="0" w:beforeAutospacing="0" w:after="0" w:afterAutospacing="0"/>
              <w:ind w:left="0" w:right="0"/>
              <w:rPr>
                <w:rFonts w:hint="default" w:ascii="Times New Roman" w:hAnsi="Times New Roman" w:cs="Times New Roman"/>
                <w:b w:val="0"/>
                <w:bCs w:val="0"/>
                <w:vertAlign w:val="baseline"/>
                <w:lang w:eastAsia="zh-CN"/>
              </w:rPr>
            </w:pPr>
            <w:r>
              <w:rPr>
                <w:rFonts w:hint="default" w:ascii="Times New Roman" w:hAnsi="Times New Roman" w:cs="Times New Roman"/>
                <w:b w:val="0"/>
                <w:bCs w:val="0"/>
                <w:vertAlign w:val="baseline"/>
                <w:lang w:eastAsia="zh-CN"/>
              </w:rPr>
              <w:t>（</w:t>
            </w:r>
            <w:r>
              <w:rPr>
                <w:rFonts w:hint="default" w:ascii="Times New Roman" w:hAnsi="Times New Roman" w:cs="Times New Roman"/>
                <w:b w:val="0"/>
                <w:bCs w:val="0"/>
                <w:vertAlign w:val="baseline"/>
                <w:lang w:val="en-US" w:eastAsia="zh-CN"/>
              </w:rPr>
              <w:t>B</w:t>
            </w:r>
            <w:r>
              <w:rPr>
                <w:rFonts w:hint="eastAsia" w:ascii="Times New Roman" w:hAnsi="Times New Roman" w:eastAsia="宋体" w:cs="Times New Roman"/>
                <w:b w:val="0"/>
                <w:bCs w:val="0"/>
                <w:vertAlign w:val="baseline"/>
                <w:lang w:eastAsia="zh-CN"/>
              </w:rPr>
              <w:t>）</w:t>
            </w:r>
          </w:p>
          <w:p w14:paraId="2FE941AF">
            <w:pPr>
              <w:keepNext w:val="0"/>
              <w:keepLines w:val="0"/>
              <w:suppressLineNumbers w:val="0"/>
              <w:spacing w:before="0" w:beforeAutospacing="0" w:after="0" w:afterAutospacing="0"/>
              <w:ind w:left="0" w:right="0"/>
              <w:rPr>
                <w:rFonts w:hint="default" w:ascii="Times New Roman" w:hAnsi="Times New Roman" w:cs="Times New Roman"/>
                <w:b/>
                <w:bCs/>
                <w:vertAlign w:val="baseline"/>
                <w:lang w:eastAsia="zh-CN"/>
              </w:rPr>
            </w:pPr>
            <w:r>
              <w:rPr>
                <w:rFonts w:hint="default" w:ascii="Times New Roman" w:hAnsi="Times New Roman" w:cs="Times New Roman"/>
                <w:b/>
                <w:bCs/>
                <w:vertAlign w:val="baseline"/>
                <w:lang w:eastAsia="zh-CN"/>
              </w:rPr>
              <w:drawing>
                <wp:inline distT="0" distB="0" distL="114300" distR="114300">
                  <wp:extent cx="2915920" cy="2624455"/>
                  <wp:effectExtent l="0" t="0" r="10160" b="12065"/>
                  <wp:docPr id="13" name="图片 13" descr="linear_residu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linear_residuals"/>
                          <pic:cNvPicPr>
                            <a:picLocks noChangeAspect="1"/>
                          </pic:cNvPicPr>
                        </pic:nvPicPr>
                        <pic:blipFill>
                          <a:blip r:embed="rId30"/>
                          <a:srcRect t="-3" b="-3"/>
                          <a:stretch>
                            <a:fillRect/>
                          </a:stretch>
                        </pic:blipFill>
                        <pic:spPr>
                          <a:xfrm>
                            <a:off x="0" y="0"/>
                            <a:ext cx="2916000" cy="2624455"/>
                          </a:xfrm>
                          <a:prstGeom prst="rect">
                            <a:avLst/>
                          </a:prstGeom>
                        </pic:spPr>
                      </pic:pic>
                    </a:graphicData>
                  </a:graphic>
                </wp:inline>
              </w:drawing>
            </w:r>
          </w:p>
        </w:tc>
        <w:tc>
          <w:tcPr>
            <w:tcW w:w="1666" w:type="pct"/>
          </w:tcPr>
          <w:p w14:paraId="100881EC">
            <w:pPr>
              <w:keepNext w:val="0"/>
              <w:keepLines w:val="0"/>
              <w:suppressLineNumbers w:val="0"/>
              <w:spacing w:before="0" w:beforeAutospacing="0" w:after="0" w:afterAutospacing="0"/>
              <w:ind w:left="0" w:right="0"/>
              <w:rPr>
                <w:rFonts w:hint="default" w:ascii="Times New Roman" w:hAnsi="Times New Roman" w:cs="Times New Roman"/>
                <w:b w:val="0"/>
                <w:bCs w:val="0"/>
                <w:vertAlign w:val="baseline"/>
                <w:lang w:eastAsia="zh-CN"/>
              </w:rPr>
            </w:pPr>
            <w:r>
              <w:rPr>
                <w:rFonts w:hint="default" w:ascii="Times New Roman" w:hAnsi="Times New Roman" w:cs="Times New Roman"/>
                <w:b w:val="0"/>
                <w:bCs w:val="0"/>
                <w:vertAlign w:val="baseline"/>
                <w:lang w:eastAsia="zh-CN"/>
              </w:rPr>
              <w:t>（</w:t>
            </w:r>
            <w:r>
              <w:rPr>
                <w:rFonts w:hint="default" w:ascii="Times New Roman" w:hAnsi="Times New Roman" w:cs="Times New Roman"/>
                <w:b w:val="0"/>
                <w:bCs w:val="0"/>
                <w:vertAlign w:val="baseline"/>
                <w:lang w:val="en-US" w:eastAsia="zh-CN"/>
              </w:rPr>
              <w:t>C</w:t>
            </w:r>
            <w:r>
              <w:rPr>
                <w:rFonts w:hint="eastAsia" w:ascii="Times New Roman" w:hAnsi="Times New Roman" w:eastAsia="宋体" w:cs="Times New Roman"/>
                <w:b w:val="0"/>
                <w:bCs w:val="0"/>
                <w:vertAlign w:val="baseline"/>
                <w:lang w:eastAsia="zh-CN"/>
              </w:rPr>
              <w:t>）</w:t>
            </w:r>
          </w:p>
          <w:p w14:paraId="6E538366">
            <w:pPr>
              <w:keepNext w:val="0"/>
              <w:keepLines w:val="0"/>
              <w:suppressLineNumbers w:val="0"/>
              <w:spacing w:before="0" w:beforeAutospacing="0" w:after="0" w:afterAutospacing="0"/>
              <w:ind w:left="0" w:right="0"/>
              <w:rPr>
                <w:rFonts w:hint="default" w:ascii="Times New Roman" w:hAnsi="Times New Roman" w:cs="Times New Roman"/>
                <w:b/>
                <w:bCs/>
                <w:vertAlign w:val="baseline"/>
                <w:lang w:eastAsia="zh-CN"/>
              </w:rPr>
            </w:pPr>
            <w:r>
              <w:rPr>
                <w:rFonts w:hint="default" w:ascii="Times New Roman" w:hAnsi="Times New Roman" w:cs="Times New Roman"/>
                <w:b/>
                <w:bCs/>
                <w:vertAlign w:val="baseline"/>
                <w:lang w:eastAsia="zh-CN"/>
              </w:rPr>
              <w:drawing>
                <wp:inline distT="0" distB="0" distL="114300" distR="114300">
                  <wp:extent cx="2880360" cy="2625090"/>
                  <wp:effectExtent l="0" t="0" r="0" b="11430"/>
                  <wp:docPr id="68" name="图片 68" descr="model_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model_comparison"/>
                          <pic:cNvPicPr>
                            <a:picLocks noChangeAspect="1"/>
                          </pic:cNvPicPr>
                        </pic:nvPicPr>
                        <pic:blipFill>
                          <a:blip r:embed="rId31"/>
                          <a:stretch>
                            <a:fillRect/>
                          </a:stretch>
                        </pic:blipFill>
                        <pic:spPr>
                          <a:xfrm>
                            <a:off x="0" y="0"/>
                            <a:ext cx="2880360" cy="2625090"/>
                          </a:xfrm>
                          <a:prstGeom prst="rect">
                            <a:avLst/>
                          </a:prstGeom>
                        </pic:spPr>
                      </pic:pic>
                    </a:graphicData>
                  </a:graphic>
                </wp:inline>
              </w:drawing>
            </w:r>
          </w:p>
        </w:tc>
      </w:tr>
      <w:tr w14:paraId="66D72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000" w:type="pct"/>
            <w:gridSpan w:val="4"/>
            <w:vAlign w:val="center"/>
          </w:tcPr>
          <w:p w14:paraId="459ED0B9">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b/>
                <w:bCs/>
                <w:kern w:val="0"/>
                <w:sz w:val="20"/>
                <w:szCs w:val="20"/>
                <w:lang w:val="en-US" w:eastAsia="zh-CN" w:bidi="ar"/>
              </w:rPr>
            </w:pPr>
            <w:r>
              <w:rPr>
                <w:rFonts w:hint="eastAsia" w:ascii="Times New Roman" w:hAnsi="Times New Roman" w:eastAsia="宋体" w:cs="Times New Roman"/>
                <w:b w:val="0"/>
                <w:bCs w:val="0"/>
                <w:kern w:val="0"/>
                <w:sz w:val="21"/>
                <w:szCs w:val="21"/>
                <w:lang w:val="en-US" w:eastAsia="zh-CN" w:bidi="ar"/>
              </w:rPr>
              <w:t>（D）</w:t>
            </w:r>
          </w:p>
        </w:tc>
      </w:tr>
      <w:tr w14:paraId="4D0D3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53245F0D">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b/>
                <w:bCs/>
                <w:kern w:val="0"/>
                <w:sz w:val="21"/>
                <w:szCs w:val="21"/>
                <w:lang w:val="en-US" w:eastAsia="zh-CN" w:bidi="ar"/>
              </w:rPr>
              <w:t>Parameter</w:t>
            </w:r>
          </w:p>
        </w:tc>
        <w:tc>
          <w:tcPr>
            <w:tcW w:w="2500" w:type="pct"/>
            <w:gridSpan w:val="2"/>
            <w:vAlign w:val="center"/>
          </w:tcPr>
          <w:p w14:paraId="61DE58A9">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b/>
                <w:bCs/>
                <w:kern w:val="0"/>
                <w:sz w:val="21"/>
                <w:szCs w:val="21"/>
                <w:lang w:val="en-US" w:eastAsia="zh-CN" w:bidi="ar"/>
              </w:rPr>
              <w:t>Value</w:t>
            </w:r>
          </w:p>
        </w:tc>
      </w:tr>
      <w:tr w14:paraId="65CF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27534AB8">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Sample Size</w:t>
            </w:r>
          </w:p>
        </w:tc>
        <w:tc>
          <w:tcPr>
            <w:tcW w:w="2500" w:type="pct"/>
            <w:gridSpan w:val="2"/>
            <w:vAlign w:val="center"/>
          </w:tcPr>
          <w:p w14:paraId="5A744885">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24,709</w:t>
            </w:r>
          </w:p>
        </w:tc>
      </w:tr>
      <w:tr w14:paraId="4AC7A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32EC0F6B">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 xml:space="preserve">Age, years </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Mean ± SD</w:t>
            </w:r>
            <w:r>
              <w:rPr>
                <w:rFonts w:hint="eastAsia" w:ascii="Times New Roman" w:hAnsi="Times New Roman" w:eastAsia="宋体" w:cs="Times New Roman"/>
                <w:kern w:val="0"/>
                <w:sz w:val="21"/>
                <w:szCs w:val="21"/>
                <w:lang w:val="en-US" w:eastAsia="zh-CN" w:bidi="ar"/>
              </w:rPr>
              <w:t>)</w:t>
            </w:r>
          </w:p>
        </w:tc>
        <w:tc>
          <w:tcPr>
            <w:tcW w:w="2500" w:type="pct"/>
            <w:gridSpan w:val="2"/>
            <w:vAlign w:val="center"/>
          </w:tcPr>
          <w:p w14:paraId="6FCAA443">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64.5 ± 15.7</w:t>
            </w:r>
          </w:p>
        </w:tc>
      </w:tr>
      <w:tr w14:paraId="1284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5D937E54">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 xml:space="preserve">RDW, % </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Mean ± SD</w:t>
            </w:r>
            <w:r>
              <w:rPr>
                <w:rFonts w:hint="eastAsia" w:ascii="Times New Roman" w:hAnsi="Times New Roman" w:eastAsia="宋体" w:cs="Times New Roman"/>
                <w:kern w:val="0"/>
                <w:sz w:val="21"/>
                <w:szCs w:val="21"/>
                <w:lang w:val="en-US" w:eastAsia="zh-CN" w:bidi="ar"/>
              </w:rPr>
              <w:t>)</w:t>
            </w:r>
          </w:p>
        </w:tc>
        <w:tc>
          <w:tcPr>
            <w:tcW w:w="2500" w:type="pct"/>
            <w:gridSpan w:val="2"/>
            <w:vAlign w:val="center"/>
          </w:tcPr>
          <w:p w14:paraId="7893F397">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15.87 ± 2.38</w:t>
            </w:r>
          </w:p>
        </w:tc>
      </w:tr>
      <w:tr w14:paraId="416A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2D86001E">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Pearson Correlation Coefficient</w:t>
            </w:r>
          </w:p>
        </w:tc>
        <w:tc>
          <w:tcPr>
            <w:tcW w:w="2500" w:type="pct"/>
            <w:gridSpan w:val="2"/>
            <w:vAlign w:val="center"/>
          </w:tcPr>
          <w:p w14:paraId="18C7A466">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0.0537</w:t>
            </w:r>
          </w:p>
        </w:tc>
      </w:tr>
      <w:tr w14:paraId="70ACB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5B45A71C">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Correlation p-value</w:t>
            </w:r>
          </w:p>
        </w:tc>
        <w:tc>
          <w:tcPr>
            <w:tcW w:w="2500" w:type="pct"/>
            <w:gridSpan w:val="2"/>
            <w:vAlign w:val="center"/>
          </w:tcPr>
          <w:p w14:paraId="098F0683">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val="en-US" w:eastAsia="zh-CN"/>
              </w:rPr>
            </w:pPr>
            <w:r>
              <w:rPr>
                <w:rFonts w:hint="eastAsia" w:ascii="Times New Roman" w:hAnsi="Times New Roman" w:eastAsia="宋体" w:cs="Times New Roman"/>
                <w:kern w:val="0"/>
                <w:sz w:val="21"/>
                <w:szCs w:val="21"/>
                <w:lang w:val="en-US" w:eastAsia="zh-CN" w:bidi="ar"/>
              </w:rPr>
              <w:t>&lt;</w:t>
            </w:r>
            <w:r>
              <w:rPr>
                <w:rFonts w:hint="default" w:ascii="Times New Roman" w:hAnsi="Times New Roman" w:eastAsia="宋体" w:cs="Times New Roman"/>
                <w:kern w:val="0"/>
                <w:sz w:val="21"/>
                <w:szCs w:val="21"/>
                <w:lang w:val="en-US" w:eastAsia="zh-CN" w:bidi="ar"/>
              </w:rPr>
              <w:t>0.001</w:t>
            </w:r>
          </w:p>
        </w:tc>
      </w:tr>
      <w:tr w14:paraId="0B46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10AD27FA">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 xml:space="preserve">Linear Model </w:t>
            </w:r>
            <w:r>
              <w:rPr>
                <w:rFonts w:hint="default" w:ascii="Times New Roman" w:hAnsi="Times New Roman" w:eastAsia="宋体" w:cs="Times New Roman"/>
                <w:i/>
                <w:iCs/>
                <w:kern w:val="0"/>
                <w:sz w:val="21"/>
                <w:szCs w:val="21"/>
                <w:lang w:val="en-US" w:eastAsia="zh-CN" w:bidi="ar"/>
              </w:rPr>
              <w:t>R²</w:t>
            </w:r>
          </w:p>
        </w:tc>
        <w:tc>
          <w:tcPr>
            <w:tcW w:w="2500" w:type="pct"/>
            <w:gridSpan w:val="2"/>
            <w:vAlign w:val="center"/>
          </w:tcPr>
          <w:p w14:paraId="5EAA6EDD">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0.002884</w:t>
            </w:r>
          </w:p>
        </w:tc>
      </w:tr>
      <w:tr w14:paraId="7FA9C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50429E58">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 xml:space="preserve">GAM Model </w:t>
            </w:r>
            <w:r>
              <w:rPr>
                <w:rFonts w:hint="default" w:ascii="Times New Roman" w:hAnsi="Times New Roman" w:eastAsia="宋体" w:cs="Times New Roman"/>
                <w:i/>
                <w:iCs/>
                <w:kern w:val="0"/>
                <w:sz w:val="21"/>
                <w:szCs w:val="21"/>
                <w:lang w:val="en-US" w:eastAsia="zh-CN" w:bidi="ar"/>
              </w:rPr>
              <w:t>R²</w:t>
            </w:r>
          </w:p>
        </w:tc>
        <w:tc>
          <w:tcPr>
            <w:tcW w:w="2500" w:type="pct"/>
            <w:gridSpan w:val="2"/>
            <w:vAlign w:val="center"/>
          </w:tcPr>
          <w:p w14:paraId="47B1D812">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0.006472</w:t>
            </w:r>
          </w:p>
        </w:tc>
      </w:tr>
      <w:tr w14:paraId="66FE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0" w:type="pct"/>
            <w:gridSpan w:val="2"/>
            <w:vAlign w:val="center"/>
          </w:tcPr>
          <w:p w14:paraId="3C6E23E4">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 xml:space="preserve">GAM Relative Improvement </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w:t>
            </w:r>
            <w:r>
              <w:rPr>
                <w:rFonts w:hint="eastAsia" w:ascii="Times New Roman" w:hAnsi="Times New Roman" w:eastAsia="宋体" w:cs="Times New Roman"/>
                <w:kern w:val="0"/>
                <w:sz w:val="21"/>
                <w:szCs w:val="21"/>
                <w:lang w:val="en-US" w:eastAsia="zh-CN" w:bidi="ar"/>
              </w:rPr>
              <w:t>)</w:t>
            </w:r>
          </w:p>
        </w:tc>
        <w:tc>
          <w:tcPr>
            <w:tcW w:w="2500" w:type="pct"/>
            <w:gridSpan w:val="2"/>
            <w:vAlign w:val="center"/>
          </w:tcPr>
          <w:p w14:paraId="7489085C">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124.43</w:t>
            </w:r>
          </w:p>
        </w:tc>
      </w:tr>
      <w:tr w14:paraId="0B89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0" w:type="pct"/>
            <w:gridSpan w:val="2"/>
            <w:vAlign w:val="center"/>
          </w:tcPr>
          <w:p w14:paraId="3275028E">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 xml:space="preserve">GAM Absolute Improvement </w:t>
            </w:r>
            <w:r>
              <w:rPr>
                <w:rFonts w:hint="eastAsia" w:ascii="Times New Roman" w:hAnsi="Times New Roman" w:eastAsia="宋体" w:cs="Times New Roman"/>
                <w:kern w:val="0"/>
                <w:sz w:val="21"/>
                <w:szCs w:val="21"/>
                <w:lang w:val="en-US" w:eastAsia="zh-CN" w:bidi="ar"/>
              </w:rPr>
              <w:t>(</w:t>
            </w:r>
            <w:r>
              <w:rPr>
                <w:rFonts w:hint="default" w:ascii="Times New Roman" w:hAnsi="Times New Roman" w:eastAsia="宋体" w:cs="Times New Roman"/>
                <w:kern w:val="0"/>
                <w:sz w:val="21"/>
                <w:szCs w:val="21"/>
                <w:lang w:val="en-US" w:eastAsia="zh-CN" w:bidi="ar"/>
              </w:rPr>
              <w:t>percentage points</w:t>
            </w:r>
            <w:r>
              <w:rPr>
                <w:rFonts w:hint="eastAsia" w:ascii="Times New Roman" w:hAnsi="Times New Roman" w:eastAsia="宋体" w:cs="Times New Roman"/>
                <w:kern w:val="0"/>
                <w:sz w:val="21"/>
                <w:szCs w:val="21"/>
                <w:lang w:val="en-US" w:eastAsia="zh-CN" w:bidi="ar"/>
              </w:rPr>
              <w:t>)</w:t>
            </w:r>
          </w:p>
        </w:tc>
        <w:tc>
          <w:tcPr>
            <w:tcW w:w="2500" w:type="pct"/>
            <w:gridSpan w:val="2"/>
            <w:vAlign w:val="center"/>
          </w:tcPr>
          <w:p w14:paraId="1398DFCB">
            <w:pPr>
              <w:keepNext w:val="0"/>
              <w:keepLines w:val="0"/>
              <w:widowControl/>
              <w:suppressLineNumbers w:val="0"/>
              <w:spacing w:before="0" w:beforeAutospacing="0" w:after="0" w:afterAutospacing="0"/>
              <w:ind w:left="0" w:right="0"/>
              <w:jc w:val="center"/>
              <w:rPr>
                <w:rFonts w:hint="default" w:ascii="Times New Roman" w:hAnsi="Times New Roman" w:cs="Times New Roman"/>
                <w:sz w:val="21"/>
                <w:szCs w:val="21"/>
                <w:vertAlign w:val="baseline"/>
                <w:lang w:eastAsia="zh-CN"/>
              </w:rPr>
            </w:pPr>
            <w:r>
              <w:rPr>
                <w:rFonts w:hint="default" w:ascii="Times New Roman" w:hAnsi="Times New Roman" w:eastAsia="宋体" w:cs="Times New Roman"/>
                <w:kern w:val="0"/>
                <w:sz w:val="21"/>
                <w:szCs w:val="21"/>
                <w:lang w:val="en-US" w:eastAsia="zh-CN" w:bidi="ar"/>
              </w:rPr>
              <w:t>0.36</w:t>
            </w:r>
          </w:p>
        </w:tc>
      </w:tr>
    </w:tbl>
    <w:p w14:paraId="1F6B1C18">
      <w:pPr>
        <w:spacing w:line="360" w:lineRule="exact"/>
        <w:ind w:firstLine="210" w:firstLineChars="100"/>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Supplementary Figure S2.Methodological validation of linear relationship assumptions for age-weighted red cell distribution width index construction.</w:t>
      </w:r>
    </w:p>
    <w:p w14:paraId="55ED5549">
      <w:pPr>
        <w:spacing w:line="360" w:lineRule="exact"/>
        <w:ind w:firstLine="210" w:firstLineChars="100"/>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(A)Foundational correlation analysis between age and red cell distribution width. Scatter plot demonstrates the weak positive correlation (Pearson r = 0.0537, P &lt; 0.001) between patient age and red cell distribution width that provides the theoretical foundation for age adjustment. Individual data points (grey, α = 0.3, n = 24,709) represent critically ill patients with acute respiratory failure. The near-perfect concordance between linear regression (red line) and LOESS smoothing curves (blue line) supports the appropriateness of linear modeling approaches. The weak but statistically significant correlation supports the rationale for linear age adjustment while confirming that age and RDW encode largely independent biological information.</w:t>
      </w:r>
    </w:p>
    <w:p w14:paraId="1EEE1252">
      <w:pPr>
        <w:spacing w:line="360" w:lineRule="exact"/>
        <w:ind w:firstLine="210" w:firstLineChars="100"/>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(B) Linear model assumption validation through residual analysis. Diagnostic plot evaluating the validity of linear regression assumptions by examining the distribution of residuals against fitted values from the age-RDW linear model. The random scatter of residuals around zero (black dashed horizontal line) with no systematic patterns indicates satisfaction of key linear model assumptions including homoscedasticity and absence of non-linear relationships. The red LOESS smoothing line remains approximately horizontal across all fitted values, confirming the absence of systematic bias. Successful validation of these assumptions supports the theoretical foundation for implementing simple linear adjustment methods in AWRI construction.</w:t>
      </w:r>
    </w:p>
    <w:p w14:paraId="596B5567">
      <w:pPr>
        <w:spacing w:line="360" w:lineRule="exact"/>
        <w:ind w:firstLine="210" w:firstLineChars="100"/>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(C) Comparative performance evaluation between linear and generalized additive models. Direct comparison of predictive performance demonstrates near-identical prediction curves between linear regression (red line) and generalized additive modeling (blue line) approaches across the entire age spectrum. Despite a substantial relative improvement of 124.43% in explained deviance for the GAM model, the visual overlay of prediction lines illustrates that this represents minimal absolute improvement (0.36 percentage points). This finding exemplifies the application of Occam's razor principle in statistical modeling, where the simpler linear approach is preferred when complex non-linear methods provide negligible practical benefits</w:t>
      </w:r>
      <w:r>
        <w:rPr>
          <w:rFonts w:hint="eastAsia" w:ascii="Times New Roman" w:hAnsi="Times New Roman" w:eastAsia="楷体"/>
          <w:b w:val="0"/>
          <w:sz w:val="21"/>
          <w:szCs w:val="21"/>
          <w:lang w:val="en-US" w:eastAsia="zh-CN"/>
        </w:rPr>
        <w:t xml:space="preserve"> </w:t>
      </w:r>
      <w:r>
        <w:rPr>
          <w:rFonts w:hint="eastAsia" w:ascii="Times New Roman" w:hAnsi="Times New Roman" w:eastAsia="楷体"/>
          <w:b w:val="0"/>
          <w:sz w:val="21"/>
          <w:szCs w:val="21"/>
          <w:lang w:eastAsia="zh-CN"/>
        </w:rPr>
        <w:t>[3</w:t>
      </w:r>
      <w:r>
        <w:rPr>
          <w:rFonts w:hint="eastAsia" w:ascii="Times New Roman" w:hAnsi="Times New Roman" w:eastAsia="楷体"/>
          <w:b w:val="0"/>
          <w:sz w:val="21"/>
          <w:szCs w:val="21"/>
          <w:lang w:val="en-US" w:eastAsia="zh-CN"/>
        </w:rPr>
        <w:t>2</w:t>
      </w:r>
      <w:r>
        <w:rPr>
          <w:rFonts w:hint="eastAsia" w:ascii="Times New Roman" w:hAnsi="Times New Roman" w:eastAsia="楷体"/>
          <w:b w:val="0"/>
          <w:sz w:val="21"/>
          <w:szCs w:val="21"/>
          <w:lang w:eastAsia="zh-CN"/>
        </w:rPr>
        <w:t>–3</w:t>
      </w:r>
      <w:r>
        <w:rPr>
          <w:rFonts w:hint="eastAsia" w:ascii="Times New Roman" w:hAnsi="Times New Roman" w:eastAsia="楷体"/>
          <w:b w:val="0"/>
          <w:sz w:val="21"/>
          <w:szCs w:val="21"/>
          <w:lang w:val="en-US" w:eastAsia="zh-CN"/>
        </w:rPr>
        <w:t>3</w:t>
      </w:r>
      <w:r>
        <w:rPr>
          <w:rFonts w:hint="eastAsia" w:ascii="Times New Roman" w:hAnsi="Times New Roman" w:eastAsia="楷体"/>
          <w:b w:val="0"/>
          <w:sz w:val="21"/>
          <w:szCs w:val="21"/>
          <w:lang w:eastAsia="zh-CN"/>
        </w:rPr>
        <w:t>]. The grey background points represent the same patient cohort as in panels A and B, maintaining visual consistency across the analytical sequence.</w:t>
      </w:r>
    </w:p>
    <w:p w14:paraId="4DB0F6FD">
      <w:pPr>
        <w:spacing w:line="360" w:lineRule="exact"/>
        <w:ind w:firstLine="210" w:firstLineChars="100"/>
        <w:jc w:val="both"/>
        <w:rPr>
          <w:rFonts w:ascii="Times New Roman" w:hAnsi="Times New Roman" w:eastAsia="楷体"/>
          <w:b w:val="0"/>
          <w:bCs/>
          <w:sz w:val="18"/>
          <w:szCs w:val="18"/>
        </w:rPr>
        <w:sectPr>
          <w:pgSz w:w="16838" w:h="11906" w:orient="landscape"/>
          <w:pgMar w:top="1418" w:right="1440" w:bottom="1418" w:left="1440" w:header="851" w:footer="992" w:gutter="0"/>
          <w:pgBorders>
            <w:top w:val="none" w:sz="0" w:space="0"/>
            <w:left w:val="none" w:sz="0" w:space="0"/>
            <w:bottom w:val="none" w:sz="0" w:space="0"/>
            <w:right w:val="none" w:sz="0" w:space="0"/>
          </w:pgBorders>
          <w:pgNumType w:fmt="numberInDash"/>
          <w:cols w:space="425" w:num="1"/>
          <w:docGrid w:linePitch="312" w:charSpace="0"/>
        </w:sectPr>
      </w:pPr>
      <w:r>
        <w:rPr>
          <w:rFonts w:hint="eastAsia" w:ascii="Times New Roman" w:hAnsi="Times New Roman" w:eastAsia="楷体"/>
          <w:b w:val="0"/>
          <w:sz w:val="21"/>
          <w:szCs w:val="21"/>
          <w:lang w:eastAsia="zh-CN"/>
        </w:rPr>
        <w:t>(D) Statistical Summary of Age-RDW Relationship Analysis and Model Comparison.Abbreviations: RDW, red cell distribution width; GAM, generalized additive model; SD, standard deviation.Statistical significance was set at p &lt; 0.05. The correlation analysis demonstrates a statistically significant but weak association between age and RDW. Model comparison reveals that while GAM shows substantial relative improvement over linear modeling, the absolute improvement remains minimal, supporting the use of simpler linear adjustment methods for AWRI construction.</w:t>
      </w:r>
    </w:p>
    <w:p w14:paraId="329C6DBB">
      <w:pPr>
        <w:numPr>
          <w:ilvl w:val="0"/>
          <w:numId w:val="0"/>
        </w:numPr>
        <w:rPr>
          <w:rFonts w:hint="eastAsia" w:ascii="Times New Roman" w:hAnsi="Times New Roman" w:eastAsia="宋体" w:cs="Times New Roman"/>
          <w:lang w:val="en-US" w:eastAsia="zh-CN"/>
        </w:rPr>
      </w:pPr>
    </w:p>
    <w:p w14:paraId="031A5F84">
      <w:pPr>
        <w:numPr>
          <w:ilvl w:val="0"/>
          <w:numId w:val="0"/>
        </w:numPr>
        <w:rPr>
          <w:rFonts w:hint="default" w:ascii="Times New Roman" w:hAnsi="Times New Roman" w:cs="Times New Roman" w:eastAsiaTheme="minorEastAsia"/>
          <w:lang w:eastAsia="zh-CN"/>
        </w:rPr>
      </w:pP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A</w:t>
      </w:r>
      <w:r>
        <w:rPr>
          <w:rFonts w:hint="eastAsia" w:ascii="Times New Roman" w:hAnsi="Times New Roman" w:eastAsia="宋体" w:cs="Times New Roman"/>
          <w:lang w:val="en-US" w:eastAsia="zh-CN"/>
        </w:rPr>
        <w:t>)</w:t>
      </w:r>
    </w:p>
    <w:p w14:paraId="4D16C2CC">
      <w:pPr>
        <w:numPr>
          <w:ilvl w:val="0"/>
          <w:numId w:val="0"/>
        </w:num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753735" cy="3432175"/>
            <wp:effectExtent l="0" t="0" r="6985" b="12065"/>
            <wp:docPr id="20" name="图片 20" descr="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Rplot"/>
                    <pic:cNvPicPr>
                      <a:picLocks noChangeAspect="1"/>
                    </pic:cNvPicPr>
                  </pic:nvPicPr>
                  <pic:blipFill>
                    <a:blip r:embed="rId32"/>
                    <a:stretch>
                      <a:fillRect/>
                    </a:stretch>
                  </pic:blipFill>
                  <pic:spPr>
                    <a:xfrm>
                      <a:off x="0" y="0"/>
                      <a:ext cx="5753735" cy="3432175"/>
                    </a:xfrm>
                    <a:prstGeom prst="rect">
                      <a:avLst/>
                    </a:prstGeom>
                  </pic:spPr>
                </pic:pic>
              </a:graphicData>
            </a:graphic>
          </wp:inline>
        </w:drawing>
      </w:r>
    </w:p>
    <w:p w14:paraId="39E4E3EF">
      <w:pPr>
        <w:widowControl w:val="0"/>
        <w:numPr>
          <w:ilvl w:val="0"/>
          <w:numId w:val="0"/>
        </w:numPr>
        <w:jc w:val="both"/>
        <w:rPr>
          <w:rFonts w:hint="eastAsia" w:ascii="Times New Roman" w:hAnsi="Times New Roman" w:cs="Times New Roman"/>
          <w:lang w:val="en-US" w:eastAsia="zh-CN"/>
        </w:rPr>
      </w:pPr>
    </w:p>
    <w:p w14:paraId="74646C78">
      <w:pPr>
        <w:widowControl w:val="0"/>
        <w:numPr>
          <w:ilvl w:val="0"/>
          <w:numId w:val="0"/>
        </w:numPr>
        <w:jc w:val="both"/>
        <w:rPr>
          <w:rFonts w:hint="default" w:ascii="Times New Roman" w:hAnsi="Times New Roman" w:cs="Times New Roman" w:eastAsiaTheme="minorEastAsia"/>
          <w:lang w:val="en-US" w:eastAsia="zh-CN"/>
        </w:rPr>
      </w:pPr>
      <w:r>
        <w:rPr>
          <w:rFonts w:hint="eastAsia" w:ascii="Times New Roman" w:hAnsi="Times New Roman" w:eastAsia="宋体" w:cs="Times New Roman"/>
          <w:lang w:val="en-US" w:eastAsia="zh-CN"/>
        </w:rPr>
        <w:t>(</w:t>
      </w:r>
      <w:r>
        <w:rPr>
          <w:rFonts w:hint="eastAsia" w:ascii="Times New Roman" w:hAnsi="Times New Roman" w:cs="Times New Roman"/>
          <w:lang w:val="en-US" w:eastAsia="zh-CN"/>
        </w:rPr>
        <w:t>B</w:t>
      </w:r>
      <w:r>
        <w:rPr>
          <w:rFonts w:hint="eastAsia" w:ascii="Times New Roman" w:hAnsi="Times New Roman" w:eastAsia="宋体" w:cs="Times New Roman"/>
          <w:lang w:val="en-US" w:eastAsia="zh-CN"/>
        </w:rPr>
        <w:t>)</w:t>
      </w:r>
    </w:p>
    <w:tbl>
      <w:tblPr>
        <w:tblStyle w:val="12"/>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539"/>
        <w:gridCol w:w="1861"/>
        <w:gridCol w:w="1236"/>
        <w:gridCol w:w="1408"/>
        <w:gridCol w:w="1918"/>
      </w:tblGrid>
      <w:tr w14:paraId="1A54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single" w:color="auto" w:sz="12" w:space="0"/>
              <w:left w:val="nil"/>
              <w:bottom w:val="single" w:color="auto" w:sz="8" w:space="0"/>
              <w:right w:val="nil"/>
            </w:tcBorders>
            <w:vAlign w:val="center"/>
          </w:tcPr>
          <w:p w14:paraId="2671BE5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i w:val="0"/>
                <w:iCs w:val="0"/>
                <w:kern w:val="0"/>
                <w:sz w:val="15"/>
                <w:szCs w:val="15"/>
                <w:lang w:val="en-US" w:eastAsia="zh-CN" w:bidi="ar"/>
              </w:rPr>
              <w:t>k</w:t>
            </w:r>
            <w:r>
              <w:rPr>
                <w:rFonts w:hint="default" w:ascii="Times New Roman" w:hAnsi="Times New Roman" w:eastAsia="宋体" w:cs="Times New Roman"/>
                <w:b/>
                <w:bCs/>
                <w:i/>
                <w:iCs/>
                <w:kern w:val="0"/>
                <w:sz w:val="15"/>
                <w:szCs w:val="15"/>
                <w:lang w:val="en-US" w:eastAsia="zh-CN" w:bidi="ar"/>
              </w:rPr>
              <w:t xml:space="preserve"> </w:t>
            </w:r>
            <w:r>
              <w:rPr>
                <w:rFonts w:hint="default" w:ascii="Times New Roman" w:hAnsi="Times New Roman" w:eastAsia="宋体" w:cs="Times New Roman"/>
                <w:b/>
                <w:bCs/>
                <w:kern w:val="0"/>
                <w:sz w:val="15"/>
                <w:szCs w:val="15"/>
                <w:lang w:val="en-US" w:eastAsia="zh-CN" w:bidi="ar"/>
              </w:rPr>
              <w:t>Parameter</w:t>
            </w:r>
          </w:p>
        </w:tc>
        <w:tc>
          <w:tcPr>
            <w:tcW w:w="0" w:type="auto"/>
            <w:tcBorders>
              <w:top w:val="single" w:color="auto" w:sz="12" w:space="0"/>
              <w:left w:val="nil"/>
              <w:bottom w:val="single" w:color="auto" w:sz="8" w:space="0"/>
              <w:right w:val="nil"/>
            </w:tcBorders>
            <w:vAlign w:val="center"/>
          </w:tcPr>
          <w:p w14:paraId="0D27048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 xml:space="preserve">AUC </w:t>
            </w:r>
            <w:r>
              <w:rPr>
                <w:rFonts w:hint="eastAsia" w:ascii="Times New Roman" w:hAnsi="Times New Roman" w:eastAsia="宋体" w:cs="Times New Roman"/>
                <w:b/>
                <w:bCs/>
                <w:kern w:val="0"/>
                <w:sz w:val="15"/>
                <w:szCs w:val="15"/>
                <w:lang w:val="en-US" w:eastAsia="zh-CN" w:bidi="ar"/>
              </w:rPr>
              <w:t>(</w:t>
            </w:r>
            <w:r>
              <w:rPr>
                <w:rFonts w:hint="default" w:ascii="Times New Roman" w:hAnsi="Times New Roman" w:eastAsia="宋体" w:cs="Times New Roman"/>
                <w:b/>
                <w:bCs/>
                <w:kern w:val="0"/>
                <w:sz w:val="15"/>
                <w:szCs w:val="15"/>
                <w:lang w:val="en-US" w:eastAsia="zh-CN" w:bidi="ar"/>
              </w:rPr>
              <w:t>95% CI</w:t>
            </w:r>
            <w:r>
              <w:rPr>
                <w:rFonts w:hint="eastAsia" w:ascii="Times New Roman" w:hAnsi="Times New Roman" w:eastAsia="宋体" w:cs="Times New Roman"/>
                <w:b/>
                <w:bCs/>
                <w:kern w:val="0"/>
                <w:sz w:val="15"/>
                <w:szCs w:val="15"/>
                <w:lang w:val="en-US" w:eastAsia="zh-CN" w:bidi="ar"/>
              </w:rPr>
              <w:t>)</w:t>
            </w:r>
          </w:p>
        </w:tc>
        <w:tc>
          <w:tcPr>
            <w:tcW w:w="0" w:type="auto"/>
            <w:tcBorders>
              <w:top w:val="single" w:color="auto" w:sz="12" w:space="0"/>
              <w:left w:val="nil"/>
              <w:bottom w:val="single" w:color="auto" w:sz="8" w:space="0"/>
              <w:right w:val="nil"/>
            </w:tcBorders>
            <w:vAlign w:val="center"/>
          </w:tcPr>
          <w:p w14:paraId="2A38CFE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 xml:space="preserve">HR Q4 vs Q1 </w:t>
            </w:r>
            <w:r>
              <w:rPr>
                <w:rFonts w:hint="eastAsia" w:ascii="Times New Roman" w:hAnsi="Times New Roman" w:eastAsia="宋体" w:cs="Times New Roman"/>
                <w:b/>
                <w:bCs/>
                <w:kern w:val="0"/>
                <w:sz w:val="15"/>
                <w:szCs w:val="15"/>
                <w:lang w:val="en-US" w:eastAsia="zh-CN" w:bidi="ar"/>
              </w:rPr>
              <w:t>(</w:t>
            </w:r>
            <w:r>
              <w:rPr>
                <w:rFonts w:hint="default" w:ascii="Times New Roman" w:hAnsi="Times New Roman" w:eastAsia="宋体" w:cs="Times New Roman"/>
                <w:b/>
                <w:bCs/>
                <w:kern w:val="0"/>
                <w:sz w:val="15"/>
                <w:szCs w:val="15"/>
                <w:lang w:val="en-US" w:eastAsia="zh-CN" w:bidi="ar"/>
              </w:rPr>
              <w:t>95% CI</w:t>
            </w:r>
            <w:r>
              <w:rPr>
                <w:rFonts w:hint="eastAsia" w:ascii="Times New Roman" w:hAnsi="Times New Roman" w:eastAsia="宋体" w:cs="Times New Roman"/>
                <w:b/>
                <w:bCs/>
                <w:kern w:val="0"/>
                <w:sz w:val="15"/>
                <w:szCs w:val="15"/>
                <w:lang w:val="en-US" w:eastAsia="zh-CN" w:bidi="ar"/>
              </w:rPr>
              <w:t>)</w:t>
            </w:r>
          </w:p>
        </w:tc>
        <w:tc>
          <w:tcPr>
            <w:tcW w:w="0" w:type="auto"/>
            <w:tcBorders>
              <w:top w:val="single" w:color="auto" w:sz="12" w:space="0"/>
              <w:left w:val="nil"/>
              <w:bottom w:val="single" w:color="auto" w:sz="8" w:space="0"/>
              <w:right w:val="nil"/>
            </w:tcBorders>
            <w:vAlign w:val="center"/>
          </w:tcPr>
          <w:p w14:paraId="4445977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 xml:space="preserve">Trend </w:t>
            </w:r>
            <w:r>
              <w:rPr>
                <w:rFonts w:hint="default" w:ascii="Times New Roman" w:hAnsi="Times New Roman" w:eastAsia="宋体" w:cs="Times New Roman"/>
                <w:b/>
                <w:bCs/>
                <w:i/>
                <w:iCs/>
                <w:kern w:val="0"/>
                <w:sz w:val="15"/>
                <w:szCs w:val="15"/>
                <w:lang w:val="en-US" w:eastAsia="zh-CN" w:bidi="ar"/>
              </w:rPr>
              <w:t>P</w:t>
            </w:r>
            <w:r>
              <w:rPr>
                <w:rFonts w:hint="default" w:ascii="Times New Roman" w:hAnsi="Times New Roman" w:eastAsia="宋体" w:cs="Times New Roman"/>
                <w:b/>
                <w:bCs/>
                <w:kern w:val="0"/>
                <w:sz w:val="15"/>
                <w:szCs w:val="15"/>
                <w:lang w:val="en-US" w:eastAsia="zh-CN" w:bidi="ar"/>
              </w:rPr>
              <w:t>-value</w:t>
            </w:r>
          </w:p>
        </w:tc>
        <w:tc>
          <w:tcPr>
            <w:tcW w:w="0" w:type="auto"/>
            <w:tcBorders>
              <w:top w:val="single" w:color="auto" w:sz="12" w:space="0"/>
              <w:left w:val="nil"/>
              <w:bottom w:val="single" w:color="auto" w:sz="8" w:space="0"/>
              <w:right w:val="nil"/>
            </w:tcBorders>
            <w:vAlign w:val="center"/>
          </w:tcPr>
          <w:p w14:paraId="4638410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Composite Score</w:t>
            </w:r>
          </w:p>
        </w:tc>
        <w:tc>
          <w:tcPr>
            <w:tcW w:w="1918" w:type="dxa"/>
            <w:tcBorders>
              <w:top w:val="single" w:color="auto" w:sz="12" w:space="0"/>
              <w:left w:val="nil"/>
              <w:bottom w:val="single" w:color="auto" w:sz="8" w:space="0"/>
              <w:right w:val="nil"/>
            </w:tcBorders>
            <w:vAlign w:val="center"/>
          </w:tcPr>
          <w:p w14:paraId="60FB74A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Selection Status</w:t>
            </w:r>
          </w:p>
        </w:tc>
      </w:tr>
      <w:tr w14:paraId="2E48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single" w:color="auto" w:sz="8" w:space="0"/>
              <w:left w:val="nil"/>
              <w:bottom w:val="nil"/>
              <w:right w:val="nil"/>
            </w:tcBorders>
            <w:vAlign w:val="center"/>
          </w:tcPr>
          <w:p w14:paraId="4F54B13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25</w:t>
            </w:r>
          </w:p>
        </w:tc>
        <w:tc>
          <w:tcPr>
            <w:tcW w:w="0" w:type="auto"/>
            <w:tcBorders>
              <w:top w:val="single" w:color="auto" w:sz="8" w:space="0"/>
              <w:left w:val="nil"/>
              <w:bottom w:val="nil"/>
              <w:right w:val="nil"/>
            </w:tcBorders>
            <w:vAlign w:val="center"/>
          </w:tcPr>
          <w:p w14:paraId="47AE7A3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0.612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0.603-0.621</w:t>
            </w:r>
            <w:r>
              <w:rPr>
                <w:rFonts w:hint="eastAsia" w:ascii="Times New Roman" w:hAnsi="Times New Roman" w:eastAsia="宋体" w:cs="Times New Roman"/>
                <w:kern w:val="0"/>
                <w:sz w:val="15"/>
                <w:szCs w:val="15"/>
                <w:lang w:val="en-US" w:eastAsia="zh-CN" w:bidi="ar"/>
              </w:rPr>
              <w:t>)</w:t>
            </w:r>
          </w:p>
        </w:tc>
        <w:tc>
          <w:tcPr>
            <w:tcW w:w="0" w:type="auto"/>
            <w:tcBorders>
              <w:top w:val="single" w:color="auto" w:sz="8" w:space="0"/>
              <w:left w:val="nil"/>
              <w:bottom w:val="nil"/>
              <w:right w:val="nil"/>
            </w:tcBorders>
            <w:vAlign w:val="center"/>
          </w:tcPr>
          <w:p w14:paraId="5AA5AE0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2.50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2.30-2.73</w:t>
            </w:r>
            <w:r>
              <w:rPr>
                <w:rFonts w:hint="eastAsia" w:ascii="Times New Roman" w:hAnsi="Times New Roman" w:eastAsia="宋体" w:cs="Times New Roman"/>
                <w:kern w:val="0"/>
                <w:sz w:val="15"/>
                <w:szCs w:val="15"/>
                <w:lang w:val="en-US" w:eastAsia="zh-CN" w:bidi="ar"/>
              </w:rPr>
              <w:t>)</w:t>
            </w:r>
          </w:p>
        </w:tc>
        <w:tc>
          <w:tcPr>
            <w:tcW w:w="0" w:type="auto"/>
            <w:tcBorders>
              <w:top w:val="single" w:color="auto" w:sz="8" w:space="0"/>
              <w:left w:val="nil"/>
              <w:bottom w:val="nil"/>
              <w:right w:val="nil"/>
            </w:tcBorders>
            <w:vAlign w:val="center"/>
          </w:tcPr>
          <w:p w14:paraId="4157D6D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&lt;0.001</w:t>
            </w:r>
          </w:p>
        </w:tc>
        <w:tc>
          <w:tcPr>
            <w:tcW w:w="0" w:type="auto"/>
            <w:tcBorders>
              <w:top w:val="single" w:color="auto" w:sz="8" w:space="0"/>
              <w:left w:val="nil"/>
              <w:bottom w:val="nil"/>
              <w:right w:val="nil"/>
            </w:tcBorders>
            <w:vAlign w:val="center"/>
          </w:tcPr>
          <w:p w14:paraId="0E9DB8A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66.31</w:t>
            </w:r>
          </w:p>
        </w:tc>
        <w:tc>
          <w:tcPr>
            <w:tcW w:w="1918" w:type="dxa"/>
            <w:tcBorders>
              <w:top w:val="single" w:color="auto" w:sz="8" w:space="0"/>
              <w:left w:val="nil"/>
              <w:bottom w:val="nil"/>
              <w:right w:val="nil"/>
            </w:tcBorders>
            <w:vAlign w:val="center"/>
          </w:tcPr>
          <w:p w14:paraId="4289816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Candidate</w:t>
            </w:r>
          </w:p>
        </w:tc>
      </w:tr>
      <w:tr w14:paraId="1D67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5993A0F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50</w:t>
            </w:r>
          </w:p>
        </w:tc>
        <w:tc>
          <w:tcPr>
            <w:tcW w:w="0" w:type="auto"/>
            <w:tcBorders>
              <w:top w:val="nil"/>
              <w:left w:val="nil"/>
              <w:bottom w:val="nil"/>
              <w:right w:val="nil"/>
            </w:tcBorders>
            <w:vAlign w:val="center"/>
          </w:tcPr>
          <w:p w14:paraId="5D35D6FC">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0.612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0.603-0.620</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5D4EF51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2.53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2.32-2.76</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26233CB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&lt;0.001</w:t>
            </w:r>
          </w:p>
        </w:tc>
        <w:tc>
          <w:tcPr>
            <w:tcW w:w="0" w:type="auto"/>
            <w:tcBorders>
              <w:top w:val="nil"/>
              <w:left w:val="nil"/>
              <w:bottom w:val="nil"/>
              <w:right w:val="nil"/>
            </w:tcBorders>
            <w:vAlign w:val="center"/>
          </w:tcPr>
          <w:p w14:paraId="7EDBB99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72.56</w:t>
            </w:r>
          </w:p>
        </w:tc>
        <w:tc>
          <w:tcPr>
            <w:tcW w:w="1918" w:type="dxa"/>
            <w:tcBorders>
              <w:top w:val="nil"/>
              <w:left w:val="nil"/>
              <w:bottom w:val="nil"/>
              <w:right w:val="nil"/>
            </w:tcBorders>
            <w:vAlign w:val="center"/>
          </w:tcPr>
          <w:p w14:paraId="73181AC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Best Statistical Performance</w:t>
            </w:r>
          </w:p>
        </w:tc>
      </w:tr>
      <w:tr w14:paraId="3651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14600327">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75</w:t>
            </w:r>
          </w:p>
        </w:tc>
        <w:tc>
          <w:tcPr>
            <w:tcW w:w="0" w:type="auto"/>
            <w:tcBorders>
              <w:top w:val="nil"/>
              <w:left w:val="nil"/>
              <w:bottom w:val="nil"/>
              <w:right w:val="nil"/>
            </w:tcBorders>
            <w:vAlign w:val="center"/>
          </w:tcPr>
          <w:p w14:paraId="3628ACD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0.610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0.601-0.619</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7A5DEF6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2.50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2.29-2.72</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761618E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&lt;0.001</w:t>
            </w:r>
          </w:p>
        </w:tc>
        <w:tc>
          <w:tcPr>
            <w:tcW w:w="0" w:type="auto"/>
            <w:tcBorders>
              <w:top w:val="nil"/>
              <w:left w:val="nil"/>
              <w:bottom w:val="nil"/>
              <w:right w:val="nil"/>
            </w:tcBorders>
            <w:vAlign w:val="center"/>
          </w:tcPr>
          <w:p w14:paraId="4FD743FC">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63.00</w:t>
            </w:r>
          </w:p>
        </w:tc>
        <w:tc>
          <w:tcPr>
            <w:tcW w:w="1918" w:type="dxa"/>
            <w:tcBorders>
              <w:top w:val="nil"/>
              <w:left w:val="nil"/>
              <w:bottom w:val="nil"/>
              <w:right w:val="nil"/>
            </w:tcBorders>
            <w:vAlign w:val="center"/>
          </w:tcPr>
          <w:p w14:paraId="59E0CB7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Candidate</w:t>
            </w:r>
          </w:p>
        </w:tc>
      </w:tr>
      <w:tr w14:paraId="4798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723858E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100</w:t>
            </w:r>
          </w:p>
        </w:tc>
        <w:tc>
          <w:tcPr>
            <w:tcW w:w="0" w:type="auto"/>
            <w:tcBorders>
              <w:top w:val="nil"/>
              <w:left w:val="nil"/>
              <w:bottom w:val="nil"/>
              <w:right w:val="nil"/>
            </w:tcBorders>
            <w:vAlign w:val="center"/>
          </w:tcPr>
          <w:p w14:paraId="4EC8E4C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 xml:space="preserve">0.608 </w:t>
            </w:r>
            <w:r>
              <w:rPr>
                <w:rStyle w:val="14"/>
                <w:rFonts w:hint="eastAsia" w:ascii="Times New Roman" w:hAnsi="Times New Roman" w:eastAsia="宋体" w:cs="Times New Roman"/>
                <w:kern w:val="0"/>
                <w:sz w:val="15"/>
                <w:szCs w:val="15"/>
                <w:lang w:val="en-US" w:eastAsia="zh-CN" w:bidi="ar"/>
              </w:rPr>
              <w:t>(</w:t>
            </w:r>
            <w:r>
              <w:rPr>
                <w:rStyle w:val="14"/>
                <w:rFonts w:hint="default" w:ascii="Times New Roman" w:hAnsi="Times New Roman" w:eastAsia="宋体" w:cs="Times New Roman"/>
                <w:kern w:val="0"/>
                <w:sz w:val="15"/>
                <w:szCs w:val="15"/>
                <w:lang w:val="en-US" w:eastAsia="zh-CN" w:bidi="ar"/>
              </w:rPr>
              <w:t>0.599-0.617</w:t>
            </w:r>
            <w:r>
              <w:rPr>
                <w:rStyle w:val="14"/>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10D3814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 xml:space="preserve">2.48 </w:t>
            </w:r>
            <w:r>
              <w:rPr>
                <w:rStyle w:val="14"/>
                <w:rFonts w:hint="eastAsia" w:ascii="Times New Roman" w:hAnsi="Times New Roman" w:eastAsia="宋体" w:cs="Times New Roman"/>
                <w:kern w:val="0"/>
                <w:sz w:val="15"/>
                <w:szCs w:val="15"/>
                <w:lang w:val="en-US" w:eastAsia="zh-CN" w:bidi="ar"/>
              </w:rPr>
              <w:t>(</w:t>
            </w:r>
            <w:r>
              <w:rPr>
                <w:rStyle w:val="14"/>
                <w:rFonts w:hint="default" w:ascii="Times New Roman" w:hAnsi="Times New Roman" w:eastAsia="宋体" w:cs="Times New Roman"/>
                <w:kern w:val="0"/>
                <w:sz w:val="15"/>
                <w:szCs w:val="15"/>
                <w:lang w:val="en-US" w:eastAsia="zh-CN" w:bidi="ar"/>
              </w:rPr>
              <w:t>2.27-2.70</w:t>
            </w:r>
            <w:r>
              <w:rPr>
                <w:rStyle w:val="14"/>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4C87734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&lt;0.001</w:t>
            </w:r>
          </w:p>
        </w:tc>
        <w:tc>
          <w:tcPr>
            <w:tcW w:w="0" w:type="auto"/>
            <w:tcBorders>
              <w:top w:val="nil"/>
              <w:left w:val="nil"/>
              <w:bottom w:val="nil"/>
              <w:right w:val="nil"/>
            </w:tcBorders>
            <w:vAlign w:val="center"/>
          </w:tcPr>
          <w:p w14:paraId="65E11BF7">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66.37</w:t>
            </w:r>
          </w:p>
        </w:tc>
        <w:tc>
          <w:tcPr>
            <w:tcW w:w="1918" w:type="dxa"/>
            <w:tcBorders>
              <w:top w:val="nil"/>
              <w:left w:val="nil"/>
              <w:bottom w:val="nil"/>
              <w:right w:val="nil"/>
            </w:tcBorders>
            <w:vAlign w:val="center"/>
          </w:tcPr>
          <w:p w14:paraId="1BEB6EB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Final Selection</w:t>
            </w:r>
          </w:p>
        </w:tc>
      </w:tr>
      <w:tr w14:paraId="2B50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4A61812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125</w:t>
            </w:r>
          </w:p>
        </w:tc>
        <w:tc>
          <w:tcPr>
            <w:tcW w:w="0" w:type="auto"/>
            <w:tcBorders>
              <w:top w:val="nil"/>
              <w:left w:val="nil"/>
              <w:bottom w:val="nil"/>
              <w:right w:val="nil"/>
            </w:tcBorders>
            <w:vAlign w:val="center"/>
          </w:tcPr>
          <w:p w14:paraId="62B70CC9">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0.606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0.597-0.615</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11B74FA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2.44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2.24-2.67</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50D5408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&lt;0.001</w:t>
            </w:r>
          </w:p>
        </w:tc>
        <w:tc>
          <w:tcPr>
            <w:tcW w:w="0" w:type="auto"/>
            <w:tcBorders>
              <w:top w:val="nil"/>
              <w:left w:val="nil"/>
              <w:bottom w:val="nil"/>
              <w:right w:val="nil"/>
            </w:tcBorders>
            <w:vAlign w:val="center"/>
          </w:tcPr>
          <w:p w14:paraId="1D86BF7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54.90</w:t>
            </w:r>
          </w:p>
        </w:tc>
        <w:tc>
          <w:tcPr>
            <w:tcW w:w="1918" w:type="dxa"/>
            <w:tcBorders>
              <w:top w:val="nil"/>
              <w:left w:val="nil"/>
              <w:bottom w:val="nil"/>
              <w:right w:val="nil"/>
            </w:tcBorders>
            <w:vAlign w:val="center"/>
          </w:tcPr>
          <w:p w14:paraId="07B99D3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Candidate</w:t>
            </w:r>
          </w:p>
        </w:tc>
      </w:tr>
      <w:tr w14:paraId="7FAF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6B28F84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150</w:t>
            </w:r>
          </w:p>
        </w:tc>
        <w:tc>
          <w:tcPr>
            <w:tcW w:w="0" w:type="auto"/>
            <w:tcBorders>
              <w:top w:val="nil"/>
              <w:left w:val="nil"/>
              <w:bottom w:val="nil"/>
              <w:right w:val="nil"/>
            </w:tcBorders>
            <w:vAlign w:val="center"/>
          </w:tcPr>
          <w:p w14:paraId="2A292B9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0.604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0.595-0.613</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5BFF91D7">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2.37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2.17-2.59</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291F047B">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&lt;0.001</w:t>
            </w:r>
          </w:p>
        </w:tc>
        <w:tc>
          <w:tcPr>
            <w:tcW w:w="0" w:type="auto"/>
            <w:tcBorders>
              <w:top w:val="nil"/>
              <w:left w:val="nil"/>
              <w:bottom w:val="nil"/>
              <w:right w:val="nil"/>
            </w:tcBorders>
            <w:vAlign w:val="center"/>
          </w:tcPr>
          <w:p w14:paraId="097916A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42.34</w:t>
            </w:r>
          </w:p>
        </w:tc>
        <w:tc>
          <w:tcPr>
            <w:tcW w:w="1918" w:type="dxa"/>
            <w:tcBorders>
              <w:top w:val="nil"/>
              <w:left w:val="nil"/>
              <w:bottom w:val="nil"/>
              <w:right w:val="nil"/>
            </w:tcBorders>
            <w:vAlign w:val="center"/>
          </w:tcPr>
          <w:p w14:paraId="4AF68AF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Alternative</w:t>
            </w:r>
          </w:p>
        </w:tc>
      </w:tr>
      <w:tr w14:paraId="1878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single" w:color="auto" w:sz="12" w:space="0"/>
              <w:right w:val="nil"/>
            </w:tcBorders>
            <w:vAlign w:val="center"/>
          </w:tcPr>
          <w:p w14:paraId="11CF3FA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200</w:t>
            </w:r>
          </w:p>
        </w:tc>
        <w:tc>
          <w:tcPr>
            <w:tcW w:w="0" w:type="auto"/>
            <w:tcBorders>
              <w:top w:val="nil"/>
              <w:left w:val="nil"/>
              <w:bottom w:val="single" w:color="auto" w:sz="12" w:space="0"/>
              <w:right w:val="nil"/>
            </w:tcBorders>
            <w:vAlign w:val="center"/>
          </w:tcPr>
          <w:p w14:paraId="5714737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0.601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0.592-0.610</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single" w:color="auto" w:sz="12" w:space="0"/>
              <w:right w:val="nil"/>
            </w:tcBorders>
            <w:vAlign w:val="center"/>
          </w:tcPr>
          <w:p w14:paraId="364EA3A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2.27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2.09-2.48</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single" w:color="auto" w:sz="12" w:space="0"/>
              <w:right w:val="nil"/>
            </w:tcBorders>
            <w:vAlign w:val="center"/>
          </w:tcPr>
          <w:p w14:paraId="60F8399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&lt;0.001</w:t>
            </w:r>
          </w:p>
        </w:tc>
        <w:tc>
          <w:tcPr>
            <w:tcW w:w="0" w:type="auto"/>
            <w:tcBorders>
              <w:top w:val="nil"/>
              <w:left w:val="nil"/>
              <w:bottom w:val="single" w:color="auto" w:sz="12" w:space="0"/>
              <w:right w:val="nil"/>
            </w:tcBorders>
            <w:vAlign w:val="center"/>
          </w:tcPr>
          <w:p w14:paraId="46F7599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28.00</w:t>
            </w:r>
          </w:p>
        </w:tc>
        <w:tc>
          <w:tcPr>
            <w:tcW w:w="1918" w:type="dxa"/>
            <w:tcBorders>
              <w:top w:val="nil"/>
              <w:left w:val="nil"/>
              <w:bottom w:val="single" w:color="auto" w:sz="12" w:space="0"/>
              <w:right w:val="nil"/>
            </w:tcBorders>
            <w:vAlign w:val="center"/>
          </w:tcPr>
          <w:p w14:paraId="74DB1B5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Not Recommended</w:t>
            </w:r>
          </w:p>
        </w:tc>
      </w:tr>
    </w:tbl>
    <w:p w14:paraId="73391A2D">
      <w:pPr>
        <w:keepNext w:val="0"/>
        <w:keepLines w:val="0"/>
        <w:widowControl/>
        <w:suppressLineNumbers w:val="0"/>
        <w:jc w:val="left"/>
        <w:rPr>
          <w:rFonts w:hint="eastAsia" w:ascii="Times New Roman" w:hAnsi="Times New Roman" w:eastAsia="宋体" w:cs="Times New Roman"/>
          <w:lang w:val="en-US" w:eastAsia="zh-CN"/>
        </w:rPr>
      </w:pPr>
    </w:p>
    <w:p w14:paraId="6C38CD74">
      <w:pPr>
        <w:keepNext w:val="0"/>
        <w:keepLines w:val="0"/>
        <w:widowControl/>
        <w:suppressLineNumbers w:val="0"/>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(C)</w:t>
      </w:r>
    </w:p>
    <w:tbl>
      <w:tblPr>
        <w:tblStyle w:val="12"/>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
        <w:gridCol w:w="1304"/>
        <w:gridCol w:w="1189"/>
        <w:gridCol w:w="1189"/>
        <w:gridCol w:w="930"/>
        <w:gridCol w:w="832"/>
        <w:gridCol w:w="1005"/>
        <w:gridCol w:w="1605"/>
      </w:tblGrid>
      <w:tr w14:paraId="6FF8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single" w:color="auto" w:sz="12" w:space="0"/>
              <w:left w:val="nil"/>
              <w:bottom w:val="single" w:color="auto" w:sz="8" w:space="0"/>
              <w:right w:val="nil"/>
            </w:tcBorders>
            <w:vAlign w:val="center"/>
          </w:tcPr>
          <w:p w14:paraId="69F03A7B">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i w:val="0"/>
                <w:iCs w:val="0"/>
                <w:kern w:val="0"/>
                <w:sz w:val="15"/>
                <w:szCs w:val="15"/>
                <w:lang w:val="en-US" w:eastAsia="zh-CN" w:bidi="ar"/>
              </w:rPr>
              <w:t xml:space="preserve">k </w:t>
            </w:r>
            <w:r>
              <w:rPr>
                <w:rFonts w:hint="default" w:ascii="Times New Roman" w:hAnsi="Times New Roman" w:eastAsia="宋体" w:cs="Times New Roman"/>
                <w:b/>
                <w:bCs/>
                <w:kern w:val="0"/>
                <w:sz w:val="15"/>
                <w:szCs w:val="15"/>
                <w:lang w:val="en-US" w:eastAsia="zh-CN" w:bidi="ar"/>
              </w:rPr>
              <w:t>Parameter</w:t>
            </w:r>
          </w:p>
        </w:tc>
        <w:tc>
          <w:tcPr>
            <w:tcW w:w="0" w:type="auto"/>
            <w:tcBorders>
              <w:top w:val="single" w:color="auto" w:sz="12" w:space="0"/>
              <w:left w:val="nil"/>
              <w:bottom w:val="single" w:color="auto" w:sz="8" w:space="0"/>
              <w:right w:val="nil"/>
            </w:tcBorders>
            <w:vAlign w:val="center"/>
          </w:tcPr>
          <w:p w14:paraId="336C187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 xml:space="preserve">HR Q2 </w:t>
            </w:r>
            <w:r>
              <w:rPr>
                <w:rFonts w:hint="eastAsia" w:ascii="Times New Roman" w:hAnsi="Times New Roman" w:eastAsia="宋体" w:cs="Times New Roman"/>
                <w:b/>
                <w:bCs/>
                <w:kern w:val="0"/>
                <w:sz w:val="15"/>
                <w:szCs w:val="15"/>
                <w:lang w:val="en-US" w:eastAsia="zh-CN" w:bidi="ar"/>
              </w:rPr>
              <w:t>(</w:t>
            </w:r>
            <w:r>
              <w:rPr>
                <w:rFonts w:hint="default" w:ascii="Times New Roman" w:hAnsi="Times New Roman" w:eastAsia="宋体" w:cs="Times New Roman"/>
                <w:b/>
                <w:bCs/>
                <w:kern w:val="0"/>
                <w:sz w:val="15"/>
                <w:szCs w:val="15"/>
                <w:lang w:val="en-US" w:eastAsia="zh-CN" w:bidi="ar"/>
              </w:rPr>
              <w:t>95% CI</w:t>
            </w:r>
            <w:r>
              <w:rPr>
                <w:rFonts w:hint="eastAsia" w:ascii="Times New Roman" w:hAnsi="Times New Roman" w:eastAsia="宋体" w:cs="Times New Roman"/>
                <w:b/>
                <w:bCs/>
                <w:kern w:val="0"/>
                <w:sz w:val="15"/>
                <w:szCs w:val="15"/>
                <w:lang w:val="en-US" w:eastAsia="zh-CN" w:bidi="ar"/>
              </w:rPr>
              <w:t>)</w:t>
            </w:r>
          </w:p>
        </w:tc>
        <w:tc>
          <w:tcPr>
            <w:tcW w:w="1189" w:type="dxa"/>
            <w:tcBorders>
              <w:top w:val="single" w:color="auto" w:sz="12" w:space="0"/>
              <w:left w:val="nil"/>
              <w:bottom w:val="single" w:color="auto" w:sz="8" w:space="0"/>
              <w:right w:val="nil"/>
            </w:tcBorders>
            <w:vAlign w:val="center"/>
          </w:tcPr>
          <w:p w14:paraId="2D64EA9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 xml:space="preserve">HR Q3 </w:t>
            </w:r>
            <w:r>
              <w:rPr>
                <w:rFonts w:hint="eastAsia" w:ascii="Times New Roman" w:hAnsi="Times New Roman" w:eastAsia="宋体" w:cs="Times New Roman"/>
                <w:b/>
                <w:bCs/>
                <w:kern w:val="0"/>
                <w:sz w:val="15"/>
                <w:szCs w:val="15"/>
                <w:lang w:val="en-US" w:eastAsia="zh-CN" w:bidi="ar"/>
              </w:rPr>
              <w:t>(</w:t>
            </w:r>
            <w:r>
              <w:rPr>
                <w:rFonts w:hint="default" w:ascii="Times New Roman" w:hAnsi="Times New Roman" w:eastAsia="宋体" w:cs="Times New Roman"/>
                <w:b/>
                <w:bCs/>
                <w:kern w:val="0"/>
                <w:sz w:val="15"/>
                <w:szCs w:val="15"/>
                <w:lang w:val="en-US" w:eastAsia="zh-CN" w:bidi="ar"/>
              </w:rPr>
              <w:t>95% CI</w:t>
            </w:r>
            <w:r>
              <w:rPr>
                <w:rFonts w:hint="eastAsia" w:ascii="Times New Roman" w:hAnsi="Times New Roman" w:eastAsia="宋体" w:cs="Times New Roman"/>
                <w:b/>
                <w:bCs/>
                <w:kern w:val="0"/>
                <w:sz w:val="15"/>
                <w:szCs w:val="15"/>
                <w:lang w:val="en-US" w:eastAsia="zh-CN" w:bidi="ar"/>
              </w:rPr>
              <w:t>)</w:t>
            </w:r>
          </w:p>
        </w:tc>
        <w:tc>
          <w:tcPr>
            <w:tcW w:w="1189" w:type="dxa"/>
            <w:tcBorders>
              <w:top w:val="single" w:color="auto" w:sz="12" w:space="0"/>
              <w:left w:val="nil"/>
              <w:bottom w:val="single" w:color="auto" w:sz="8" w:space="0"/>
              <w:right w:val="nil"/>
            </w:tcBorders>
            <w:vAlign w:val="center"/>
          </w:tcPr>
          <w:p w14:paraId="2DFCD9CB">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 xml:space="preserve">HR Q4 </w:t>
            </w:r>
            <w:r>
              <w:rPr>
                <w:rFonts w:hint="eastAsia" w:ascii="Times New Roman" w:hAnsi="Times New Roman" w:eastAsia="宋体" w:cs="Times New Roman"/>
                <w:b/>
                <w:bCs/>
                <w:kern w:val="0"/>
                <w:sz w:val="15"/>
                <w:szCs w:val="15"/>
                <w:lang w:val="en-US" w:eastAsia="zh-CN" w:bidi="ar"/>
              </w:rPr>
              <w:t>(</w:t>
            </w:r>
            <w:r>
              <w:rPr>
                <w:rFonts w:hint="default" w:ascii="Times New Roman" w:hAnsi="Times New Roman" w:eastAsia="宋体" w:cs="Times New Roman"/>
                <w:b/>
                <w:bCs/>
                <w:kern w:val="0"/>
                <w:sz w:val="15"/>
                <w:szCs w:val="15"/>
                <w:lang w:val="en-US" w:eastAsia="zh-CN" w:bidi="ar"/>
              </w:rPr>
              <w:t>95% CI</w:t>
            </w:r>
            <w:r>
              <w:rPr>
                <w:rFonts w:hint="eastAsia" w:ascii="Times New Roman" w:hAnsi="Times New Roman" w:eastAsia="宋体" w:cs="Times New Roman"/>
                <w:b/>
                <w:bCs/>
                <w:kern w:val="0"/>
                <w:sz w:val="15"/>
                <w:szCs w:val="15"/>
                <w:lang w:val="en-US" w:eastAsia="zh-CN" w:bidi="ar"/>
              </w:rPr>
              <w:t>)</w:t>
            </w:r>
          </w:p>
        </w:tc>
        <w:tc>
          <w:tcPr>
            <w:tcW w:w="0" w:type="auto"/>
            <w:tcBorders>
              <w:top w:val="single" w:color="auto" w:sz="12" w:space="0"/>
              <w:left w:val="nil"/>
              <w:bottom w:val="single" w:color="auto" w:sz="8" w:space="0"/>
              <w:right w:val="nil"/>
            </w:tcBorders>
            <w:vAlign w:val="center"/>
          </w:tcPr>
          <w:p w14:paraId="4EE85C8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AUC Score</w:t>
            </w:r>
          </w:p>
        </w:tc>
        <w:tc>
          <w:tcPr>
            <w:tcW w:w="0" w:type="auto"/>
            <w:tcBorders>
              <w:top w:val="single" w:color="auto" w:sz="12" w:space="0"/>
              <w:left w:val="nil"/>
              <w:bottom w:val="single" w:color="auto" w:sz="8" w:space="0"/>
              <w:right w:val="nil"/>
            </w:tcBorders>
            <w:vAlign w:val="center"/>
          </w:tcPr>
          <w:p w14:paraId="7A3DCA6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HR Score</w:t>
            </w:r>
          </w:p>
        </w:tc>
        <w:tc>
          <w:tcPr>
            <w:tcW w:w="0" w:type="auto"/>
            <w:tcBorders>
              <w:top w:val="single" w:color="auto" w:sz="12" w:space="0"/>
              <w:left w:val="nil"/>
              <w:bottom w:val="single" w:color="auto" w:sz="8" w:space="0"/>
              <w:right w:val="nil"/>
            </w:tcBorders>
            <w:vAlign w:val="center"/>
          </w:tcPr>
          <w:p w14:paraId="349ABDE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Trend Score</w:t>
            </w:r>
          </w:p>
        </w:tc>
        <w:tc>
          <w:tcPr>
            <w:tcW w:w="0" w:type="auto"/>
            <w:tcBorders>
              <w:top w:val="single" w:color="auto" w:sz="12" w:space="0"/>
              <w:left w:val="nil"/>
              <w:bottom w:val="single" w:color="auto" w:sz="8" w:space="0"/>
              <w:right w:val="nil"/>
            </w:tcBorders>
            <w:vAlign w:val="center"/>
          </w:tcPr>
          <w:p w14:paraId="7DABF2D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b/>
                <w:bCs/>
                <w:kern w:val="0"/>
                <w:sz w:val="15"/>
                <w:szCs w:val="15"/>
                <w:lang w:val="en-US" w:eastAsia="zh-CN" w:bidi="ar"/>
              </w:rPr>
              <w:t>Interpretability Score</w:t>
            </w:r>
          </w:p>
        </w:tc>
      </w:tr>
      <w:tr w14:paraId="7E53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single" w:color="auto" w:sz="8" w:space="0"/>
              <w:left w:val="nil"/>
              <w:bottom w:val="nil"/>
              <w:right w:val="nil"/>
            </w:tcBorders>
            <w:vAlign w:val="center"/>
          </w:tcPr>
          <w:p w14:paraId="6D7E00B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25</w:t>
            </w:r>
          </w:p>
        </w:tc>
        <w:tc>
          <w:tcPr>
            <w:tcW w:w="0" w:type="auto"/>
            <w:tcBorders>
              <w:top w:val="single" w:color="auto" w:sz="8" w:space="0"/>
              <w:left w:val="nil"/>
              <w:bottom w:val="nil"/>
              <w:right w:val="nil"/>
            </w:tcBorders>
            <w:vAlign w:val="center"/>
          </w:tcPr>
          <w:p w14:paraId="317B1C3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1.35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1.23-1.49</w:t>
            </w:r>
            <w:r>
              <w:rPr>
                <w:rFonts w:hint="eastAsia" w:ascii="Times New Roman" w:hAnsi="Times New Roman" w:eastAsia="宋体" w:cs="Times New Roman"/>
                <w:kern w:val="0"/>
                <w:sz w:val="15"/>
                <w:szCs w:val="15"/>
                <w:lang w:val="en-US" w:eastAsia="zh-CN" w:bidi="ar"/>
              </w:rPr>
              <w:t>)</w:t>
            </w:r>
          </w:p>
        </w:tc>
        <w:tc>
          <w:tcPr>
            <w:tcW w:w="1189" w:type="dxa"/>
            <w:tcBorders>
              <w:top w:val="single" w:color="auto" w:sz="8" w:space="0"/>
              <w:left w:val="nil"/>
              <w:bottom w:val="nil"/>
              <w:right w:val="nil"/>
            </w:tcBorders>
            <w:vAlign w:val="center"/>
          </w:tcPr>
          <w:p w14:paraId="1850CE4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1.83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1.67-2.00</w:t>
            </w:r>
            <w:r>
              <w:rPr>
                <w:rFonts w:hint="eastAsia" w:ascii="Times New Roman" w:hAnsi="Times New Roman" w:eastAsia="宋体" w:cs="Times New Roman"/>
                <w:kern w:val="0"/>
                <w:sz w:val="15"/>
                <w:szCs w:val="15"/>
                <w:lang w:val="en-US" w:eastAsia="zh-CN" w:bidi="ar"/>
              </w:rPr>
              <w:t>)</w:t>
            </w:r>
          </w:p>
        </w:tc>
        <w:tc>
          <w:tcPr>
            <w:tcW w:w="1189" w:type="dxa"/>
            <w:tcBorders>
              <w:top w:val="single" w:color="auto" w:sz="8" w:space="0"/>
              <w:left w:val="nil"/>
              <w:bottom w:val="nil"/>
              <w:right w:val="nil"/>
            </w:tcBorders>
            <w:vAlign w:val="center"/>
          </w:tcPr>
          <w:p w14:paraId="040705B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2.50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2.30-2.73</w:t>
            </w:r>
            <w:r>
              <w:rPr>
                <w:rFonts w:hint="eastAsia" w:ascii="Times New Roman" w:hAnsi="Times New Roman" w:eastAsia="宋体" w:cs="Times New Roman"/>
                <w:kern w:val="0"/>
                <w:sz w:val="15"/>
                <w:szCs w:val="15"/>
                <w:lang w:val="en-US" w:eastAsia="zh-CN" w:bidi="ar"/>
              </w:rPr>
              <w:t>)</w:t>
            </w:r>
          </w:p>
        </w:tc>
        <w:tc>
          <w:tcPr>
            <w:tcW w:w="0" w:type="auto"/>
            <w:tcBorders>
              <w:top w:val="single" w:color="auto" w:sz="8" w:space="0"/>
              <w:left w:val="nil"/>
              <w:bottom w:val="nil"/>
              <w:right w:val="nil"/>
            </w:tcBorders>
            <w:vAlign w:val="center"/>
          </w:tcPr>
          <w:p w14:paraId="5DF435E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100.0</w:t>
            </w:r>
          </w:p>
        </w:tc>
        <w:tc>
          <w:tcPr>
            <w:tcW w:w="0" w:type="auto"/>
            <w:tcBorders>
              <w:top w:val="single" w:color="auto" w:sz="8" w:space="0"/>
              <w:left w:val="nil"/>
              <w:bottom w:val="nil"/>
              <w:right w:val="nil"/>
            </w:tcBorders>
            <w:vAlign w:val="center"/>
          </w:tcPr>
          <w:p w14:paraId="1F41A68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89.2</w:t>
            </w:r>
          </w:p>
        </w:tc>
        <w:tc>
          <w:tcPr>
            <w:tcW w:w="0" w:type="auto"/>
            <w:tcBorders>
              <w:top w:val="single" w:color="auto" w:sz="8" w:space="0"/>
              <w:left w:val="nil"/>
              <w:bottom w:val="nil"/>
              <w:right w:val="nil"/>
            </w:tcBorders>
            <w:vAlign w:val="center"/>
          </w:tcPr>
          <w:p w14:paraId="643E3D1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0.0</w:t>
            </w:r>
          </w:p>
        </w:tc>
        <w:tc>
          <w:tcPr>
            <w:tcW w:w="0" w:type="auto"/>
            <w:tcBorders>
              <w:top w:val="single" w:color="auto" w:sz="8" w:space="0"/>
              <w:left w:val="nil"/>
              <w:bottom w:val="nil"/>
              <w:right w:val="nil"/>
            </w:tcBorders>
            <w:vAlign w:val="center"/>
          </w:tcPr>
          <w:p w14:paraId="7ECE835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60.0</w:t>
            </w:r>
          </w:p>
        </w:tc>
      </w:tr>
      <w:tr w14:paraId="3448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6ADDE3D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50</w:t>
            </w:r>
          </w:p>
        </w:tc>
        <w:tc>
          <w:tcPr>
            <w:tcW w:w="0" w:type="auto"/>
            <w:tcBorders>
              <w:top w:val="nil"/>
              <w:left w:val="nil"/>
              <w:bottom w:val="nil"/>
              <w:right w:val="nil"/>
            </w:tcBorders>
            <w:vAlign w:val="center"/>
          </w:tcPr>
          <w:p w14:paraId="64BEDB5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1.41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1.28-1.56</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71F54CD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1.83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1.67-2.00</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28469BF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2.53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2.32-2.76</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6CECB50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96.6</w:t>
            </w:r>
          </w:p>
        </w:tc>
        <w:tc>
          <w:tcPr>
            <w:tcW w:w="0" w:type="auto"/>
            <w:tcBorders>
              <w:top w:val="nil"/>
              <w:left w:val="nil"/>
              <w:bottom w:val="nil"/>
              <w:right w:val="nil"/>
            </w:tcBorders>
            <w:vAlign w:val="center"/>
          </w:tcPr>
          <w:p w14:paraId="6CC11D6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100.0</w:t>
            </w:r>
          </w:p>
        </w:tc>
        <w:tc>
          <w:tcPr>
            <w:tcW w:w="0" w:type="auto"/>
            <w:tcBorders>
              <w:top w:val="nil"/>
              <w:left w:val="nil"/>
              <w:bottom w:val="nil"/>
              <w:right w:val="nil"/>
            </w:tcBorders>
            <w:vAlign w:val="center"/>
          </w:tcPr>
          <w:p w14:paraId="0EFE5D6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7.0</w:t>
            </w:r>
          </w:p>
        </w:tc>
        <w:tc>
          <w:tcPr>
            <w:tcW w:w="0" w:type="auto"/>
            <w:tcBorders>
              <w:top w:val="nil"/>
              <w:left w:val="nil"/>
              <w:bottom w:val="nil"/>
              <w:right w:val="nil"/>
            </w:tcBorders>
            <w:vAlign w:val="center"/>
          </w:tcPr>
          <w:p w14:paraId="4D90CD4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80.0</w:t>
            </w:r>
          </w:p>
        </w:tc>
      </w:tr>
      <w:tr w14:paraId="5F1D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4C6DBAF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75</w:t>
            </w:r>
          </w:p>
        </w:tc>
        <w:tc>
          <w:tcPr>
            <w:tcW w:w="0" w:type="auto"/>
            <w:tcBorders>
              <w:top w:val="nil"/>
              <w:left w:val="nil"/>
              <w:bottom w:val="nil"/>
              <w:right w:val="nil"/>
            </w:tcBorders>
            <w:vAlign w:val="center"/>
          </w:tcPr>
          <w:p w14:paraId="27B64D1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1.40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1.27-1.54</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7EEC8C7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1.88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1.72-2.06</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477F04F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2.50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2.29-2.72</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20032F9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83.8</w:t>
            </w:r>
          </w:p>
        </w:tc>
        <w:tc>
          <w:tcPr>
            <w:tcW w:w="0" w:type="auto"/>
            <w:tcBorders>
              <w:top w:val="nil"/>
              <w:left w:val="nil"/>
              <w:bottom w:val="nil"/>
              <w:right w:val="nil"/>
            </w:tcBorders>
            <w:vAlign w:val="center"/>
          </w:tcPr>
          <w:p w14:paraId="4BACFF2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85.8</w:t>
            </w:r>
          </w:p>
        </w:tc>
        <w:tc>
          <w:tcPr>
            <w:tcW w:w="0" w:type="auto"/>
            <w:tcBorders>
              <w:top w:val="nil"/>
              <w:left w:val="nil"/>
              <w:bottom w:val="nil"/>
              <w:right w:val="nil"/>
            </w:tcBorders>
            <w:vAlign w:val="center"/>
          </w:tcPr>
          <w:p w14:paraId="2BA24F5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12.9</w:t>
            </w:r>
          </w:p>
        </w:tc>
        <w:tc>
          <w:tcPr>
            <w:tcW w:w="0" w:type="auto"/>
            <w:tcBorders>
              <w:top w:val="nil"/>
              <w:left w:val="nil"/>
              <w:bottom w:val="nil"/>
              <w:right w:val="nil"/>
            </w:tcBorders>
            <w:vAlign w:val="center"/>
          </w:tcPr>
          <w:p w14:paraId="7D92113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60.0</w:t>
            </w:r>
          </w:p>
        </w:tc>
      </w:tr>
      <w:tr w14:paraId="2EA2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291BE04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100</w:t>
            </w:r>
          </w:p>
        </w:tc>
        <w:tc>
          <w:tcPr>
            <w:tcW w:w="0" w:type="auto"/>
            <w:tcBorders>
              <w:top w:val="nil"/>
              <w:left w:val="nil"/>
              <w:bottom w:val="nil"/>
              <w:right w:val="nil"/>
            </w:tcBorders>
            <w:vAlign w:val="center"/>
          </w:tcPr>
          <w:p w14:paraId="5A16E83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 xml:space="preserve">1.44 </w:t>
            </w:r>
            <w:r>
              <w:rPr>
                <w:rStyle w:val="14"/>
                <w:rFonts w:hint="eastAsia" w:ascii="Times New Roman" w:hAnsi="Times New Roman" w:eastAsia="宋体" w:cs="Times New Roman"/>
                <w:kern w:val="0"/>
                <w:sz w:val="15"/>
                <w:szCs w:val="15"/>
                <w:lang w:val="en-US" w:eastAsia="zh-CN" w:bidi="ar"/>
              </w:rPr>
              <w:t>(</w:t>
            </w:r>
            <w:r>
              <w:rPr>
                <w:rStyle w:val="14"/>
                <w:rFonts w:hint="default" w:ascii="Times New Roman" w:hAnsi="Times New Roman" w:eastAsia="宋体" w:cs="Times New Roman"/>
                <w:kern w:val="0"/>
                <w:sz w:val="15"/>
                <w:szCs w:val="15"/>
                <w:lang w:val="en-US" w:eastAsia="zh-CN" w:bidi="ar"/>
              </w:rPr>
              <w:t>1.31-1.59</w:t>
            </w:r>
            <w:r>
              <w:rPr>
                <w:rStyle w:val="14"/>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240BCC8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 xml:space="preserve">1.89 </w:t>
            </w:r>
            <w:r>
              <w:rPr>
                <w:rStyle w:val="14"/>
                <w:rFonts w:hint="eastAsia" w:ascii="Times New Roman" w:hAnsi="Times New Roman" w:eastAsia="宋体" w:cs="Times New Roman"/>
                <w:kern w:val="0"/>
                <w:sz w:val="15"/>
                <w:szCs w:val="15"/>
                <w:lang w:val="en-US" w:eastAsia="zh-CN" w:bidi="ar"/>
              </w:rPr>
              <w:t>(</w:t>
            </w:r>
            <w:r>
              <w:rPr>
                <w:rStyle w:val="14"/>
                <w:rFonts w:hint="default" w:ascii="Times New Roman" w:hAnsi="Times New Roman" w:eastAsia="宋体" w:cs="Times New Roman"/>
                <w:kern w:val="0"/>
                <w:sz w:val="15"/>
                <w:szCs w:val="15"/>
                <w:lang w:val="en-US" w:eastAsia="zh-CN" w:bidi="ar"/>
              </w:rPr>
              <w:t>1.73-2.06</w:t>
            </w:r>
            <w:r>
              <w:rPr>
                <w:rStyle w:val="14"/>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0E08D7B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 xml:space="preserve">2.48 </w:t>
            </w:r>
            <w:r>
              <w:rPr>
                <w:rStyle w:val="14"/>
                <w:rFonts w:hint="eastAsia" w:ascii="Times New Roman" w:hAnsi="Times New Roman" w:eastAsia="宋体" w:cs="Times New Roman"/>
                <w:kern w:val="0"/>
                <w:sz w:val="15"/>
                <w:szCs w:val="15"/>
                <w:lang w:val="en-US" w:eastAsia="zh-CN" w:bidi="ar"/>
              </w:rPr>
              <w:t>(</w:t>
            </w:r>
            <w:r>
              <w:rPr>
                <w:rStyle w:val="14"/>
                <w:rFonts w:hint="default" w:ascii="Times New Roman" w:hAnsi="Times New Roman" w:eastAsia="宋体" w:cs="Times New Roman"/>
                <w:kern w:val="0"/>
                <w:sz w:val="15"/>
                <w:szCs w:val="15"/>
                <w:lang w:val="en-US" w:eastAsia="zh-CN" w:bidi="ar"/>
              </w:rPr>
              <w:t>2.27-2.70</w:t>
            </w:r>
            <w:r>
              <w:rPr>
                <w:rStyle w:val="14"/>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6C88BCB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67.2</w:t>
            </w:r>
          </w:p>
        </w:tc>
        <w:tc>
          <w:tcPr>
            <w:tcW w:w="0" w:type="auto"/>
            <w:tcBorders>
              <w:top w:val="nil"/>
              <w:left w:val="nil"/>
              <w:bottom w:val="nil"/>
              <w:right w:val="nil"/>
            </w:tcBorders>
            <w:vAlign w:val="center"/>
          </w:tcPr>
          <w:p w14:paraId="7919580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78.6</w:t>
            </w:r>
          </w:p>
        </w:tc>
        <w:tc>
          <w:tcPr>
            <w:tcW w:w="0" w:type="auto"/>
            <w:tcBorders>
              <w:top w:val="nil"/>
              <w:left w:val="nil"/>
              <w:bottom w:val="nil"/>
              <w:right w:val="nil"/>
            </w:tcBorders>
            <w:vAlign w:val="center"/>
          </w:tcPr>
          <w:p w14:paraId="1C90908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32.8</w:t>
            </w:r>
          </w:p>
        </w:tc>
        <w:tc>
          <w:tcPr>
            <w:tcW w:w="0" w:type="auto"/>
            <w:tcBorders>
              <w:top w:val="nil"/>
              <w:left w:val="nil"/>
              <w:bottom w:val="nil"/>
              <w:right w:val="nil"/>
            </w:tcBorders>
            <w:vAlign w:val="center"/>
          </w:tcPr>
          <w:p w14:paraId="62484B7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Style w:val="14"/>
                <w:rFonts w:hint="default" w:ascii="Times New Roman" w:hAnsi="Times New Roman" w:eastAsia="宋体" w:cs="Times New Roman"/>
                <w:kern w:val="0"/>
                <w:sz w:val="15"/>
                <w:szCs w:val="15"/>
                <w:lang w:val="en-US" w:eastAsia="zh-CN" w:bidi="ar"/>
              </w:rPr>
              <w:t>100.0</w:t>
            </w:r>
          </w:p>
        </w:tc>
      </w:tr>
      <w:tr w14:paraId="2760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1C46D0E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125</w:t>
            </w:r>
          </w:p>
        </w:tc>
        <w:tc>
          <w:tcPr>
            <w:tcW w:w="0" w:type="auto"/>
            <w:tcBorders>
              <w:top w:val="nil"/>
              <w:left w:val="nil"/>
              <w:bottom w:val="nil"/>
              <w:right w:val="nil"/>
            </w:tcBorders>
            <w:vAlign w:val="center"/>
          </w:tcPr>
          <w:p w14:paraId="6B36C12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1.45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1.32-1.60</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02AB588C">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1.88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1.72-2.06</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5B2AF8F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2.44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2.24-2.67</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4D6346D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49.5</w:t>
            </w:r>
          </w:p>
        </w:tc>
        <w:tc>
          <w:tcPr>
            <w:tcW w:w="0" w:type="auto"/>
            <w:tcBorders>
              <w:top w:val="nil"/>
              <w:left w:val="nil"/>
              <w:bottom w:val="nil"/>
              <w:right w:val="nil"/>
            </w:tcBorders>
            <w:vAlign w:val="center"/>
          </w:tcPr>
          <w:p w14:paraId="49B7AF3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65.6</w:t>
            </w:r>
          </w:p>
        </w:tc>
        <w:tc>
          <w:tcPr>
            <w:tcW w:w="0" w:type="auto"/>
            <w:tcBorders>
              <w:top w:val="nil"/>
              <w:left w:val="nil"/>
              <w:bottom w:val="nil"/>
              <w:right w:val="nil"/>
            </w:tcBorders>
            <w:vAlign w:val="center"/>
          </w:tcPr>
          <w:p w14:paraId="1E1CA97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48.8</w:t>
            </w:r>
          </w:p>
        </w:tc>
        <w:tc>
          <w:tcPr>
            <w:tcW w:w="0" w:type="auto"/>
            <w:tcBorders>
              <w:top w:val="nil"/>
              <w:left w:val="nil"/>
              <w:bottom w:val="nil"/>
              <w:right w:val="nil"/>
            </w:tcBorders>
            <w:vAlign w:val="center"/>
          </w:tcPr>
          <w:p w14:paraId="0E77298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60.0</w:t>
            </w:r>
          </w:p>
        </w:tc>
      </w:tr>
      <w:tr w14:paraId="553A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nil"/>
              <w:right w:val="nil"/>
            </w:tcBorders>
            <w:vAlign w:val="center"/>
          </w:tcPr>
          <w:p w14:paraId="49C17DE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150</w:t>
            </w:r>
          </w:p>
        </w:tc>
        <w:tc>
          <w:tcPr>
            <w:tcW w:w="0" w:type="auto"/>
            <w:tcBorders>
              <w:top w:val="nil"/>
              <w:left w:val="nil"/>
              <w:bottom w:val="nil"/>
              <w:right w:val="nil"/>
            </w:tcBorders>
            <w:vAlign w:val="center"/>
          </w:tcPr>
          <w:p w14:paraId="3A49EA2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1.39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1.26-1.53</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58B2D9F5">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1.83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1.67-2.01</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nil"/>
              <w:right w:val="nil"/>
            </w:tcBorders>
            <w:vAlign w:val="center"/>
          </w:tcPr>
          <w:p w14:paraId="0E2021B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2.37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2.17-2.59</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nil"/>
              <w:right w:val="nil"/>
            </w:tcBorders>
            <w:vAlign w:val="center"/>
          </w:tcPr>
          <w:p w14:paraId="20B062D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31.8</w:t>
            </w:r>
          </w:p>
        </w:tc>
        <w:tc>
          <w:tcPr>
            <w:tcW w:w="0" w:type="auto"/>
            <w:tcBorders>
              <w:top w:val="nil"/>
              <w:left w:val="nil"/>
              <w:bottom w:val="nil"/>
              <w:right w:val="nil"/>
            </w:tcBorders>
            <w:vAlign w:val="center"/>
          </w:tcPr>
          <w:p w14:paraId="6681066B">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37.2</w:t>
            </w:r>
          </w:p>
        </w:tc>
        <w:tc>
          <w:tcPr>
            <w:tcW w:w="0" w:type="auto"/>
            <w:tcBorders>
              <w:top w:val="nil"/>
              <w:left w:val="nil"/>
              <w:bottom w:val="nil"/>
              <w:right w:val="nil"/>
            </w:tcBorders>
            <w:vAlign w:val="center"/>
          </w:tcPr>
          <w:p w14:paraId="4A1EE709">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63.6</w:t>
            </w:r>
          </w:p>
        </w:tc>
        <w:tc>
          <w:tcPr>
            <w:tcW w:w="0" w:type="auto"/>
            <w:tcBorders>
              <w:top w:val="nil"/>
              <w:left w:val="nil"/>
              <w:bottom w:val="nil"/>
              <w:right w:val="nil"/>
            </w:tcBorders>
            <w:vAlign w:val="center"/>
          </w:tcPr>
          <w:p w14:paraId="32694DE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40.0</w:t>
            </w:r>
          </w:p>
        </w:tc>
      </w:tr>
      <w:tr w14:paraId="524A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0" w:type="auto"/>
            <w:tcBorders>
              <w:top w:val="nil"/>
              <w:left w:val="nil"/>
              <w:bottom w:val="single" w:color="auto" w:sz="12" w:space="0"/>
              <w:right w:val="nil"/>
            </w:tcBorders>
            <w:vAlign w:val="center"/>
          </w:tcPr>
          <w:p w14:paraId="18D7853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200</w:t>
            </w:r>
          </w:p>
        </w:tc>
        <w:tc>
          <w:tcPr>
            <w:tcW w:w="0" w:type="auto"/>
            <w:tcBorders>
              <w:top w:val="nil"/>
              <w:left w:val="nil"/>
              <w:bottom w:val="single" w:color="auto" w:sz="12" w:space="0"/>
              <w:right w:val="nil"/>
            </w:tcBorders>
            <w:vAlign w:val="center"/>
          </w:tcPr>
          <w:p w14:paraId="736132E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1.38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1.25-1.52</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single" w:color="auto" w:sz="12" w:space="0"/>
              <w:right w:val="nil"/>
            </w:tcBorders>
            <w:vAlign w:val="center"/>
          </w:tcPr>
          <w:p w14:paraId="38AE57F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1.78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1.62-1.95</w:t>
            </w:r>
            <w:r>
              <w:rPr>
                <w:rFonts w:hint="eastAsia" w:ascii="Times New Roman" w:hAnsi="Times New Roman" w:eastAsia="宋体" w:cs="Times New Roman"/>
                <w:kern w:val="0"/>
                <w:sz w:val="15"/>
                <w:szCs w:val="15"/>
                <w:lang w:val="en-US" w:eastAsia="zh-CN" w:bidi="ar"/>
              </w:rPr>
              <w:t>)</w:t>
            </w:r>
          </w:p>
        </w:tc>
        <w:tc>
          <w:tcPr>
            <w:tcW w:w="1189" w:type="dxa"/>
            <w:tcBorders>
              <w:top w:val="nil"/>
              <w:left w:val="nil"/>
              <w:bottom w:val="single" w:color="auto" w:sz="12" w:space="0"/>
              <w:right w:val="nil"/>
            </w:tcBorders>
            <w:vAlign w:val="center"/>
          </w:tcPr>
          <w:p w14:paraId="065FB09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 xml:space="preserve">2.27 </w:t>
            </w:r>
            <w:r>
              <w:rPr>
                <w:rFonts w:hint="eastAsia" w:ascii="Times New Roman" w:hAnsi="Times New Roman" w:eastAsia="宋体" w:cs="Times New Roman"/>
                <w:kern w:val="0"/>
                <w:sz w:val="15"/>
                <w:szCs w:val="15"/>
                <w:lang w:val="en-US" w:eastAsia="zh-CN" w:bidi="ar"/>
              </w:rPr>
              <w:t>(</w:t>
            </w:r>
            <w:r>
              <w:rPr>
                <w:rFonts w:hint="default" w:ascii="Times New Roman" w:hAnsi="Times New Roman" w:eastAsia="宋体" w:cs="Times New Roman"/>
                <w:kern w:val="0"/>
                <w:sz w:val="15"/>
                <w:szCs w:val="15"/>
                <w:lang w:val="en-US" w:eastAsia="zh-CN" w:bidi="ar"/>
              </w:rPr>
              <w:t>2.09-2.48</w:t>
            </w:r>
            <w:r>
              <w:rPr>
                <w:rFonts w:hint="eastAsia" w:ascii="Times New Roman" w:hAnsi="Times New Roman" w:eastAsia="宋体" w:cs="Times New Roman"/>
                <w:kern w:val="0"/>
                <w:sz w:val="15"/>
                <w:szCs w:val="15"/>
                <w:lang w:val="en-US" w:eastAsia="zh-CN" w:bidi="ar"/>
              </w:rPr>
              <w:t>)</w:t>
            </w:r>
          </w:p>
        </w:tc>
        <w:tc>
          <w:tcPr>
            <w:tcW w:w="0" w:type="auto"/>
            <w:tcBorders>
              <w:top w:val="nil"/>
              <w:left w:val="nil"/>
              <w:bottom w:val="single" w:color="auto" w:sz="12" w:space="0"/>
              <w:right w:val="nil"/>
            </w:tcBorders>
            <w:vAlign w:val="center"/>
          </w:tcPr>
          <w:p w14:paraId="072A7EE7">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0.0</w:t>
            </w:r>
          </w:p>
        </w:tc>
        <w:tc>
          <w:tcPr>
            <w:tcW w:w="0" w:type="auto"/>
            <w:tcBorders>
              <w:top w:val="nil"/>
              <w:left w:val="nil"/>
              <w:bottom w:val="single" w:color="auto" w:sz="12" w:space="0"/>
              <w:right w:val="nil"/>
            </w:tcBorders>
            <w:vAlign w:val="center"/>
          </w:tcPr>
          <w:p w14:paraId="23A2CDD9">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0.0</w:t>
            </w:r>
          </w:p>
        </w:tc>
        <w:tc>
          <w:tcPr>
            <w:tcW w:w="0" w:type="auto"/>
            <w:tcBorders>
              <w:top w:val="nil"/>
              <w:left w:val="nil"/>
              <w:bottom w:val="single" w:color="auto" w:sz="12" w:space="0"/>
              <w:right w:val="nil"/>
            </w:tcBorders>
            <w:vAlign w:val="center"/>
          </w:tcPr>
          <w:p w14:paraId="43ED09C8">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100.0</w:t>
            </w:r>
          </w:p>
        </w:tc>
        <w:tc>
          <w:tcPr>
            <w:tcW w:w="0" w:type="auto"/>
            <w:tcBorders>
              <w:top w:val="nil"/>
              <w:left w:val="nil"/>
              <w:bottom w:val="single" w:color="auto" w:sz="12" w:space="0"/>
              <w:right w:val="nil"/>
            </w:tcBorders>
            <w:vAlign w:val="center"/>
          </w:tcPr>
          <w:p w14:paraId="74FEC39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15"/>
                <w:szCs w:val="15"/>
                <w:vertAlign w:val="baseline"/>
              </w:rPr>
            </w:pPr>
            <w:r>
              <w:rPr>
                <w:rFonts w:hint="default" w:ascii="Times New Roman" w:hAnsi="Times New Roman" w:eastAsia="宋体" w:cs="Times New Roman"/>
                <w:kern w:val="0"/>
                <w:sz w:val="15"/>
                <w:szCs w:val="15"/>
                <w:lang w:val="en-US" w:eastAsia="zh-CN" w:bidi="ar"/>
              </w:rPr>
              <w:t>20.0</w:t>
            </w:r>
          </w:p>
        </w:tc>
      </w:tr>
    </w:tbl>
    <w:p w14:paraId="50A88C53">
      <w:pPr>
        <w:pStyle w:val="9"/>
        <w:keepNext w:val="0"/>
        <w:keepLines w:val="0"/>
        <w:widowControl/>
        <w:suppressLineNumbers w:val="0"/>
        <w:rPr>
          <w:rStyle w:val="14"/>
          <w:rFonts w:ascii="Times New Roman" w:hAnsi="Times New Roman"/>
        </w:rPr>
      </w:pPr>
    </w:p>
    <w:p w14:paraId="0FF68FF9">
      <w:pPr>
        <w:rPr>
          <w:rFonts w:hint="default" w:ascii="Times New Roman" w:hAnsi="Times New Roman" w:cs="Times New Roman"/>
          <w:sz w:val="21"/>
          <w:szCs w:val="21"/>
        </w:rPr>
      </w:pPr>
    </w:p>
    <w:p w14:paraId="21B65F3A">
      <w:pPr>
        <w:spacing w:line="360" w:lineRule="auto"/>
        <w:rPr>
          <w:rFonts w:hint="default" w:ascii="Times New Roman" w:hAnsi="Times New Roman" w:cs="Times New Roman"/>
          <w:sz w:val="21"/>
          <w:szCs w:val="21"/>
        </w:rPr>
      </w:pPr>
      <w:r>
        <w:rPr>
          <w:rFonts w:hint="eastAsia" w:ascii="Times New Roman" w:hAnsi="Times New Roman" w:eastAsia="楷体"/>
          <w:b w:val="0"/>
          <w:sz w:val="21"/>
          <w:szCs w:val="21"/>
          <w:lang w:eastAsia="zh-CN"/>
        </w:rPr>
        <w:t>Supplementary Figure S</w:t>
      </w:r>
      <w:r>
        <w:rPr>
          <w:rFonts w:hint="eastAsia" w:ascii="Times New Roman" w:hAnsi="Times New Roman" w:eastAsia="楷体"/>
          <w:b w:val="0"/>
          <w:sz w:val="21"/>
          <w:szCs w:val="21"/>
          <w:lang w:val="en-US" w:eastAsia="zh-CN"/>
        </w:rPr>
        <w:t>3</w:t>
      </w:r>
      <w:r>
        <w:rPr>
          <w:rFonts w:hint="eastAsia" w:ascii="Times New Roman" w:hAnsi="Times New Roman" w:eastAsia="楷体"/>
          <w:b w:val="0"/>
          <w:sz w:val="21"/>
          <w:szCs w:val="21"/>
          <w:lang w:eastAsia="zh-CN"/>
        </w:rPr>
        <w:t>.</w:t>
      </w:r>
      <w:r>
        <w:rPr>
          <w:rFonts w:hint="default" w:ascii="Times New Roman" w:hAnsi="Times New Roman" w:cs="Times New Roman"/>
          <w:sz w:val="21"/>
          <w:szCs w:val="21"/>
        </w:rPr>
        <w:t>AWRI Parameter Optimization: Comprehensive Performance Analysis.</w:t>
      </w:r>
    </w:p>
    <w:p w14:paraId="5673A6F4">
      <w:pPr>
        <w:spacing w:line="360" w:lineRule="auto"/>
        <w:rPr>
          <w:rFonts w:hint="default" w:ascii="Times New Roman" w:hAnsi="Times New Roman" w:cs="Times New Roman"/>
          <w:sz w:val="21"/>
          <w:szCs w:val="21"/>
        </w:rPr>
      </w:pPr>
      <w:r>
        <w:rPr>
          <w:rFonts w:hint="default" w:ascii="Times New Roman" w:hAnsi="Times New Roman" w:cs="Times New Roman"/>
          <w:sz w:val="21"/>
          <w:szCs w:val="21"/>
        </w:rPr>
        <w:t xml:space="preserve">(A) Multi-dimensional Parameter Performance Visualization: Three-panel visualization demonstrating the systematic evaluation of age adjustment intensity parameters (k = 25-200) across key performance metrics. The left panel shows discrimination performance (AUC with 95% confidence intervals), revealing optimal performance at lower k values with gradual decline as k increases. The middle panel displays effect size magnitude (hazard ratios for Q4 vs Q1 comparison with 95% confidence intervals), demonstrating strongest risk stratification at k = 50-75 with progressive attenuation at higher values. The right panel illustrates trend significance (-log10 p-values from dose-response testing), showing consistently strong statistical significance across all parameters with slight decline at extreme values. This comprehensive visualization supports the balanced </w:t>
      </w:r>
      <w:r>
        <w:rPr>
          <w:rFonts w:hint="default" w:ascii="Times New Roman" w:hAnsi="Times New Roman" w:cs="Times New Roman"/>
          <w:sz w:val="15"/>
          <w:szCs w:val="15"/>
        </w:rPr>
        <w:t>parameter selection</w:t>
      </w:r>
      <w:r>
        <w:rPr>
          <w:rFonts w:hint="default" w:ascii="Times New Roman" w:hAnsi="Times New Roman" w:cs="Times New Roman"/>
          <w:sz w:val="21"/>
          <w:szCs w:val="21"/>
        </w:rPr>
        <w:t xml:space="preserve"> approach by revealing the multi-dimensional trade-offs inherent in age adjustment intensity.</w:t>
      </w:r>
    </w:p>
    <w:p w14:paraId="43DD7AF5">
      <w:pPr>
        <w:spacing w:line="360" w:lineRule="auto"/>
        <w:rPr>
          <w:rFonts w:hint="default" w:ascii="Times New Roman" w:hAnsi="Times New Roman" w:cs="Times New Roman"/>
          <w:sz w:val="21"/>
          <w:szCs w:val="21"/>
        </w:rPr>
      </w:pPr>
      <w:r>
        <w:rPr>
          <w:rFonts w:hint="default" w:ascii="Times New Roman" w:hAnsi="Times New Roman" w:cs="Times New Roman"/>
          <w:sz w:val="21"/>
          <w:szCs w:val="21"/>
        </w:rPr>
        <w:t>(B) Core Performance Metrics and Selection Decision. (C) Detailed Risk Stratification and Multi-dimensional Scoring.</w:t>
      </w:r>
    </w:p>
    <w:p w14:paraId="7AA7A28B">
      <w:pPr>
        <w:spacing w:line="360" w:lineRule="auto"/>
        <w:rPr>
          <w:rFonts w:hint="default" w:ascii="Times New Roman" w:hAnsi="Times New Roman" w:cs="Times New Roman"/>
          <w:sz w:val="21"/>
          <w:szCs w:val="21"/>
        </w:rPr>
      </w:pPr>
      <w:r>
        <w:rPr>
          <w:rFonts w:hint="default" w:ascii="Times New Roman" w:hAnsi="Times New Roman" w:cs="Times New Roman"/>
          <w:sz w:val="21"/>
          <w:szCs w:val="21"/>
        </w:rPr>
        <w:t>Legend: AWRI, Age-Weighted Red Cell Distribution Width Index; AUC, area under the receiver operating characteristic curve; HR, hazard ratio; CI, confidence interval; Q2, Q3, Q4, second, third, and fourth quartiles respectively with Q1 as reference. Panel A presents the primary decision matrix for parameter selection, where AWRI = RDW × (1 + age/k) and k represents the age adjustment intensity parameter. Each k value underwent independent model evaluation using Cox proportional hazards regression with quartile-based risk stratification across the complete dataset of 24,709 acute respiratory failure patients. Composite scores were calculated using weighted criteria: discrimination ability (35%), effect size (25%), dose-response relationship (25%), and clinical interpretability (15%). Parameter k=100 was selected as optimal based on balanced performance across all criteria and superior clinical interpretability, representing "10% RDW weight increase per decade of age." Panel B provides detailed risk stratification results and component scores underlying the composite evaluation. All hazard ratios were adjusted for age, gender, comorbidities, and disease severity scores. Performance scores utilized min-max normalization: Score = (Value - Minimum)/(Maximum - Minimum) × 100. Trend P-values derived from Cox regression treating AWRI quartiles as ordinal variables.</w:t>
      </w:r>
    </w:p>
    <w:p w14:paraId="097E2C17">
      <w:pPr>
        <w:spacing w:line="360" w:lineRule="auto"/>
        <w:rPr>
          <w:rFonts w:hint="default" w:ascii="Times New Roman" w:hAnsi="Times New Roman" w:cs="Times New Roman" w:eastAsiaTheme="minorEastAsia"/>
          <w:lang w:eastAsia="zh-CN"/>
        </w:rPr>
      </w:pPr>
    </w:p>
    <w:p w14:paraId="59A11E9A">
      <w:pPr>
        <w:spacing w:line="360" w:lineRule="auto"/>
        <w:rPr>
          <w:rFonts w:hint="default" w:ascii="Times New Roman" w:hAnsi="Times New Roman" w:cs="Times New Roman" w:eastAsiaTheme="minorEastAsia"/>
          <w:lang w:eastAsia="zh-CN"/>
        </w:rPr>
      </w:pPr>
    </w:p>
    <w:p w14:paraId="5BEB3B3B">
      <w:pPr>
        <w:spacing w:before="120" w:after="120"/>
        <w:jc w:val="left"/>
        <w:rPr>
          <w:rFonts w:ascii="Times New Roman" w:hAnsi="Times New Roman"/>
          <w:b w:val="0"/>
          <w:bCs/>
          <w:sz w:val="32"/>
        </w:rPr>
      </w:pPr>
    </w:p>
    <w:p w14:paraId="65D236A2">
      <w:pPr>
        <w:spacing w:before="120" w:after="120"/>
        <w:jc w:val="left"/>
        <w:rPr>
          <w:rFonts w:ascii="Times New Roman" w:hAnsi="Times New Roman"/>
          <w:b w:val="0"/>
          <w:bCs/>
          <w:sz w:val="32"/>
        </w:rPr>
      </w:pPr>
    </w:p>
    <w:p w14:paraId="62C662E6">
      <w:pPr>
        <w:spacing w:before="120" w:after="120"/>
        <w:jc w:val="left"/>
        <w:rPr>
          <w:rFonts w:ascii="Times New Roman" w:hAnsi="Times New Roman"/>
          <w:b w:val="0"/>
          <w:bCs/>
          <w:sz w:val="32"/>
        </w:rPr>
      </w:pPr>
    </w:p>
    <w:p w14:paraId="56D85E09">
      <w:pPr>
        <w:spacing w:before="120" w:after="120"/>
        <w:jc w:val="left"/>
        <w:rPr>
          <w:rFonts w:ascii="Times New Roman" w:hAnsi="Times New Roman"/>
          <w:b w:val="0"/>
          <w:bCs/>
          <w:sz w:val="32"/>
        </w:rPr>
      </w:pPr>
    </w:p>
    <w:p w14:paraId="07F9081F">
      <w:pPr>
        <w:spacing w:before="120" w:after="120"/>
        <w:jc w:val="left"/>
        <w:rPr>
          <w:rFonts w:ascii="Times New Roman" w:hAnsi="Times New Roman"/>
          <w:b w:val="0"/>
          <w:bCs/>
          <w:sz w:val="32"/>
        </w:rPr>
      </w:pPr>
    </w:p>
    <w:p w14:paraId="680D3B6A">
      <w:pPr>
        <w:spacing w:before="120" w:after="120"/>
        <w:jc w:val="left"/>
        <w:rPr>
          <w:rFonts w:ascii="Times New Roman" w:hAnsi="Times New Roman"/>
          <w:b w:val="0"/>
          <w:bCs/>
          <w:sz w:val="32"/>
        </w:rPr>
      </w:pPr>
    </w:p>
    <w:p w14:paraId="4338727B">
      <w:pPr>
        <w:spacing w:before="120" w:after="120"/>
        <w:jc w:val="left"/>
        <w:rPr>
          <w:rFonts w:ascii="Times New Roman" w:hAnsi="Times New Roman"/>
          <w:b w:val="0"/>
          <w:bCs/>
          <w:sz w:val="32"/>
        </w:rPr>
      </w:pPr>
    </w:p>
    <w:tbl>
      <w:tblPr>
        <w:tblStyle w:val="11"/>
        <w:tblW w:w="9071" w:type="dxa"/>
        <w:tblInd w:w="1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626"/>
        <w:gridCol w:w="2723"/>
        <w:gridCol w:w="2722"/>
      </w:tblGrid>
      <w:tr w14:paraId="60AF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blHeader/>
        </w:trPr>
        <w:tc>
          <w:tcPr>
            <w:tcW w:w="3329" w:type="dxa"/>
            <w:tcBorders>
              <w:top w:val="single" w:color="141413" w:sz="12" w:space="0"/>
              <w:bottom w:val="single" w:color="141413" w:sz="8" w:space="0"/>
            </w:tcBorders>
            <w:shd w:val="clear" w:color="auto" w:fill="auto"/>
            <w:tcMar>
              <w:top w:w="84" w:type="dxa"/>
              <w:left w:w="120" w:type="dxa"/>
              <w:bottom w:w="84" w:type="dxa"/>
              <w:right w:w="120" w:type="dxa"/>
            </w:tcMar>
            <w:vAlign w:val="center"/>
          </w:tcPr>
          <w:p w14:paraId="2FA1A387">
            <w:pPr>
              <w:keepNext w:val="0"/>
              <w:keepLines w:val="0"/>
              <w:widowControl/>
              <w:suppressLineNumbers w:val="0"/>
              <w:spacing w:before="0" w:beforeAutospacing="0" w:after="0" w:afterAutospacing="0"/>
              <w:ind w:left="0" w:right="0"/>
              <w:jc w:val="left"/>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Variable</w:t>
            </w:r>
          </w:p>
        </w:tc>
        <w:tc>
          <w:tcPr>
            <w:tcW w:w="2500" w:type="dxa"/>
            <w:tcBorders>
              <w:top w:val="single" w:color="141413" w:sz="12" w:space="0"/>
              <w:bottom w:val="single" w:color="141413" w:sz="8" w:space="0"/>
            </w:tcBorders>
            <w:shd w:val="clear" w:color="auto" w:fill="auto"/>
            <w:tcMar>
              <w:top w:w="84" w:type="dxa"/>
              <w:left w:w="120" w:type="dxa"/>
              <w:bottom w:w="84" w:type="dxa"/>
              <w:right w:w="120" w:type="dxa"/>
            </w:tcMar>
            <w:vAlign w:val="center"/>
          </w:tcPr>
          <w:p w14:paraId="19F78744">
            <w:pPr>
              <w:keepNext w:val="0"/>
              <w:keepLines w:val="0"/>
              <w:widowControl/>
              <w:suppressLineNumbers w:val="0"/>
              <w:spacing w:before="0" w:beforeAutospacing="0" w:after="0" w:afterAutospacing="0"/>
              <w:ind w:left="0" w:right="0"/>
              <w:jc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AWRI</w:t>
            </w:r>
            <w:r>
              <w:rPr>
                <w:rFonts w:hint="default" w:ascii="Times New Roman" w:hAnsi="Times New Roman" w:eastAsia="sans-serif" w:cs="Times New Roman"/>
                <w:i w:val="0"/>
                <w:iCs w:val="0"/>
                <w:caps w:val="0"/>
                <w:color w:val="141413"/>
                <w:spacing w:val="0"/>
                <w:kern w:val="0"/>
                <w:sz w:val="21"/>
                <w:szCs w:val="21"/>
                <w:vertAlign w:val="subscript"/>
                <w:lang w:val="en-US" w:eastAsia="zh-CN" w:bidi="ar"/>
              </w:rPr>
              <w:t>50</w:t>
            </w:r>
            <w:r>
              <w:rPr>
                <w:rFonts w:hint="default" w:ascii="Times New Roman" w:hAnsi="Times New Roman" w:eastAsia="sans-serif" w:cs="Times New Roman"/>
                <w:i w:val="0"/>
                <w:iCs w:val="0"/>
                <w:caps w:val="0"/>
                <w:color w:val="141413"/>
                <w:spacing w:val="0"/>
                <w:kern w:val="0"/>
                <w:sz w:val="21"/>
                <w:szCs w:val="21"/>
                <w:lang w:val="en-US" w:eastAsia="zh-CN" w:bidi="ar"/>
              </w:rPr>
              <w:t> (k = 50)</w:t>
            </w:r>
          </w:p>
        </w:tc>
        <w:tc>
          <w:tcPr>
            <w:tcW w:w="2498" w:type="dxa"/>
            <w:tcBorders>
              <w:top w:val="single" w:color="141413" w:sz="12" w:space="0"/>
              <w:bottom w:val="single" w:color="141413" w:sz="8" w:space="0"/>
            </w:tcBorders>
            <w:shd w:val="clear" w:color="auto" w:fill="auto"/>
            <w:tcMar>
              <w:top w:w="84" w:type="dxa"/>
              <w:left w:w="120" w:type="dxa"/>
              <w:bottom w:w="84" w:type="dxa"/>
              <w:right w:w="120" w:type="dxa"/>
            </w:tcMar>
            <w:vAlign w:val="center"/>
          </w:tcPr>
          <w:p w14:paraId="45208585">
            <w:pPr>
              <w:keepNext w:val="0"/>
              <w:keepLines w:val="0"/>
              <w:widowControl/>
              <w:suppressLineNumbers w:val="0"/>
              <w:spacing w:before="0" w:beforeAutospacing="0" w:after="0" w:afterAutospacing="0"/>
              <w:ind w:left="0" w:right="0"/>
              <w:jc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AWRI</w:t>
            </w:r>
            <w:r>
              <w:rPr>
                <w:rFonts w:hint="default" w:ascii="Times New Roman" w:hAnsi="Times New Roman" w:eastAsia="sans-serif" w:cs="Times New Roman"/>
                <w:i w:val="0"/>
                <w:iCs w:val="0"/>
                <w:caps w:val="0"/>
                <w:color w:val="141413"/>
                <w:spacing w:val="0"/>
                <w:kern w:val="0"/>
                <w:sz w:val="21"/>
                <w:szCs w:val="21"/>
                <w:vertAlign w:val="subscript"/>
                <w:lang w:val="en-US" w:eastAsia="zh-CN" w:bidi="ar"/>
              </w:rPr>
              <w:t>100</w:t>
            </w:r>
            <w:r>
              <w:rPr>
                <w:rFonts w:hint="default" w:ascii="Times New Roman" w:hAnsi="Times New Roman" w:eastAsia="sans-serif" w:cs="Times New Roman"/>
                <w:i w:val="0"/>
                <w:iCs w:val="0"/>
                <w:caps w:val="0"/>
                <w:color w:val="141413"/>
                <w:spacing w:val="0"/>
                <w:kern w:val="0"/>
                <w:sz w:val="21"/>
                <w:szCs w:val="21"/>
                <w:lang w:val="en-US" w:eastAsia="zh-CN" w:bidi="ar"/>
              </w:rPr>
              <w:t> (k = 100)</w:t>
            </w:r>
          </w:p>
        </w:tc>
      </w:tr>
      <w:tr w14:paraId="114F2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8327" w:type="dxa"/>
            <w:gridSpan w:val="3"/>
            <w:tcBorders>
              <w:top w:val="single" w:color="141413" w:sz="8" w:space="0"/>
            </w:tcBorders>
            <w:shd w:val="clear" w:color="auto" w:fill="auto"/>
            <w:tcMar>
              <w:top w:w="60" w:type="dxa"/>
              <w:left w:w="120" w:type="dxa"/>
              <w:bottom w:w="60" w:type="dxa"/>
              <w:right w:w="120" w:type="dxa"/>
            </w:tcMar>
            <w:vAlign w:val="center"/>
          </w:tcPr>
          <w:p w14:paraId="2D43BF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Parameter optimization metrics</w:t>
            </w:r>
          </w:p>
        </w:tc>
      </w:tr>
      <w:tr w14:paraId="36B1F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120" w:type="dxa"/>
              <w:bottom w:w="60" w:type="dxa"/>
              <w:right w:w="120" w:type="dxa"/>
            </w:tcMar>
            <w:vAlign w:val="center"/>
          </w:tcPr>
          <w:p w14:paraId="559B84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AUC (single-indicator discrimination)</w:t>
            </w:r>
          </w:p>
        </w:tc>
        <w:tc>
          <w:tcPr>
            <w:tcW w:w="2500" w:type="dxa"/>
            <w:shd w:val="clear" w:color="auto" w:fill="auto"/>
            <w:tcMar>
              <w:top w:w="60" w:type="dxa"/>
              <w:left w:w="120" w:type="dxa"/>
              <w:bottom w:w="60" w:type="dxa"/>
              <w:right w:w="120" w:type="dxa"/>
            </w:tcMar>
            <w:vAlign w:val="center"/>
          </w:tcPr>
          <w:p w14:paraId="25333D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0.612</w:t>
            </w:r>
          </w:p>
        </w:tc>
        <w:tc>
          <w:tcPr>
            <w:tcW w:w="2498" w:type="dxa"/>
            <w:shd w:val="clear" w:color="auto" w:fill="auto"/>
            <w:tcMar>
              <w:top w:w="60" w:type="dxa"/>
              <w:left w:w="120" w:type="dxa"/>
              <w:bottom w:w="60" w:type="dxa"/>
              <w:right w:w="120" w:type="dxa"/>
            </w:tcMar>
            <w:vAlign w:val="center"/>
          </w:tcPr>
          <w:p w14:paraId="2E78A7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0.608</w:t>
            </w:r>
          </w:p>
        </w:tc>
      </w:tr>
      <w:tr w14:paraId="79AD6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120" w:type="dxa"/>
              <w:bottom w:w="60" w:type="dxa"/>
              <w:right w:w="120" w:type="dxa"/>
            </w:tcMar>
            <w:vAlign w:val="center"/>
          </w:tcPr>
          <w:p w14:paraId="53BD626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Composite optimization score, points</w:t>
            </w:r>
          </w:p>
        </w:tc>
        <w:tc>
          <w:tcPr>
            <w:tcW w:w="2500" w:type="dxa"/>
            <w:shd w:val="clear" w:color="auto" w:fill="auto"/>
            <w:tcMar>
              <w:top w:w="60" w:type="dxa"/>
              <w:left w:w="120" w:type="dxa"/>
              <w:bottom w:w="60" w:type="dxa"/>
              <w:right w:w="120" w:type="dxa"/>
            </w:tcMar>
            <w:vAlign w:val="center"/>
          </w:tcPr>
          <w:p w14:paraId="60F330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72.56 </w:t>
            </w:r>
            <w:r>
              <w:rPr>
                <w:rFonts w:hint="default" w:ascii="Times New Roman" w:hAnsi="Times New Roman" w:eastAsia="sans-serif" w:cs="Times New Roman"/>
                <w:i w:val="0"/>
                <w:iCs w:val="0"/>
                <w:caps w:val="0"/>
                <w:color w:val="3D3D3A"/>
                <w:spacing w:val="0"/>
                <w:kern w:val="0"/>
                <w:sz w:val="21"/>
                <w:szCs w:val="21"/>
                <w:lang w:val="en-US" w:eastAsia="zh-CN" w:bidi="ar"/>
              </w:rPr>
              <w:t>(highest)</w:t>
            </w:r>
          </w:p>
        </w:tc>
        <w:tc>
          <w:tcPr>
            <w:tcW w:w="2498" w:type="dxa"/>
            <w:shd w:val="clear" w:color="auto" w:fill="auto"/>
            <w:tcMar>
              <w:top w:w="60" w:type="dxa"/>
              <w:left w:w="120" w:type="dxa"/>
              <w:bottom w:w="60" w:type="dxa"/>
              <w:right w:w="120" w:type="dxa"/>
            </w:tcMar>
            <w:vAlign w:val="center"/>
          </w:tcPr>
          <w:p w14:paraId="7CA75C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66.37</w:t>
            </w:r>
          </w:p>
        </w:tc>
      </w:tr>
      <w:tr w14:paraId="04153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120" w:type="dxa"/>
              <w:bottom w:w="60" w:type="dxa"/>
              <w:right w:w="120" w:type="dxa"/>
            </w:tcMar>
            <w:vAlign w:val="center"/>
          </w:tcPr>
          <w:p w14:paraId="7C2447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Clinical interpretability score, points</w:t>
            </w:r>
          </w:p>
        </w:tc>
        <w:tc>
          <w:tcPr>
            <w:tcW w:w="2500" w:type="dxa"/>
            <w:shd w:val="clear" w:color="auto" w:fill="auto"/>
            <w:tcMar>
              <w:top w:w="60" w:type="dxa"/>
              <w:left w:w="120" w:type="dxa"/>
              <w:bottom w:w="60" w:type="dxa"/>
              <w:right w:w="120" w:type="dxa"/>
            </w:tcMar>
            <w:vAlign w:val="center"/>
          </w:tcPr>
          <w:p w14:paraId="069179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w:t>
            </w:r>
          </w:p>
        </w:tc>
        <w:tc>
          <w:tcPr>
            <w:tcW w:w="2498" w:type="dxa"/>
            <w:shd w:val="clear" w:color="auto" w:fill="auto"/>
            <w:tcMar>
              <w:top w:w="60" w:type="dxa"/>
              <w:left w:w="120" w:type="dxa"/>
              <w:bottom w:w="60" w:type="dxa"/>
              <w:right w:w="120" w:type="dxa"/>
            </w:tcMar>
            <w:vAlign w:val="center"/>
          </w:tcPr>
          <w:p w14:paraId="40931E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100 </w:t>
            </w:r>
            <w:r>
              <w:rPr>
                <w:rFonts w:hint="default" w:ascii="Times New Roman" w:hAnsi="Times New Roman" w:eastAsia="sans-serif" w:cs="Times New Roman"/>
                <w:i w:val="0"/>
                <w:iCs w:val="0"/>
                <w:caps w:val="0"/>
                <w:color w:val="3D3D3A"/>
                <w:spacing w:val="0"/>
                <w:kern w:val="0"/>
                <w:sz w:val="21"/>
                <w:szCs w:val="21"/>
                <w:lang w:val="en-US" w:eastAsia="zh-CN" w:bidi="ar"/>
              </w:rPr>
              <w:t>(highest)</w:t>
            </w:r>
          </w:p>
        </w:tc>
      </w:tr>
      <w:tr w14:paraId="5955E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8327" w:type="dxa"/>
            <w:gridSpan w:val="3"/>
            <w:shd w:val="clear" w:color="auto" w:fill="auto"/>
            <w:tcMar>
              <w:top w:w="72" w:type="dxa"/>
              <w:left w:w="120" w:type="dxa"/>
              <w:bottom w:w="72" w:type="dxa"/>
              <w:right w:w="120" w:type="dxa"/>
            </w:tcMar>
            <w:vAlign w:val="center"/>
          </w:tcPr>
          <w:p w14:paraId="6664176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Model 1 — unadjusted</w:t>
            </w:r>
          </w:p>
        </w:tc>
      </w:tr>
      <w:tr w14:paraId="36C77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159440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Q1 (reference)</w:t>
            </w:r>
          </w:p>
        </w:tc>
        <w:tc>
          <w:tcPr>
            <w:tcW w:w="2500" w:type="dxa"/>
            <w:shd w:val="clear" w:color="auto" w:fill="auto"/>
            <w:tcMar>
              <w:top w:w="60" w:type="dxa"/>
              <w:left w:w="120" w:type="dxa"/>
              <w:bottom w:w="60" w:type="dxa"/>
              <w:right w:w="120" w:type="dxa"/>
            </w:tcMar>
            <w:vAlign w:val="center"/>
          </w:tcPr>
          <w:p w14:paraId="5F835C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1.00 (ref)</w:t>
            </w:r>
          </w:p>
        </w:tc>
        <w:tc>
          <w:tcPr>
            <w:tcW w:w="2498" w:type="dxa"/>
            <w:shd w:val="clear" w:color="auto" w:fill="auto"/>
            <w:tcMar>
              <w:top w:w="60" w:type="dxa"/>
              <w:left w:w="120" w:type="dxa"/>
              <w:bottom w:w="60" w:type="dxa"/>
              <w:right w:w="120" w:type="dxa"/>
            </w:tcMar>
            <w:vAlign w:val="center"/>
          </w:tcPr>
          <w:p w14:paraId="03BA93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1.00 (ref)</w:t>
            </w:r>
          </w:p>
        </w:tc>
      </w:tr>
      <w:tr w14:paraId="10D8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35E673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Q2: HR (95% CI)</w:t>
            </w:r>
          </w:p>
        </w:tc>
        <w:tc>
          <w:tcPr>
            <w:tcW w:w="2500" w:type="dxa"/>
            <w:shd w:val="clear" w:color="auto" w:fill="auto"/>
            <w:tcMar>
              <w:top w:w="60" w:type="dxa"/>
              <w:left w:w="120" w:type="dxa"/>
              <w:bottom w:w="60" w:type="dxa"/>
              <w:right w:w="120" w:type="dxa"/>
            </w:tcMar>
            <w:vAlign w:val="center"/>
          </w:tcPr>
          <w:p w14:paraId="4AF1A9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1.41 (1.28–1.55)</w:t>
            </w:r>
          </w:p>
        </w:tc>
        <w:tc>
          <w:tcPr>
            <w:tcW w:w="2498" w:type="dxa"/>
            <w:shd w:val="clear" w:color="auto" w:fill="auto"/>
            <w:tcMar>
              <w:top w:w="60" w:type="dxa"/>
              <w:left w:w="120" w:type="dxa"/>
              <w:bottom w:w="60" w:type="dxa"/>
              <w:right w:w="120" w:type="dxa"/>
            </w:tcMar>
            <w:vAlign w:val="center"/>
          </w:tcPr>
          <w:p w14:paraId="1BD4A18C">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1.45 (1.32-1.59)</w:t>
            </w:r>
          </w:p>
        </w:tc>
      </w:tr>
      <w:tr w14:paraId="07535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04955C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Q3: HR (95% CI)</w:t>
            </w:r>
          </w:p>
        </w:tc>
        <w:tc>
          <w:tcPr>
            <w:tcW w:w="2500" w:type="dxa"/>
            <w:shd w:val="clear" w:color="auto" w:fill="auto"/>
            <w:tcMar>
              <w:top w:w="60" w:type="dxa"/>
              <w:left w:w="120" w:type="dxa"/>
              <w:bottom w:w="60" w:type="dxa"/>
              <w:right w:w="120" w:type="dxa"/>
            </w:tcMar>
            <w:vAlign w:val="center"/>
          </w:tcPr>
          <w:p w14:paraId="42EB38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1.85 (1.68–2.02)</w:t>
            </w:r>
          </w:p>
        </w:tc>
        <w:tc>
          <w:tcPr>
            <w:tcW w:w="2498" w:type="dxa"/>
            <w:shd w:val="clear" w:color="auto" w:fill="auto"/>
            <w:tcMar>
              <w:top w:w="60" w:type="dxa"/>
              <w:left w:w="120" w:type="dxa"/>
              <w:bottom w:w="60" w:type="dxa"/>
              <w:right w:w="120" w:type="dxa"/>
            </w:tcMar>
            <w:vAlign w:val="center"/>
          </w:tcPr>
          <w:p w14:paraId="41B9DE8D">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1.75 (1.60-1.92)</w:t>
            </w:r>
          </w:p>
        </w:tc>
      </w:tr>
      <w:tr w14:paraId="3D84A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446C4F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Q4: HR (95% CI)</w:t>
            </w:r>
          </w:p>
        </w:tc>
        <w:tc>
          <w:tcPr>
            <w:tcW w:w="2500" w:type="dxa"/>
            <w:shd w:val="clear" w:color="auto" w:fill="auto"/>
            <w:tcMar>
              <w:top w:w="60" w:type="dxa"/>
              <w:left w:w="120" w:type="dxa"/>
              <w:bottom w:w="60" w:type="dxa"/>
              <w:right w:w="120" w:type="dxa"/>
            </w:tcMar>
            <w:vAlign w:val="center"/>
          </w:tcPr>
          <w:p w14:paraId="35B03E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2.52 (2.31–2.75)</w:t>
            </w:r>
          </w:p>
        </w:tc>
        <w:tc>
          <w:tcPr>
            <w:tcW w:w="2498" w:type="dxa"/>
            <w:shd w:val="clear" w:color="auto" w:fill="auto"/>
            <w:tcMar>
              <w:top w:w="60" w:type="dxa"/>
              <w:left w:w="120" w:type="dxa"/>
              <w:bottom w:w="60" w:type="dxa"/>
              <w:right w:w="120" w:type="dxa"/>
            </w:tcMar>
            <w:vAlign w:val="center"/>
          </w:tcPr>
          <w:p w14:paraId="0305B1E2">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2.26 (2.08-2.47)</w:t>
            </w:r>
          </w:p>
        </w:tc>
      </w:tr>
      <w:tr w14:paraId="0874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23AF67C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P for trend</w:t>
            </w:r>
          </w:p>
        </w:tc>
        <w:tc>
          <w:tcPr>
            <w:tcW w:w="2500" w:type="dxa"/>
            <w:shd w:val="clear" w:color="auto" w:fill="auto"/>
            <w:tcMar>
              <w:top w:w="60" w:type="dxa"/>
              <w:left w:w="120" w:type="dxa"/>
              <w:bottom w:w="60" w:type="dxa"/>
              <w:right w:w="120" w:type="dxa"/>
            </w:tcMar>
            <w:vAlign w:val="center"/>
          </w:tcPr>
          <w:p w14:paraId="632CDE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3D3D3A"/>
                <w:spacing w:val="0"/>
                <w:sz w:val="21"/>
                <w:szCs w:val="21"/>
              </w:rPr>
            </w:pPr>
            <w:r>
              <w:rPr>
                <w:rFonts w:hint="default" w:ascii="Times New Roman" w:hAnsi="Times New Roman" w:eastAsia="sans-serif" w:cs="Times New Roman"/>
                <w:i w:val="0"/>
                <w:iCs w:val="0"/>
                <w:caps w:val="0"/>
                <w:color w:val="3D3D3A"/>
                <w:spacing w:val="0"/>
                <w:kern w:val="0"/>
                <w:sz w:val="21"/>
                <w:szCs w:val="21"/>
                <w:lang w:val="en-US" w:eastAsia="zh-CN" w:bidi="ar"/>
              </w:rPr>
              <w:t>&lt;0.001</w:t>
            </w:r>
          </w:p>
        </w:tc>
        <w:tc>
          <w:tcPr>
            <w:tcW w:w="2498" w:type="dxa"/>
            <w:shd w:val="clear" w:color="auto" w:fill="auto"/>
            <w:tcMar>
              <w:top w:w="60" w:type="dxa"/>
              <w:left w:w="120" w:type="dxa"/>
              <w:bottom w:w="60" w:type="dxa"/>
              <w:right w:w="120" w:type="dxa"/>
            </w:tcMar>
            <w:vAlign w:val="center"/>
          </w:tcPr>
          <w:p w14:paraId="201425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3D3D3A"/>
                <w:spacing w:val="0"/>
                <w:sz w:val="21"/>
                <w:szCs w:val="21"/>
              </w:rPr>
            </w:pPr>
            <w:r>
              <w:rPr>
                <w:rFonts w:hint="default" w:ascii="Times New Roman" w:hAnsi="Times New Roman" w:eastAsia="sans-serif" w:cs="Times New Roman"/>
                <w:i w:val="0"/>
                <w:iCs w:val="0"/>
                <w:caps w:val="0"/>
                <w:color w:val="3D3D3A"/>
                <w:spacing w:val="0"/>
                <w:kern w:val="0"/>
                <w:sz w:val="21"/>
                <w:szCs w:val="21"/>
                <w:lang w:val="en-US" w:eastAsia="zh-CN" w:bidi="ar"/>
              </w:rPr>
              <w:t>&lt;0.001</w:t>
            </w:r>
          </w:p>
        </w:tc>
      </w:tr>
      <w:tr w14:paraId="26110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8327" w:type="dxa"/>
            <w:gridSpan w:val="3"/>
            <w:shd w:val="clear" w:color="auto" w:fill="auto"/>
            <w:tcMar>
              <w:top w:w="72" w:type="dxa"/>
              <w:left w:w="120" w:type="dxa"/>
              <w:bottom w:w="72" w:type="dxa"/>
              <w:right w:w="120" w:type="dxa"/>
            </w:tcMar>
            <w:vAlign w:val="center"/>
          </w:tcPr>
          <w:p w14:paraId="61BB0B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Model 2 — partially adjusted</w:t>
            </w:r>
            <w:r>
              <w:rPr>
                <w:rFonts w:hint="default" w:ascii="Times New Roman" w:hAnsi="Times New Roman" w:eastAsia="sans-serif" w:cs="Times New Roman"/>
                <w:i w:val="0"/>
                <w:iCs w:val="0"/>
                <w:caps w:val="0"/>
                <w:color w:val="141413"/>
                <w:spacing w:val="0"/>
                <w:kern w:val="0"/>
                <w:sz w:val="21"/>
                <w:szCs w:val="21"/>
                <w:vertAlign w:val="superscript"/>
                <w:lang w:val="en-US" w:eastAsia="zh-CN" w:bidi="ar"/>
              </w:rPr>
              <w:t>a</w:t>
            </w:r>
          </w:p>
        </w:tc>
      </w:tr>
      <w:tr w14:paraId="67F11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0735C2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Q1 (reference)</w:t>
            </w:r>
          </w:p>
        </w:tc>
        <w:tc>
          <w:tcPr>
            <w:tcW w:w="2500" w:type="dxa"/>
            <w:shd w:val="clear" w:color="auto" w:fill="auto"/>
            <w:tcMar>
              <w:top w:w="60" w:type="dxa"/>
              <w:left w:w="120" w:type="dxa"/>
              <w:bottom w:w="60" w:type="dxa"/>
              <w:right w:w="120" w:type="dxa"/>
            </w:tcMar>
            <w:vAlign w:val="center"/>
          </w:tcPr>
          <w:p w14:paraId="4F434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1.00 (ref)</w:t>
            </w:r>
          </w:p>
        </w:tc>
        <w:tc>
          <w:tcPr>
            <w:tcW w:w="2498" w:type="dxa"/>
            <w:shd w:val="clear" w:color="auto" w:fill="auto"/>
            <w:tcMar>
              <w:top w:w="60" w:type="dxa"/>
              <w:left w:w="120" w:type="dxa"/>
              <w:bottom w:w="60" w:type="dxa"/>
              <w:right w:w="120" w:type="dxa"/>
            </w:tcMar>
            <w:vAlign w:val="center"/>
          </w:tcPr>
          <w:p w14:paraId="5B5664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1.00 (ref)</w:t>
            </w:r>
          </w:p>
        </w:tc>
      </w:tr>
      <w:tr w14:paraId="7B153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59E96B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Q2: HR (95% CI)</w:t>
            </w:r>
          </w:p>
        </w:tc>
        <w:tc>
          <w:tcPr>
            <w:tcW w:w="2500" w:type="dxa"/>
            <w:shd w:val="clear" w:color="auto" w:fill="auto"/>
            <w:tcMar>
              <w:top w:w="60" w:type="dxa"/>
              <w:left w:w="120" w:type="dxa"/>
              <w:bottom w:w="60" w:type="dxa"/>
              <w:right w:w="120" w:type="dxa"/>
            </w:tcMar>
            <w:vAlign w:val="center"/>
          </w:tcPr>
          <w:p w14:paraId="016C20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1.12 (1.01–1.24)</w:t>
            </w:r>
          </w:p>
        </w:tc>
        <w:tc>
          <w:tcPr>
            <w:tcW w:w="2498" w:type="dxa"/>
            <w:shd w:val="clear" w:color="auto" w:fill="auto"/>
            <w:tcMar>
              <w:top w:w="60" w:type="dxa"/>
              <w:left w:w="120" w:type="dxa"/>
              <w:bottom w:w="60" w:type="dxa"/>
              <w:right w:w="120" w:type="dxa"/>
            </w:tcMar>
            <w:vAlign w:val="center"/>
          </w:tcPr>
          <w:p w14:paraId="26858D4B">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1.14 (1.03-1.26)</w:t>
            </w:r>
          </w:p>
        </w:tc>
      </w:tr>
      <w:tr w14:paraId="4B1F1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51E2590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Q3: HR (95% CI)</w:t>
            </w:r>
          </w:p>
        </w:tc>
        <w:tc>
          <w:tcPr>
            <w:tcW w:w="2500" w:type="dxa"/>
            <w:shd w:val="clear" w:color="auto" w:fill="auto"/>
            <w:tcMar>
              <w:top w:w="60" w:type="dxa"/>
              <w:left w:w="120" w:type="dxa"/>
              <w:bottom w:w="60" w:type="dxa"/>
              <w:right w:w="120" w:type="dxa"/>
            </w:tcMar>
            <w:vAlign w:val="center"/>
          </w:tcPr>
          <w:p w14:paraId="2F4DC9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1.27 (1.13–1.42)</w:t>
            </w:r>
          </w:p>
        </w:tc>
        <w:tc>
          <w:tcPr>
            <w:tcW w:w="2498" w:type="dxa"/>
            <w:shd w:val="clear" w:color="auto" w:fill="auto"/>
            <w:tcMar>
              <w:top w:w="60" w:type="dxa"/>
              <w:left w:w="120" w:type="dxa"/>
              <w:bottom w:w="60" w:type="dxa"/>
              <w:right w:w="120" w:type="dxa"/>
            </w:tcMar>
            <w:vAlign w:val="center"/>
          </w:tcPr>
          <w:p w14:paraId="15379B6F">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1.27 (1.14-1.40)</w:t>
            </w:r>
          </w:p>
        </w:tc>
      </w:tr>
      <w:tr w14:paraId="469F5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5DD4AD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Q4: HR (95% CI)</w:t>
            </w:r>
          </w:p>
        </w:tc>
        <w:tc>
          <w:tcPr>
            <w:tcW w:w="2500" w:type="dxa"/>
            <w:shd w:val="clear" w:color="auto" w:fill="auto"/>
            <w:tcMar>
              <w:top w:w="60" w:type="dxa"/>
              <w:left w:w="120" w:type="dxa"/>
              <w:bottom w:w="60" w:type="dxa"/>
              <w:right w:w="120" w:type="dxa"/>
            </w:tcMar>
            <w:vAlign w:val="center"/>
          </w:tcPr>
          <w:p w14:paraId="1DDE8E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1.59 (1.42–1.79)</w:t>
            </w:r>
          </w:p>
        </w:tc>
        <w:tc>
          <w:tcPr>
            <w:tcW w:w="2498" w:type="dxa"/>
            <w:shd w:val="clear" w:color="auto" w:fill="auto"/>
            <w:tcMar>
              <w:top w:w="60" w:type="dxa"/>
              <w:left w:w="120" w:type="dxa"/>
              <w:bottom w:w="60" w:type="dxa"/>
              <w:right w:w="120" w:type="dxa"/>
            </w:tcMar>
            <w:vAlign w:val="center"/>
          </w:tcPr>
          <w:p w14:paraId="537FC172">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1.49 (1.35-1.65)</w:t>
            </w:r>
          </w:p>
        </w:tc>
      </w:tr>
      <w:tr w14:paraId="7B489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4DF42F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P for trend</w:t>
            </w:r>
          </w:p>
        </w:tc>
        <w:tc>
          <w:tcPr>
            <w:tcW w:w="2500" w:type="dxa"/>
            <w:shd w:val="clear" w:color="auto" w:fill="auto"/>
            <w:tcMar>
              <w:top w:w="60" w:type="dxa"/>
              <w:left w:w="120" w:type="dxa"/>
              <w:bottom w:w="60" w:type="dxa"/>
              <w:right w:w="120" w:type="dxa"/>
            </w:tcMar>
            <w:vAlign w:val="center"/>
          </w:tcPr>
          <w:p w14:paraId="3AAEA8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3D3D3A"/>
                <w:spacing w:val="0"/>
                <w:sz w:val="21"/>
                <w:szCs w:val="21"/>
              </w:rPr>
            </w:pPr>
            <w:r>
              <w:rPr>
                <w:rFonts w:hint="default" w:ascii="Times New Roman" w:hAnsi="Times New Roman" w:eastAsia="sans-serif" w:cs="Times New Roman"/>
                <w:i w:val="0"/>
                <w:iCs w:val="0"/>
                <w:caps w:val="0"/>
                <w:color w:val="3D3D3A"/>
                <w:spacing w:val="0"/>
                <w:kern w:val="0"/>
                <w:sz w:val="21"/>
                <w:szCs w:val="21"/>
                <w:lang w:val="en-US" w:eastAsia="zh-CN" w:bidi="ar"/>
              </w:rPr>
              <w:t>&lt;0.001</w:t>
            </w:r>
          </w:p>
        </w:tc>
        <w:tc>
          <w:tcPr>
            <w:tcW w:w="2498" w:type="dxa"/>
            <w:shd w:val="clear" w:color="auto" w:fill="auto"/>
            <w:tcMar>
              <w:top w:w="60" w:type="dxa"/>
              <w:left w:w="120" w:type="dxa"/>
              <w:bottom w:w="60" w:type="dxa"/>
              <w:right w:w="120" w:type="dxa"/>
            </w:tcMar>
            <w:vAlign w:val="center"/>
          </w:tcPr>
          <w:p w14:paraId="1FEA70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3D3D3A"/>
                <w:spacing w:val="0"/>
                <w:sz w:val="21"/>
                <w:szCs w:val="21"/>
              </w:rPr>
            </w:pPr>
            <w:r>
              <w:rPr>
                <w:rFonts w:hint="default" w:ascii="Times New Roman" w:hAnsi="Times New Roman" w:eastAsia="sans-serif" w:cs="Times New Roman"/>
                <w:i w:val="0"/>
                <w:iCs w:val="0"/>
                <w:caps w:val="0"/>
                <w:color w:val="3D3D3A"/>
                <w:spacing w:val="0"/>
                <w:kern w:val="0"/>
                <w:sz w:val="21"/>
                <w:szCs w:val="21"/>
                <w:lang w:val="en-US" w:eastAsia="zh-CN" w:bidi="ar"/>
              </w:rPr>
              <w:t>&lt;0.001</w:t>
            </w:r>
          </w:p>
        </w:tc>
      </w:tr>
      <w:tr w14:paraId="13FB9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8327" w:type="dxa"/>
            <w:gridSpan w:val="3"/>
            <w:shd w:val="clear" w:color="auto" w:fill="auto"/>
            <w:tcMar>
              <w:top w:w="72" w:type="dxa"/>
              <w:left w:w="120" w:type="dxa"/>
              <w:bottom w:w="72" w:type="dxa"/>
              <w:right w:w="120" w:type="dxa"/>
            </w:tcMar>
            <w:vAlign w:val="center"/>
          </w:tcPr>
          <w:p w14:paraId="34696C5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Model 3 — fully adjusted</w:t>
            </w:r>
            <w:r>
              <w:rPr>
                <w:rFonts w:hint="default" w:ascii="Times New Roman" w:hAnsi="Times New Roman" w:eastAsia="sans-serif" w:cs="Times New Roman"/>
                <w:i w:val="0"/>
                <w:iCs w:val="0"/>
                <w:caps w:val="0"/>
                <w:color w:val="141413"/>
                <w:spacing w:val="0"/>
                <w:kern w:val="0"/>
                <w:sz w:val="21"/>
                <w:szCs w:val="21"/>
                <w:vertAlign w:val="superscript"/>
                <w:lang w:val="en-US" w:eastAsia="zh-CN" w:bidi="ar"/>
              </w:rPr>
              <w:t>b</w:t>
            </w:r>
          </w:p>
        </w:tc>
      </w:tr>
      <w:tr w14:paraId="2D5D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16B929F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Q1 (reference)</w:t>
            </w:r>
          </w:p>
        </w:tc>
        <w:tc>
          <w:tcPr>
            <w:tcW w:w="2500" w:type="dxa"/>
            <w:shd w:val="clear" w:color="auto" w:fill="auto"/>
            <w:tcMar>
              <w:top w:w="60" w:type="dxa"/>
              <w:left w:w="120" w:type="dxa"/>
              <w:bottom w:w="60" w:type="dxa"/>
              <w:right w:w="120" w:type="dxa"/>
            </w:tcMar>
            <w:vAlign w:val="center"/>
          </w:tcPr>
          <w:p w14:paraId="149DCC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1.00 (ref)</w:t>
            </w:r>
          </w:p>
        </w:tc>
        <w:tc>
          <w:tcPr>
            <w:tcW w:w="2498" w:type="dxa"/>
            <w:shd w:val="clear" w:color="auto" w:fill="auto"/>
            <w:tcMar>
              <w:top w:w="60" w:type="dxa"/>
              <w:left w:w="120" w:type="dxa"/>
              <w:bottom w:w="60" w:type="dxa"/>
              <w:right w:w="120" w:type="dxa"/>
            </w:tcMar>
            <w:vAlign w:val="center"/>
          </w:tcPr>
          <w:p w14:paraId="6142D0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1.00 (ref)</w:t>
            </w:r>
          </w:p>
        </w:tc>
      </w:tr>
      <w:tr w14:paraId="4756D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4EDC3A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Q2: HR (95% CI)</w:t>
            </w:r>
          </w:p>
        </w:tc>
        <w:tc>
          <w:tcPr>
            <w:tcW w:w="2500" w:type="dxa"/>
            <w:shd w:val="clear" w:color="auto" w:fill="auto"/>
            <w:tcMar>
              <w:top w:w="60" w:type="dxa"/>
              <w:left w:w="120" w:type="dxa"/>
              <w:bottom w:w="60" w:type="dxa"/>
              <w:right w:w="120" w:type="dxa"/>
            </w:tcMar>
            <w:vAlign w:val="center"/>
          </w:tcPr>
          <w:p w14:paraId="331513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1.09 (0.98–1.21) </w:t>
            </w:r>
            <w:r>
              <w:rPr>
                <w:rFonts w:hint="default" w:ascii="Times New Roman" w:hAnsi="Times New Roman" w:eastAsia="sans-serif" w:cs="Times New Roman"/>
                <w:i w:val="0"/>
                <w:iCs w:val="0"/>
                <w:caps w:val="0"/>
                <w:color w:val="3D3D3A"/>
                <w:spacing w:val="0"/>
                <w:kern w:val="0"/>
                <w:sz w:val="21"/>
                <w:szCs w:val="21"/>
                <w:lang w:val="en-US" w:eastAsia="zh-CN" w:bidi="ar"/>
              </w:rPr>
              <w:t>†</w:t>
            </w:r>
          </w:p>
        </w:tc>
        <w:tc>
          <w:tcPr>
            <w:tcW w:w="2498" w:type="dxa"/>
            <w:shd w:val="clear" w:color="auto" w:fill="auto"/>
            <w:tcMar>
              <w:top w:w="60" w:type="dxa"/>
              <w:left w:w="120" w:type="dxa"/>
              <w:bottom w:w="60" w:type="dxa"/>
              <w:right w:w="120" w:type="dxa"/>
            </w:tcMar>
            <w:vAlign w:val="center"/>
          </w:tcPr>
          <w:p w14:paraId="42D8C725">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1.13 (1.02-1.25)</w:t>
            </w:r>
          </w:p>
        </w:tc>
      </w:tr>
      <w:tr w14:paraId="2C24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7D39B60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Q3: HR (95% CI)</w:t>
            </w:r>
          </w:p>
        </w:tc>
        <w:tc>
          <w:tcPr>
            <w:tcW w:w="2500" w:type="dxa"/>
            <w:shd w:val="clear" w:color="auto" w:fill="auto"/>
            <w:tcMar>
              <w:top w:w="60" w:type="dxa"/>
              <w:left w:w="120" w:type="dxa"/>
              <w:bottom w:w="60" w:type="dxa"/>
              <w:right w:w="120" w:type="dxa"/>
            </w:tcMar>
            <w:vAlign w:val="center"/>
          </w:tcPr>
          <w:p w14:paraId="174688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1.27 (1.13–1.42)</w:t>
            </w:r>
          </w:p>
        </w:tc>
        <w:tc>
          <w:tcPr>
            <w:tcW w:w="2498" w:type="dxa"/>
            <w:shd w:val="clear" w:color="auto" w:fill="auto"/>
            <w:tcMar>
              <w:top w:w="60" w:type="dxa"/>
              <w:left w:w="120" w:type="dxa"/>
              <w:bottom w:w="60" w:type="dxa"/>
              <w:right w:w="120" w:type="dxa"/>
            </w:tcMar>
            <w:vAlign w:val="center"/>
          </w:tcPr>
          <w:p w14:paraId="2E226A84">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1.22 (1.10-1.36)</w:t>
            </w:r>
          </w:p>
        </w:tc>
      </w:tr>
      <w:tr w14:paraId="689F3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shd w:val="clear" w:color="auto" w:fill="auto"/>
            <w:tcMar>
              <w:top w:w="60" w:type="dxa"/>
              <w:left w:w="240" w:type="dxa"/>
              <w:bottom w:w="60" w:type="dxa"/>
              <w:right w:w="120" w:type="dxa"/>
            </w:tcMar>
            <w:vAlign w:val="center"/>
          </w:tcPr>
          <w:p w14:paraId="25A6B07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Q4: HR (95% CI)</w:t>
            </w:r>
          </w:p>
        </w:tc>
        <w:tc>
          <w:tcPr>
            <w:tcW w:w="2500" w:type="dxa"/>
            <w:shd w:val="clear" w:color="auto" w:fill="auto"/>
            <w:tcMar>
              <w:top w:w="60" w:type="dxa"/>
              <w:left w:w="120" w:type="dxa"/>
              <w:bottom w:w="60" w:type="dxa"/>
              <w:right w:w="120" w:type="dxa"/>
            </w:tcMar>
            <w:vAlign w:val="center"/>
          </w:tcPr>
          <w:p w14:paraId="044217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sans-serif" w:cs="Times New Roman"/>
                <w:i w:val="0"/>
                <w:iCs w:val="0"/>
                <w:caps w:val="0"/>
                <w:color w:val="141413"/>
                <w:spacing w:val="0"/>
                <w:kern w:val="0"/>
                <w:sz w:val="21"/>
                <w:szCs w:val="21"/>
                <w:lang w:val="en-US" w:eastAsia="zh-CN" w:bidi="ar"/>
              </w:rPr>
              <w:t>1.51 (1.34–1.71)</w:t>
            </w:r>
          </w:p>
        </w:tc>
        <w:tc>
          <w:tcPr>
            <w:tcW w:w="2498" w:type="dxa"/>
            <w:shd w:val="clear" w:color="auto" w:fill="auto"/>
            <w:tcMar>
              <w:top w:w="60" w:type="dxa"/>
              <w:left w:w="120" w:type="dxa"/>
              <w:bottom w:w="60" w:type="dxa"/>
              <w:right w:w="120" w:type="dxa"/>
            </w:tcMar>
            <w:vAlign w:val="center"/>
          </w:tcPr>
          <w:p w14:paraId="77CB6623">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sans-serif" w:cs="Times New Roman"/>
                <w:i w:val="0"/>
                <w:iCs w:val="0"/>
                <w:caps w:val="0"/>
                <w:color w:val="141413"/>
                <w:spacing w:val="0"/>
                <w:sz w:val="21"/>
                <w:szCs w:val="21"/>
              </w:rPr>
            </w:pPr>
            <w:r>
              <w:rPr>
                <w:rFonts w:hint="default" w:ascii="Times New Roman" w:hAnsi="Times New Roman" w:eastAsia="Calibri" w:cs="Times New Roman"/>
                <w:i w:val="0"/>
                <w:iCs w:val="0"/>
                <w:caps w:val="0"/>
                <w:color w:val="333333"/>
                <w:spacing w:val="0"/>
                <w:kern w:val="0"/>
                <w:sz w:val="21"/>
                <w:szCs w:val="21"/>
                <w:lang w:val="en-US" w:eastAsia="zh-CN" w:bidi="ar"/>
              </w:rPr>
              <w:t>1.42 (1.28-1.59)</w:t>
            </w:r>
          </w:p>
        </w:tc>
      </w:tr>
      <w:tr w14:paraId="0C1AD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3329" w:type="dxa"/>
            <w:tcBorders>
              <w:bottom w:val="single" w:color="auto" w:sz="12" w:space="0"/>
            </w:tcBorders>
            <w:shd w:val="clear" w:color="auto" w:fill="auto"/>
            <w:tcMar>
              <w:top w:w="60" w:type="dxa"/>
              <w:left w:w="240" w:type="dxa"/>
              <w:bottom w:w="60" w:type="dxa"/>
              <w:right w:w="120" w:type="dxa"/>
            </w:tcMar>
            <w:vAlign w:val="center"/>
          </w:tcPr>
          <w:p w14:paraId="2CBCF1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sans-serif" w:cs="Times New Roman"/>
                <w:i/>
                <w:iCs/>
                <w:caps w:val="0"/>
                <w:color w:val="3D3D3A"/>
                <w:spacing w:val="0"/>
                <w:sz w:val="21"/>
                <w:szCs w:val="21"/>
              </w:rPr>
            </w:pPr>
            <w:r>
              <w:rPr>
                <w:rFonts w:hint="default" w:ascii="Times New Roman" w:hAnsi="Times New Roman" w:eastAsia="sans-serif" w:cs="Times New Roman"/>
                <w:i/>
                <w:iCs/>
                <w:caps w:val="0"/>
                <w:color w:val="3D3D3A"/>
                <w:spacing w:val="0"/>
                <w:kern w:val="0"/>
                <w:sz w:val="21"/>
                <w:szCs w:val="21"/>
                <w:lang w:val="en-US" w:eastAsia="zh-CN" w:bidi="ar"/>
              </w:rPr>
              <w:t>P for trend</w:t>
            </w:r>
          </w:p>
        </w:tc>
        <w:tc>
          <w:tcPr>
            <w:tcW w:w="2500" w:type="dxa"/>
            <w:tcBorders>
              <w:bottom w:val="single" w:color="auto" w:sz="12" w:space="0"/>
            </w:tcBorders>
            <w:shd w:val="clear" w:color="auto" w:fill="auto"/>
            <w:tcMar>
              <w:top w:w="60" w:type="dxa"/>
              <w:left w:w="120" w:type="dxa"/>
              <w:bottom w:w="60" w:type="dxa"/>
              <w:right w:w="120" w:type="dxa"/>
            </w:tcMar>
            <w:vAlign w:val="center"/>
          </w:tcPr>
          <w:p w14:paraId="7EF676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3D3D3A"/>
                <w:spacing w:val="0"/>
                <w:sz w:val="21"/>
                <w:szCs w:val="21"/>
              </w:rPr>
            </w:pPr>
            <w:r>
              <w:rPr>
                <w:rFonts w:hint="default" w:ascii="Times New Roman" w:hAnsi="Times New Roman" w:eastAsia="sans-serif" w:cs="Times New Roman"/>
                <w:i w:val="0"/>
                <w:iCs w:val="0"/>
                <w:caps w:val="0"/>
                <w:color w:val="3D3D3A"/>
                <w:spacing w:val="0"/>
                <w:kern w:val="0"/>
                <w:sz w:val="21"/>
                <w:szCs w:val="21"/>
                <w:lang w:val="en-US" w:eastAsia="zh-CN" w:bidi="ar"/>
              </w:rPr>
              <w:t>&lt;0.001</w:t>
            </w:r>
          </w:p>
        </w:tc>
        <w:tc>
          <w:tcPr>
            <w:tcW w:w="2498" w:type="dxa"/>
            <w:tcBorders>
              <w:bottom w:val="single" w:color="auto" w:sz="12" w:space="0"/>
            </w:tcBorders>
            <w:shd w:val="clear" w:color="auto" w:fill="auto"/>
            <w:tcMar>
              <w:top w:w="60" w:type="dxa"/>
              <w:left w:w="120" w:type="dxa"/>
              <w:bottom w:w="60" w:type="dxa"/>
              <w:right w:w="120" w:type="dxa"/>
            </w:tcMar>
            <w:vAlign w:val="center"/>
          </w:tcPr>
          <w:p w14:paraId="6C5F53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sans-serif" w:cs="Times New Roman"/>
                <w:i w:val="0"/>
                <w:iCs w:val="0"/>
                <w:caps w:val="0"/>
                <w:color w:val="3D3D3A"/>
                <w:spacing w:val="0"/>
                <w:sz w:val="21"/>
                <w:szCs w:val="21"/>
              </w:rPr>
            </w:pPr>
            <w:r>
              <w:rPr>
                <w:rFonts w:hint="default" w:ascii="Times New Roman" w:hAnsi="Times New Roman" w:eastAsia="sans-serif" w:cs="Times New Roman"/>
                <w:i w:val="0"/>
                <w:iCs w:val="0"/>
                <w:caps w:val="0"/>
                <w:color w:val="3D3D3A"/>
                <w:spacing w:val="0"/>
                <w:kern w:val="0"/>
                <w:sz w:val="21"/>
                <w:szCs w:val="21"/>
                <w:lang w:val="en-US" w:eastAsia="zh-CN" w:bidi="ar"/>
              </w:rPr>
              <w:t>&lt;0.001</w:t>
            </w:r>
          </w:p>
        </w:tc>
      </w:tr>
    </w:tbl>
    <w:p w14:paraId="75542D0D">
      <w:pPr>
        <w:rPr>
          <w:rFonts w:hint="eastAsia" w:ascii="Times New Roman" w:hAnsi="Times New Roman" w:cs="Times New Roman"/>
          <w:lang w:val="en-US" w:eastAsia="zh-CN"/>
        </w:rPr>
      </w:pPr>
    </w:p>
    <w:p w14:paraId="18C0BC0D">
      <w:pPr>
        <w:spacing w:line="360" w:lineRule="auto"/>
        <w:rPr>
          <w:rFonts w:hint="eastAsia" w:ascii="Times New Roman" w:hAnsi="Times New Roman" w:cs="Times New Roman"/>
          <w:lang w:val="en-US" w:eastAsia="zh-CN"/>
        </w:rPr>
      </w:pPr>
    </w:p>
    <w:p w14:paraId="0D04BFED">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Supplementary Table S2. AWRI parameter optimisation results and sensitivity analysis comparing k = 50 and k = 100.</w:t>
      </w:r>
    </w:p>
    <w:p w14:paraId="668FB427">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The table below presents the raw performance metrics and composite scores for each of the seven candidate k values evaluated during AWRI parameter optimisation. For each k, performance was assessed on four dimensions: discriminative ability (AUC for in-hospital mortality), effect size (hazard ratio Q4 vs. Q1 from Cox regression), dose-response trend significance (P-value for quartile trend), and clinical interpretability (0–100 subjective score). Raw values were min-max normalised to a 0–100 scale before weighting. Composite scores were computed as the weighted sum of the four normalised dimension scores (weights: AUC 35%, HR 25%, trend significance 25%, interpretability 15%), as described in Supplementary Methods S1. The pre-specified decision rule stipulated that when two candidates scored within 10 points of each other on the composite scale, clinical interpretability would serve as the tiebreaker. k = 50 achieved the highest composite score (72.56), and k = 100 achieved the second-highest (66.37); because the difference (6.19 points) fell within the pre-specified 10-point margin, k = 100 was selected on the basis of superior clinical interpretability—its formulation as "a 10% increment in RDW weight per decade of age" is substantially more amenable to bedside recall and clinical communication than k = 50.</w:t>
      </w:r>
    </w:p>
    <w:p w14:paraId="6C7D8EC0">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a Model 2 adjusted for age, sex, race, BMI, heart rate, respiratory rate, systolic and diastolic blood pressure, oxygen saturation, body temperature, and oxygenation index.</w:t>
      </w:r>
    </w:p>
    <w:p w14:paraId="65680024">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b Model 3 further adjusted for comorbidities (myocardial infarction, congestive heart failure, cerebrovascular disease, chronic pulmonary disease, diabetes, renal disease, hypertension, sepsis, and others), laboratory indices (electrolytes, renal function markers, haematological parameters), and treatment variables (mechanical ventilation, vasopressor use, insulin, β-blockers, and others).</w:t>
      </w:r>
    </w:p>
    <w:p w14:paraId="539A4B81">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 P = 0.118 (not statistically significant at the 0.05 level). All other Q2–Q4 comparisons with Q1 reached P &lt; 0.05. AWRI = RDW × (1 + age/k). AUC values are compared using the DeLong method (P &lt; 0.001).</w:t>
      </w:r>
    </w:p>
    <w:p w14:paraId="071F3046">
      <w:pPr>
        <w:spacing w:line="360" w:lineRule="auto"/>
        <w:rPr>
          <w:rFonts w:hint="default" w:ascii="Times New Roman" w:hAnsi="Times New Roman" w:cs="Times New Roman"/>
          <w:lang w:val="en-US" w:eastAsia="zh-CN"/>
        </w:rPr>
      </w:pPr>
    </w:p>
    <w:p w14:paraId="56DB3494">
      <w:pPr>
        <w:spacing w:line="360" w:lineRule="exact"/>
        <w:jc w:val="both"/>
        <w:rPr>
          <w:rFonts w:hint="default" w:ascii="Times New Roman" w:hAnsi="Times New Roman" w:eastAsia="Times New Roman" w:cs="Times New Roman"/>
          <w:b w:val="0"/>
          <w:bCs w:val="0"/>
          <w:sz w:val="21"/>
          <w:szCs w:val="21"/>
          <w:lang w:val="en-US" w:eastAsia="zh-CN"/>
        </w:rPr>
      </w:pPr>
    </w:p>
    <w:p w14:paraId="6C1D1524">
      <w:pPr>
        <w:spacing w:line="360" w:lineRule="exact"/>
        <w:jc w:val="both"/>
        <w:rPr>
          <w:rFonts w:hint="default" w:ascii="Times New Roman" w:hAnsi="Times New Roman" w:eastAsia="Times New Roman" w:cs="Times New Roman"/>
          <w:b w:val="0"/>
          <w:bCs w:val="0"/>
          <w:sz w:val="21"/>
          <w:szCs w:val="21"/>
          <w:lang w:val="en-US" w:eastAsia="zh-CN"/>
        </w:rPr>
      </w:pPr>
    </w:p>
    <w:p w14:paraId="13C2FB09">
      <w:pPr>
        <w:spacing w:line="360" w:lineRule="exact"/>
        <w:jc w:val="both"/>
        <w:rPr>
          <w:rFonts w:hint="default" w:ascii="Times New Roman" w:hAnsi="Times New Roman" w:eastAsia="Times New Roman" w:cs="Times New Roman"/>
          <w:b w:val="0"/>
          <w:bCs w:val="0"/>
          <w:sz w:val="21"/>
          <w:szCs w:val="21"/>
          <w:lang w:val="en-US" w:eastAsia="zh-CN"/>
        </w:rPr>
      </w:pPr>
    </w:p>
    <w:p w14:paraId="12210006">
      <w:pPr>
        <w:spacing w:line="360" w:lineRule="exact"/>
        <w:jc w:val="both"/>
        <w:rPr>
          <w:rFonts w:hint="default" w:ascii="Times New Roman" w:hAnsi="Times New Roman" w:eastAsia="Times New Roman" w:cs="Times New Roman"/>
          <w:b w:val="0"/>
          <w:bCs w:val="0"/>
          <w:sz w:val="21"/>
          <w:szCs w:val="21"/>
          <w:lang w:val="en-US" w:eastAsia="zh-CN"/>
        </w:rPr>
      </w:pPr>
    </w:p>
    <w:p w14:paraId="42011DF8">
      <w:pPr>
        <w:spacing w:line="360" w:lineRule="exact"/>
        <w:jc w:val="both"/>
        <w:rPr>
          <w:rFonts w:hint="default" w:ascii="Times New Roman" w:hAnsi="Times New Roman" w:eastAsia="Times New Roman" w:cs="Times New Roman"/>
          <w:b w:val="0"/>
          <w:bCs w:val="0"/>
          <w:sz w:val="21"/>
          <w:szCs w:val="21"/>
          <w:lang w:val="en-US" w:eastAsia="zh-CN"/>
        </w:rPr>
      </w:pPr>
    </w:p>
    <w:p w14:paraId="2DE8662C">
      <w:pPr>
        <w:spacing w:line="360" w:lineRule="exact"/>
        <w:jc w:val="both"/>
        <w:rPr>
          <w:rFonts w:hint="default" w:ascii="Times New Roman" w:hAnsi="Times New Roman" w:eastAsia="Times New Roman" w:cs="Times New Roman"/>
          <w:b w:val="0"/>
          <w:bCs w:val="0"/>
          <w:sz w:val="21"/>
          <w:szCs w:val="21"/>
          <w:lang w:val="en-US" w:eastAsia="zh-CN"/>
        </w:rPr>
      </w:pPr>
    </w:p>
    <w:p w14:paraId="14A8A3B8">
      <w:pPr>
        <w:spacing w:line="360" w:lineRule="exact"/>
        <w:jc w:val="both"/>
        <w:rPr>
          <w:rFonts w:hint="default" w:ascii="Times New Roman" w:hAnsi="Times New Roman" w:eastAsia="Times New Roman" w:cs="Times New Roman"/>
          <w:b w:val="0"/>
          <w:bCs w:val="0"/>
          <w:sz w:val="21"/>
          <w:szCs w:val="21"/>
          <w:lang w:val="en-US" w:eastAsia="zh-CN"/>
        </w:rPr>
      </w:pPr>
    </w:p>
    <w:p w14:paraId="390D092E">
      <w:pPr>
        <w:spacing w:line="360" w:lineRule="exact"/>
        <w:jc w:val="both"/>
        <w:rPr>
          <w:rFonts w:hint="default" w:ascii="Times New Roman" w:hAnsi="Times New Roman" w:eastAsia="Times New Roman" w:cs="Times New Roman"/>
          <w:b w:val="0"/>
          <w:bCs w:val="0"/>
          <w:sz w:val="21"/>
          <w:szCs w:val="21"/>
          <w:lang w:val="en-US" w:eastAsia="zh-CN"/>
        </w:rPr>
      </w:pPr>
    </w:p>
    <w:p w14:paraId="22654251">
      <w:pPr>
        <w:spacing w:line="360" w:lineRule="exact"/>
        <w:jc w:val="both"/>
        <w:rPr>
          <w:rFonts w:hint="default" w:ascii="Times New Roman" w:hAnsi="Times New Roman" w:eastAsia="Times New Roman" w:cs="Times New Roman"/>
          <w:b w:val="0"/>
          <w:bCs w:val="0"/>
          <w:sz w:val="21"/>
          <w:szCs w:val="21"/>
          <w:lang w:val="en-US" w:eastAsia="zh-CN"/>
        </w:rPr>
      </w:pPr>
    </w:p>
    <w:p w14:paraId="2CBE9EB7">
      <w:pPr>
        <w:spacing w:line="360" w:lineRule="exact"/>
        <w:jc w:val="both"/>
        <w:rPr>
          <w:rFonts w:hint="default" w:ascii="Times New Roman" w:hAnsi="Times New Roman" w:eastAsia="Times New Roman" w:cs="Times New Roman"/>
          <w:b w:val="0"/>
          <w:bCs w:val="0"/>
          <w:sz w:val="21"/>
          <w:szCs w:val="21"/>
          <w:lang w:val="en-US" w:eastAsia="zh-CN"/>
        </w:rPr>
      </w:pPr>
    </w:p>
    <w:p w14:paraId="33F0265D">
      <w:pPr>
        <w:spacing w:line="360" w:lineRule="exact"/>
        <w:jc w:val="both"/>
        <w:rPr>
          <w:rFonts w:hint="default" w:ascii="Times New Roman" w:hAnsi="Times New Roman" w:eastAsia="Times New Roman" w:cs="Times New Roman"/>
          <w:b w:val="0"/>
          <w:bCs w:val="0"/>
          <w:sz w:val="21"/>
          <w:szCs w:val="21"/>
          <w:lang w:val="en-US" w:eastAsia="zh-CN"/>
        </w:rPr>
      </w:pPr>
    </w:p>
    <w:p w14:paraId="5F271669">
      <w:pPr>
        <w:spacing w:line="360" w:lineRule="exact"/>
        <w:jc w:val="both"/>
        <w:rPr>
          <w:rFonts w:hint="default" w:ascii="Times New Roman" w:hAnsi="Times New Roman" w:eastAsia="Times New Roman" w:cs="Times New Roman"/>
          <w:b w:val="0"/>
          <w:bCs w:val="0"/>
          <w:sz w:val="21"/>
          <w:szCs w:val="21"/>
          <w:lang w:val="en-US" w:eastAsia="zh-CN"/>
        </w:rPr>
      </w:pPr>
    </w:p>
    <w:p w14:paraId="15E0FD22">
      <w:pPr>
        <w:spacing w:line="360" w:lineRule="exact"/>
        <w:jc w:val="both"/>
        <w:rPr>
          <w:rFonts w:hint="default" w:ascii="Times New Roman" w:hAnsi="Times New Roman" w:eastAsia="Times New Roman" w:cs="Times New Roman"/>
          <w:b w:val="0"/>
          <w:bCs w:val="0"/>
          <w:sz w:val="21"/>
          <w:szCs w:val="21"/>
          <w:lang w:val="en-US" w:eastAsia="zh-CN"/>
        </w:rPr>
      </w:pPr>
    </w:p>
    <w:p w14:paraId="66DF009B">
      <w:pPr>
        <w:spacing w:line="360" w:lineRule="exact"/>
        <w:jc w:val="both"/>
        <w:rPr>
          <w:rFonts w:hint="default" w:ascii="Times New Roman" w:hAnsi="Times New Roman" w:eastAsia="Times New Roman" w:cs="Times New Roman"/>
          <w:b w:val="0"/>
          <w:bCs w:val="0"/>
          <w:sz w:val="21"/>
          <w:szCs w:val="21"/>
          <w:lang w:val="en-US" w:eastAsia="zh-CN"/>
        </w:rPr>
      </w:pPr>
    </w:p>
    <w:tbl>
      <w:tblPr>
        <w:tblStyle w:val="12"/>
        <w:tblpPr w:leftFromText="180" w:rightFromText="180" w:vertAnchor="text" w:horzAnchor="page" w:tblpX="1542" w:tblpY="27"/>
        <w:tblOverlap w:val="never"/>
        <w:tblW w:w="48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2"/>
        <w:gridCol w:w="1755"/>
        <w:gridCol w:w="2010"/>
        <w:gridCol w:w="1898"/>
      </w:tblGrid>
      <w:tr w14:paraId="0F1F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single" w:color="auto" w:sz="12" w:space="0"/>
              <w:left w:val="nil"/>
              <w:bottom w:val="single" w:color="auto" w:sz="8" w:space="0"/>
              <w:right w:val="nil"/>
            </w:tcBorders>
            <w:vAlign w:val="center"/>
          </w:tcPr>
          <w:p w14:paraId="515309A5">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c>
          <w:tcPr>
            <w:tcW w:w="971" w:type="pct"/>
            <w:tcBorders>
              <w:top w:val="single" w:color="auto" w:sz="12" w:space="0"/>
              <w:left w:val="nil"/>
              <w:bottom w:val="single" w:color="auto" w:sz="8" w:space="0"/>
              <w:right w:val="nil"/>
            </w:tcBorders>
            <w:vAlign w:val="center"/>
          </w:tcPr>
          <w:p w14:paraId="60ABFE9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b/>
                <w:bCs/>
                <w:kern w:val="0"/>
                <w:sz w:val="24"/>
                <w:szCs w:val="24"/>
                <w:lang w:val="en-US" w:eastAsia="zh-CN" w:bidi="ar"/>
              </w:rPr>
              <w:t>Model 1</w:t>
            </w:r>
          </w:p>
        </w:tc>
        <w:tc>
          <w:tcPr>
            <w:tcW w:w="1112" w:type="pct"/>
            <w:tcBorders>
              <w:top w:val="single" w:color="auto" w:sz="12" w:space="0"/>
              <w:left w:val="nil"/>
              <w:bottom w:val="single" w:color="auto" w:sz="8" w:space="0"/>
              <w:right w:val="nil"/>
            </w:tcBorders>
            <w:vAlign w:val="center"/>
          </w:tcPr>
          <w:p w14:paraId="4D53428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b/>
                <w:bCs/>
                <w:kern w:val="0"/>
                <w:sz w:val="24"/>
                <w:szCs w:val="24"/>
                <w:lang w:val="en-US" w:eastAsia="zh-CN" w:bidi="ar"/>
              </w:rPr>
              <w:t>Model 2</w:t>
            </w:r>
          </w:p>
        </w:tc>
        <w:tc>
          <w:tcPr>
            <w:tcW w:w="1050" w:type="pct"/>
            <w:tcBorders>
              <w:top w:val="single" w:color="auto" w:sz="12" w:space="0"/>
              <w:left w:val="nil"/>
              <w:bottom w:val="single" w:color="auto" w:sz="8" w:space="0"/>
              <w:right w:val="nil"/>
            </w:tcBorders>
            <w:vAlign w:val="center"/>
          </w:tcPr>
          <w:p w14:paraId="0BFB389E">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b/>
                <w:bCs/>
                <w:kern w:val="0"/>
                <w:sz w:val="24"/>
                <w:szCs w:val="24"/>
                <w:lang w:val="en-US" w:eastAsia="zh-CN" w:bidi="ar"/>
              </w:rPr>
              <w:t>Model 3</w:t>
            </w:r>
          </w:p>
        </w:tc>
      </w:tr>
      <w:tr w14:paraId="5C94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single" w:color="auto" w:sz="8" w:space="0"/>
              <w:left w:val="nil"/>
              <w:bottom w:val="nil"/>
              <w:right w:val="nil"/>
            </w:tcBorders>
            <w:vAlign w:val="center"/>
          </w:tcPr>
          <w:p w14:paraId="56DF8D8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Style w:val="14"/>
                <w:rFonts w:hint="default" w:ascii="Times New Roman" w:hAnsi="Times New Roman" w:eastAsia="宋体" w:cs="Times New Roman"/>
                <w:kern w:val="0"/>
                <w:sz w:val="24"/>
                <w:szCs w:val="24"/>
                <w:lang w:val="en-US" w:eastAsia="zh-CN" w:bidi="ar"/>
              </w:rPr>
              <w:t>AWRI-specific</w:t>
            </w:r>
          </w:p>
        </w:tc>
        <w:tc>
          <w:tcPr>
            <w:tcW w:w="971" w:type="pct"/>
            <w:tcBorders>
              <w:top w:val="single" w:color="auto" w:sz="8" w:space="0"/>
              <w:left w:val="nil"/>
              <w:bottom w:val="nil"/>
              <w:right w:val="nil"/>
            </w:tcBorders>
            <w:vAlign w:val="center"/>
          </w:tcPr>
          <w:p w14:paraId="3AF811CC">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c>
          <w:tcPr>
            <w:tcW w:w="1112" w:type="pct"/>
            <w:tcBorders>
              <w:top w:val="single" w:color="auto" w:sz="8" w:space="0"/>
              <w:left w:val="nil"/>
              <w:bottom w:val="nil"/>
              <w:right w:val="nil"/>
            </w:tcBorders>
            <w:vAlign w:val="center"/>
          </w:tcPr>
          <w:p w14:paraId="4ED61006">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c>
          <w:tcPr>
            <w:tcW w:w="1050" w:type="pct"/>
            <w:tcBorders>
              <w:top w:val="single" w:color="auto" w:sz="8" w:space="0"/>
              <w:left w:val="nil"/>
              <w:bottom w:val="nil"/>
              <w:right w:val="nil"/>
            </w:tcBorders>
            <w:vAlign w:val="center"/>
          </w:tcPr>
          <w:p w14:paraId="2A949CA5">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r>
      <w:tr w14:paraId="63D8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nil"/>
              <w:left w:val="nil"/>
              <w:bottom w:val="nil"/>
              <w:right w:val="nil"/>
            </w:tcBorders>
            <w:vAlign w:val="center"/>
          </w:tcPr>
          <w:p w14:paraId="1D364CC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χ² (df = 3)</w:t>
            </w:r>
          </w:p>
        </w:tc>
        <w:tc>
          <w:tcPr>
            <w:tcW w:w="971" w:type="pct"/>
            <w:tcBorders>
              <w:top w:val="nil"/>
              <w:left w:val="nil"/>
              <w:bottom w:val="nil"/>
              <w:right w:val="nil"/>
            </w:tcBorders>
            <w:vAlign w:val="center"/>
          </w:tcPr>
          <w:p w14:paraId="3F8C600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3.248</w:t>
            </w:r>
          </w:p>
        </w:tc>
        <w:tc>
          <w:tcPr>
            <w:tcW w:w="1112" w:type="pct"/>
            <w:tcBorders>
              <w:top w:val="nil"/>
              <w:left w:val="nil"/>
              <w:bottom w:val="nil"/>
              <w:right w:val="nil"/>
            </w:tcBorders>
            <w:vAlign w:val="center"/>
          </w:tcPr>
          <w:p w14:paraId="0ED4940A">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4.027</w:t>
            </w:r>
          </w:p>
        </w:tc>
        <w:tc>
          <w:tcPr>
            <w:tcW w:w="1050" w:type="pct"/>
            <w:tcBorders>
              <w:top w:val="nil"/>
              <w:left w:val="nil"/>
              <w:bottom w:val="nil"/>
              <w:right w:val="nil"/>
            </w:tcBorders>
            <w:vAlign w:val="center"/>
          </w:tcPr>
          <w:p w14:paraId="170FF90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4.297</w:t>
            </w:r>
          </w:p>
        </w:tc>
      </w:tr>
      <w:tr w14:paraId="5074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nil"/>
              <w:left w:val="nil"/>
              <w:bottom w:val="nil"/>
              <w:right w:val="nil"/>
            </w:tcBorders>
            <w:vAlign w:val="center"/>
          </w:tcPr>
          <w:p w14:paraId="3182FA59">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P-value</w:t>
            </w:r>
          </w:p>
        </w:tc>
        <w:tc>
          <w:tcPr>
            <w:tcW w:w="971" w:type="pct"/>
            <w:tcBorders>
              <w:top w:val="nil"/>
              <w:left w:val="nil"/>
              <w:bottom w:val="nil"/>
              <w:right w:val="nil"/>
            </w:tcBorders>
            <w:vAlign w:val="center"/>
          </w:tcPr>
          <w:p w14:paraId="5A44747D">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0.355</w:t>
            </w:r>
          </w:p>
        </w:tc>
        <w:tc>
          <w:tcPr>
            <w:tcW w:w="1112" w:type="pct"/>
            <w:tcBorders>
              <w:top w:val="nil"/>
              <w:left w:val="nil"/>
              <w:bottom w:val="nil"/>
              <w:right w:val="nil"/>
            </w:tcBorders>
            <w:vAlign w:val="center"/>
          </w:tcPr>
          <w:p w14:paraId="4F29E1C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0.259</w:t>
            </w:r>
          </w:p>
        </w:tc>
        <w:tc>
          <w:tcPr>
            <w:tcW w:w="1050" w:type="pct"/>
            <w:tcBorders>
              <w:top w:val="nil"/>
              <w:left w:val="nil"/>
              <w:bottom w:val="nil"/>
              <w:right w:val="nil"/>
            </w:tcBorders>
            <w:vAlign w:val="center"/>
          </w:tcPr>
          <w:p w14:paraId="75E761E6">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0.231</w:t>
            </w:r>
          </w:p>
        </w:tc>
      </w:tr>
      <w:tr w14:paraId="459C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nil"/>
              <w:left w:val="nil"/>
              <w:bottom w:val="nil"/>
              <w:right w:val="nil"/>
            </w:tcBorders>
            <w:vAlign w:val="center"/>
          </w:tcPr>
          <w:p w14:paraId="17211D42">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Style w:val="14"/>
                <w:rFonts w:hint="default" w:ascii="Times New Roman" w:hAnsi="Times New Roman" w:eastAsia="宋体" w:cs="Times New Roman"/>
                <w:kern w:val="0"/>
                <w:sz w:val="24"/>
                <w:szCs w:val="24"/>
                <w:lang w:val="en-US" w:eastAsia="zh-CN" w:bidi="ar"/>
              </w:rPr>
              <w:t>Global</w:t>
            </w:r>
          </w:p>
        </w:tc>
        <w:tc>
          <w:tcPr>
            <w:tcW w:w="971" w:type="pct"/>
            <w:tcBorders>
              <w:top w:val="nil"/>
              <w:left w:val="nil"/>
              <w:bottom w:val="nil"/>
              <w:right w:val="nil"/>
            </w:tcBorders>
            <w:vAlign w:val="center"/>
          </w:tcPr>
          <w:p w14:paraId="219DCBD3">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c>
          <w:tcPr>
            <w:tcW w:w="1112" w:type="pct"/>
            <w:tcBorders>
              <w:top w:val="nil"/>
              <w:left w:val="nil"/>
              <w:bottom w:val="nil"/>
              <w:right w:val="nil"/>
            </w:tcBorders>
            <w:vAlign w:val="center"/>
          </w:tcPr>
          <w:p w14:paraId="5C41D856">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c>
          <w:tcPr>
            <w:tcW w:w="1050" w:type="pct"/>
            <w:tcBorders>
              <w:top w:val="nil"/>
              <w:left w:val="nil"/>
              <w:bottom w:val="nil"/>
              <w:right w:val="nil"/>
            </w:tcBorders>
            <w:vAlign w:val="center"/>
          </w:tcPr>
          <w:p w14:paraId="69427642">
            <w:pPr>
              <w:keepNext w:val="0"/>
              <w:keepLines w:val="0"/>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p>
        </w:tc>
      </w:tr>
      <w:tr w14:paraId="29D9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nil"/>
              <w:left w:val="nil"/>
              <w:bottom w:val="nil"/>
              <w:right w:val="nil"/>
            </w:tcBorders>
            <w:vAlign w:val="center"/>
          </w:tcPr>
          <w:p w14:paraId="4DB2B6E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χ²</w:t>
            </w:r>
          </w:p>
        </w:tc>
        <w:tc>
          <w:tcPr>
            <w:tcW w:w="971" w:type="pct"/>
            <w:tcBorders>
              <w:top w:val="nil"/>
              <w:left w:val="nil"/>
              <w:bottom w:val="nil"/>
              <w:right w:val="nil"/>
            </w:tcBorders>
            <w:vAlign w:val="center"/>
          </w:tcPr>
          <w:p w14:paraId="77261543">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3.248</w:t>
            </w:r>
          </w:p>
        </w:tc>
        <w:tc>
          <w:tcPr>
            <w:tcW w:w="1112" w:type="pct"/>
            <w:tcBorders>
              <w:top w:val="nil"/>
              <w:left w:val="nil"/>
              <w:bottom w:val="nil"/>
              <w:right w:val="nil"/>
            </w:tcBorders>
            <w:vAlign w:val="center"/>
          </w:tcPr>
          <w:p w14:paraId="2D23E0E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110.475</w:t>
            </w:r>
          </w:p>
        </w:tc>
        <w:tc>
          <w:tcPr>
            <w:tcW w:w="1050" w:type="pct"/>
            <w:tcBorders>
              <w:top w:val="nil"/>
              <w:left w:val="nil"/>
              <w:bottom w:val="nil"/>
              <w:right w:val="nil"/>
            </w:tcBorders>
            <w:vAlign w:val="center"/>
          </w:tcPr>
          <w:p w14:paraId="716C4D54">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310.597</w:t>
            </w:r>
          </w:p>
        </w:tc>
      </w:tr>
      <w:tr w14:paraId="2195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nil"/>
              <w:left w:val="nil"/>
              <w:bottom w:val="nil"/>
              <w:right w:val="nil"/>
            </w:tcBorders>
            <w:vAlign w:val="center"/>
          </w:tcPr>
          <w:p w14:paraId="08C032E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df</w:t>
            </w:r>
          </w:p>
        </w:tc>
        <w:tc>
          <w:tcPr>
            <w:tcW w:w="971" w:type="pct"/>
            <w:tcBorders>
              <w:top w:val="nil"/>
              <w:left w:val="nil"/>
              <w:bottom w:val="nil"/>
              <w:right w:val="nil"/>
            </w:tcBorders>
            <w:vAlign w:val="center"/>
          </w:tcPr>
          <w:p w14:paraId="39BF1A4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3</w:t>
            </w:r>
          </w:p>
        </w:tc>
        <w:tc>
          <w:tcPr>
            <w:tcW w:w="1112" w:type="pct"/>
            <w:tcBorders>
              <w:top w:val="nil"/>
              <w:left w:val="nil"/>
              <w:bottom w:val="nil"/>
              <w:right w:val="nil"/>
            </w:tcBorders>
            <w:vAlign w:val="center"/>
          </w:tcPr>
          <w:p w14:paraId="1E8B9ABB">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13</w:t>
            </w:r>
          </w:p>
        </w:tc>
        <w:tc>
          <w:tcPr>
            <w:tcW w:w="1050" w:type="pct"/>
            <w:tcBorders>
              <w:top w:val="nil"/>
              <w:left w:val="nil"/>
              <w:bottom w:val="nil"/>
              <w:right w:val="nil"/>
            </w:tcBorders>
            <w:vAlign w:val="center"/>
          </w:tcPr>
          <w:p w14:paraId="488EA0F9">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37</w:t>
            </w:r>
          </w:p>
        </w:tc>
      </w:tr>
      <w:tr w14:paraId="32E5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65" w:type="pct"/>
            <w:tcBorders>
              <w:top w:val="nil"/>
              <w:left w:val="nil"/>
              <w:bottom w:val="single" w:color="auto" w:sz="12" w:space="0"/>
              <w:right w:val="nil"/>
            </w:tcBorders>
            <w:vAlign w:val="center"/>
          </w:tcPr>
          <w:p w14:paraId="795FBEC7">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P-value</w:t>
            </w:r>
          </w:p>
        </w:tc>
        <w:tc>
          <w:tcPr>
            <w:tcW w:w="971" w:type="pct"/>
            <w:tcBorders>
              <w:top w:val="nil"/>
              <w:left w:val="nil"/>
              <w:bottom w:val="single" w:color="auto" w:sz="12" w:space="0"/>
              <w:right w:val="nil"/>
            </w:tcBorders>
            <w:vAlign w:val="center"/>
          </w:tcPr>
          <w:p w14:paraId="5ADFE44F">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0.355</w:t>
            </w:r>
          </w:p>
        </w:tc>
        <w:tc>
          <w:tcPr>
            <w:tcW w:w="1112" w:type="pct"/>
            <w:tcBorders>
              <w:top w:val="nil"/>
              <w:left w:val="nil"/>
              <w:bottom w:val="single" w:color="auto" w:sz="12" w:space="0"/>
              <w:right w:val="nil"/>
            </w:tcBorders>
            <w:vAlign w:val="center"/>
          </w:tcPr>
          <w:p w14:paraId="1CA3C0E1">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&lt; 0.001</w:t>
            </w:r>
          </w:p>
        </w:tc>
        <w:tc>
          <w:tcPr>
            <w:tcW w:w="1050" w:type="pct"/>
            <w:tcBorders>
              <w:top w:val="nil"/>
              <w:left w:val="nil"/>
              <w:bottom w:val="single" w:color="auto" w:sz="12" w:space="0"/>
              <w:right w:val="nil"/>
            </w:tcBorders>
            <w:vAlign w:val="center"/>
          </w:tcPr>
          <w:p w14:paraId="075D2E30">
            <w:pPr>
              <w:keepNext w:val="0"/>
              <w:keepLines w:val="0"/>
              <w:widowControl/>
              <w:suppressLineNumbers w:val="0"/>
              <w:spacing w:before="0" w:beforeAutospacing="0" w:after="0" w:afterAutospacing="0"/>
              <w:ind w:left="0" w:right="0"/>
              <w:jc w:val="center"/>
              <w:rPr>
                <w:rStyle w:val="14"/>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lang w:val="en-US" w:eastAsia="zh-CN" w:bidi="ar"/>
              </w:rPr>
              <w:t>&lt; 0.001</w:t>
            </w:r>
          </w:p>
        </w:tc>
      </w:tr>
    </w:tbl>
    <w:p w14:paraId="1B87C099">
      <w:pPr>
        <w:spacing w:line="360" w:lineRule="exact"/>
        <w:jc w:val="both"/>
        <w:rPr>
          <w:rFonts w:hint="default" w:ascii="Times New Roman" w:hAnsi="Times New Roman" w:eastAsia="Times New Roman" w:cs="Times New Roman"/>
          <w:b w:val="0"/>
          <w:bCs w:val="0"/>
          <w:sz w:val="21"/>
          <w:szCs w:val="21"/>
          <w:lang w:val="en-US" w:eastAsia="zh-CN"/>
        </w:rPr>
      </w:pPr>
    </w:p>
    <w:p w14:paraId="073BECB3">
      <w:pPr>
        <w:rPr>
          <w:rFonts w:hint="default" w:ascii="Times New Roman" w:hAnsi="Times New Roman" w:cs="Times New Roman"/>
        </w:rPr>
      </w:pPr>
    </w:p>
    <w:p w14:paraId="20D6D13F">
      <w:pPr>
        <w:spacing w:line="360" w:lineRule="auto"/>
        <w:rPr>
          <w:rFonts w:hint="eastAsia" w:ascii="Times New Roman" w:hAnsi="Times New Roman" w:cs="Times New Roman"/>
          <w:lang w:val="en-US" w:eastAsia="zh-CN"/>
        </w:rPr>
      </w:pPr>
      <w:r>
        <w:rPr>
          <w:rFonts w:hint="default" w:ascii="Times New Roman" w:hAnsi="Times New Roman" w:cs="Times New Roman"/>
        </w:rPr>
        <w:t>Supplementary Table S</w:t>
      </w:r>
      <w:r>
        <w:rPr>
          <w:rFonts w:hint="eastAsia" w:ascii="Times New Roman" w:hAnsi="Times New Roman" w:cs="Times New Roman"/>
          <w:lang w:val="en-US" w:eastAsia="zh-CN"/>
        </w:rPr>
        <w:t>3</w:t>
      </w:r>
      <w:r>
        <w:rPr>
          <w:rFonts w:hint="default" w:ascii="Times New Roman" w:hAnsi="Times New Roman" w:cs="Times New Roman"/>
        </w:rPr>
        <w:t>. Schoenfeld Residuals Test for Proportional Hazards Assumption</w:t>
      </w:r>
      <w:r>
        <w:rPr>
          <w:rFonts w:hint="eastAsia" w:ascii="Times New Roman" w:hAnsi="Times New Roman" w:cs="Times New Roman"/>
          <w:lang w:val="en-US" w:eastAsia="zh-CN"/>
        </w:rPr>
        <w:t>.</w:t>
      </w:r>
    </w:p>
    <w:p w14:paraId="790DA660">
      <w:pPr>
        <w:spacing w:line="360" w:lineRule="auto"/>
        <w:rPr>
          <w:rFonts w:hint="default" w:ascii="Times New Roman" w:hAnsi="Times New Roman" w:cs="Times New Roman"/>
          <w:sz w:val="18"/>
          <w:szCs w:val="21"/>
          <w:lang w:eastAsia="zh-CN"/>
        </w:rPr>
      </w:pPr>
      <w:r>
        <w:rPr>
          <w:rFonts w:hint="eastAsia" w:ascii="Times New Roman" w:hAnsi="Times New Roman" w:cs="Times New Roman"/>
          <w:lang w:val="en-US" w:eastAsia="zh-CN"/>
        </w:rPr>
        <w:t>Proportional hazards assumption was assessed using the Schoenfeld residuals test (cox.zph()). AWRI-specific P values were non-significant across all models, confirming that the primary exposure satisfied the assumption throughout the follow-up period. Global violations observed in Models 2 and 3 were attributable to clinical covariates with known time-varying effects (including congestive heart failure, body temperature, vasopressor use, and cerebrovascular disease) rather than to AWRI itself, a pattern expected in large cohort studies (n = 24,709) where the Schoenfeld test has high sensitivity to minor time-dependent covariate effects.</w:t>
      </w:r>
    </w:p>
    <w:p w14:paraId="1E3A46B1">
      <w:pPr>
        <w:rPr>
          <w:rFonts w:hint="default" w:ascii="Times New Roman" w:hAnsi="Times New Roman" w:cs="Times New Roman"/>
          <w:sz w:val="18"/>
          <w:szCs w:val="21"/>
          <w:lang w:eastAsia="zh-CN"/>
        </w:rPr>
      </w:pPr>
    </w:p>
    <w:p w14:paraId="631592E2">
      <w:pPr>
        <w:rPr>
          <w:rFonts w:hint="default" w:ascii="Times New Roman" w:hAnsi="Times New Roman" w:cs="Times New Roman"/>
          <w:sz w:val="18"/>
          <w:szCs w:val="21"/>
          <w:lang w:eastAsia="zh-CN"/>
        </w:rPr>
      </w:pPr>
    </w:p>
    <w:p w14:paraId="4DD401CB">
      <w:pPr>
        <w:rPr>
          <w:rFonts w:hint="default" w:ascii="Times New Roman" w:hAnsi="Times New Roman" w:cs="Times New Roman"/>
          <w:sz w:val="18"/>
          <w:szCs w:val="21"/>
          <w:lang w:eastAsia="zh-CN"/>
        </w:rPr>
      </w:pPr>
    </w:p>
    <w:p w14:paraId="31FABE18">
      <w:pPr>
        <w:rPr>
          <w:rFonts w:hint="default" w:ascii="Times New Roman" w:hAnsi="Times New Roman" w:cs="Times New Roman"/>
          <w:sz w:val="18"/>
          <w:szCs w:val="21"/>
          <w:lang w:eastAsia="zh-CN"/>
        </w:rPr>
      </w:pPr>
    </w:p>
    <w:p w14:paraId="5B65F113">
      <w:pPr>
        <w:rPr>
          <w:rFonts w:hint="default" w:ascii="Times New Roman" w:hAnsi="Times New Roman" w:cs="Times New Roman"/>
          <w:sz w:val="18"/>
          <w:szCs w:val="21"/>
          <w:lang w:eastAsia="zh-CN"/>
        </w:rPr>
      </w:pPr>
    </w:p>
    <w:p w14:paraId="790CF30F">
      <w:pPr>
        <w:rPr>
          <w:rFonts w:hint="default" w:ascii="Times New Roman" w:hAnsi="Times New Roman" w:cs="Times New Roman"/>
          <w:sz w:val="18"/>
          <w:szCs w:val="21"/>
          <w:lang w:eastAsia="zh-CN"/>
        </w:rPr>
      </w:pPr>
    </w:p>
    <w:p w14:paraId="76F85D5C">
      <w:pPr>
        <w:rPr>
          <w:rFonts w:hint="default" w:ascii="Times New Roman" w:hAnsi="Times New Roman" w:cs="Times New Roman"/>
          <w:sz w:val="18"/>
          <w:szCs w:val="21"/>
          <w:lang w:eastAsia="zh-CN"/>
        </w:rPr>
      </w:pPr>
    </w:p>
    <w:p w14:paraId="0DC8FFE5">
      <w:pPr>
        <w:rPr>
          <w:rFonts w:hint="default" w:ascii="Times New Roman" w:hAnsi="Times New Roman" w:cs="Times New Roman"/>
          <w:sz w:val="18"/>
          <w:szCs w:val="21"/>
          <w:lang w:eastAsia="zh-CN"/>
        </w:rPr>
      </w:pPr>
    </w:p>
    <w:p w14:paraId="3269AFF3">
      <w:pPr>
        <w:rPr>
          <w:rFonts w:hint="default" w:ascii="Times New Roman" w:hAnsi="Times New Roman" w:cs="Times New Roman"/>
          <w:sz w:val="18"/>
          <w:szCs w:val="21"/>
          <w:lang w:eastAsia="zh-CN"/>
        </w:rPr>
      </w:pPr>
    </w:p>
    <w:p w14:paraId="6DE7488D">
      <w:pPr>
        <w:rPr>
          <w:rFonts w:hint="default" w:ascii="Times New Roman" w:hAnsi="Times New Roman" w:cs="Times New Roman"/>
          <w:sz w:val="18"/>
          <w:szCs w:val="21"/>
          <w:lang w:eastAsia="zh-CN"/>
        </w:rPr>
      </w:pPr>
    </w:p>
    <w:p w14:paraId="17C693C4">
      <w:pPr>
        <w:rPr>
          <w:rFonts w:hint="default" w:ascii="Times New Roman" w:hAnsi="Times New Roman" w:cs="Times New Roman"/>
          <w:sz w:val="18"/>
          <w:szCs w:val="21"/>
          <w:lang w:eastAsia="zh-CN"/>
        </w:rPr>
      </w:pPr>
    </w:p>
    <w:p w14:paraId="56939D83">
      <w:pPr>
        <w:rPr>
          <w:rFonts w:hint="default" w:ascii="Times New Roman" w:hAnsi="Times New Roman" w:cs="Times New Roman"/>
          <w:sz w:val="18"/>
          <w:szCs w:val="21"/>
          <w:lang w:eastAsia="zh-CN"/>
        </w:rPr>
      </w:pPr>
    </w:p>
    <w:p w14:paraId="326E8505">
      <w:pPr>
        <w:rPr>
          <w:rFonts w:hint="default" w:ascii="Times New Roman" w:hAnsi="Times New Roman" w:cs="Times New Roman"/>
          <w:sz w:val="18"/>
          <w:szCs w:val="21"/>
          <w:lang w:eastAsia="zh-CN"/>
        </w:rPr>
      </w:pPr>
    </w:p>
    <w:p w14:paraId="2D846129">
      <w:pPr>
        <w:rPr>
          <w:rFonts w:hint="default" w:ascii="Times New Roman" w:hAnsi="Times New Roman" w:cs="Times New Roman"/>
          <w:sz w:val="18"/>
          <w:szCs w:val="21"/>
          <w:lang w:eastAsia="zh-CN"/>
        </w:rPr>
      </w:pPr>
    </w:p>
    <w:p w14:paraId="051131E3">
      <w:pPr>
        <w:rPr>
          <w:rFonts w:hint="default" w:ascii="Times New Roman" w:hAnsi="Times New Roman" w:cs="Times New Roman"/>
          <w:sz w:val="18"/>
          <w:szCs w:val="21"/>
          <w:lang w:eastAsia="zh-CN"/>
        </w:rPr>
      </w:pPr>
    </w:p>
    <w:p w14:paraId="637A7F41">
      <w:pPr>
        <w:rPr>
          <w:rFonts w:hint="default" w:ascii="Times New Roman" w:hAnsi="Times New Roman" w:cs="Times New Roman"/>
          <w:sz w:val="18"/>
          <w:szCs w:val="21"/>
          <w:lang w:eastAsia="zh-CN"/>
        </w:rPr>
      </w:pPr>
    </w:p>
    <w:p w14:paraId="0ED5C24A">
      <w:pPr>
        <w:rPr>
          <w:rFonts w:hint="default" w:ascii="Times New Roman" w:hAnsi="Times New Roman" w:cs="Times New Roman"/>
          <w:sz w:val="18"/>
          <w:szCs w:val="21"/>
          <w:lang w:eastAsia="zh-CN"/>
        </w:rPr>
      </w:pPr>
    </w:p>
    <w:p w14:paraId="5EE6C1C5">
      <w:pPr>
        <w:rPr>
          <w:rFonts w:hint="default" w:ascii="Times New Roman" w:hAnsi="Times New Roman" w:cs="Times New Roman"/>
          <w:sz w:val="18"/>
          <w:szCs w:val="21"/>
          <w:lang w:eastAsia="zh-CN"/>
        </w:rPr>
      </w:pPr>
    </w:p>
    <w:p w14:paraId="68294422">
      <w:pPr>
        <w:rPr>
          <w:rFonts w:hint="default" w:ascii="Times New Roman" w:hAnsi="Times New Roman" w:cs="Times New Roman"/>
          <w:sz w:val="18"/>
          <w:szCs w:val="21"/>
          <w:lang w:eastAsia="zh-CN"/>
        </w:rPr>
      </w:pPr>
    </w:p>
    <w:p w14:paraId="62C84A91">
      <w:pPr>
        <w:rPr>
          <w:rFonts w:hint="default" w:ascii="Times New Roman" w:hAnsi="Times New Roman" w:cs="Times New Roman"/>
          <w:sz w:val="18"/>
          <w:szCs w:val="21"/>
          <w:lang w:eastAsia="zh-CN"/>
        </w:rPr>
      </w:pPr>
    </w:p>
    <w:p w14:paraId="3C3DEA78">
      <w:pPr>
        <w:rPr>
          <w:rFonts w:hint="default" w:ascii="Times New Roman" w:hAnsi="Times New Roman" w:cs="Times New Roman"/>
          <w:sz w:val="18"/>
          <w:szCs w:val="21"/>
          <w:lang w:eastAsia="zh-CN"/>
        </w:rPr>
      </w:pPr>
    </w:p>
    <w:p w14:paraId="7CF0E79C">
      <w:pPr>
        <w:rPr>
          <w:rFonts w:hint="default" w:ascii="Times New Roman" w:hAnsi="Times New Roman" w:cs="Times New Roman"/>
          <w:sz w:val="18"/>
          <w:szCs w:val="21"/>
          <w:lang w:eastAsia="zh-CN"/>
        </w:rPr>
      </w:pPr>
    </w:p>
    <w:p w14:paraId="1CBF647A">
      <w:pPr>
        <w:rPr>
          <w:rFonts w:hint="default" w:ascii="Times New Roman" w:hAnsi="Times New Roman" w:cs="Times New Roman"/>
          <w:sz w:val="18"/>
          <w:szCs w:val="21"/>
          <w:lang w:eastAsia="zh-CN"/>
        </w:rPr>
      </w:pPr>
    </w:p>
    <w:p w14:paraId="63000FB8">
      <w:pPr>
        <w:rPr>
          <w:rFonts w:hint="default" w:ascii="Times New Roman" w:hAnsi="Times New Roman" w:cs="Times New Roman"/>
          <w:sz w:val="18"/>
          <w:szCs w:val="21"/>
          <w:lang w:eastAsia="zh-CN"/>
        </w:rPr>
      </w:pPr>
    </w:p>
    <w:p w14:paraId="701577A7">
      <w:pPr>
        <w:rPr>
          <w:rFonts w:hint="default" w:ascii="Times New Roman" w:hAnsi="Times New Roman" w:cs="Times New Roman"/>
          <w:sz w:val="18"/>
          <w:szCs w:val="21"/>
          <w:lang w:eastAsia="zh-CN"/>
        </w:rPr>
      </w:pPr>
    </w:p>
    <w:p w14:paraId="04BC25F2">
      <w:pPr>
        <w:rPr>
          <w:rFonts w:hint="default" w:ascii="Times New Roman" w:hAnsi="Times New Roman" w:cs="Times New Roman"/>
          <w:sz w:val="18"/>
          <w:szCs w:val="21"/>
          <w:lang w:eastAsia="zh-CN"/>
        </w:rPr>
      </w:pPr>
    </w:p>
    <w:p w14:paraId="4A4C7C98">
      <w:pPr>
        <w:rPr>
          <w:rFonts w:hint="default" w:ascii="Times New Roman" w:hAnsi="Times New Roman" w:cs="Times New Roman"/>
          <w:sz w:val="18"/>
          <w:szCs w:val="21"/>
          <w:lang w:eastAsia="zh-CN"/>
        </w:rPr>
      </w:pPr>
    </w:p>
    <w:p w14:paraId="54D3555F">
      <w:pPr>
        <w:rPr>
          <w:rFonts w:hint="default" w:ascii="Times New Roman" w:hAnsi="Times New Roman" w:cs="Times New Roman"/>
          <w:sz w:val="18"/>
          <w:szCs w:val="21"/>
          <w:lang w:eastAsia="zh-CN"/>
        </w:rPr>
      </w:pPr>
    </w:p>
    <w:p w14:paraId="15A53883">
      <w:pPr>
        <w:rPr>
          <w:rFonts w:hint="default" w:ascii="Times New Roman" w:hAnsi="Times New Roman" w:cs="Times New Roman"/>
          <w:sz w:val="18"/>
          <w:szCs w:val="21"/>
          <w:lang w:eastAsia="zh-CN"/>
        </w:rPr>
      </w:pPr>
    </w:p>
    <w:p w14:paraId="3D5BE957">
      <w:pPr>
        <w:rPr>
          <w:rFonts w:hint="default" w:ascii="Times New Roman" w:hAnsi="Times New Roman" w:cs="Times New Roman"/>
          <w:sz w:val="18"/>
          <w:szCs w:val="21"/>
          <w:lang w:eastAsia="zh-CN"/>
        </w:rPr>
      </w:pPr>
    </w:p>
    <w:p w14:paraId="10CA82E7">
      <w:pPr>
        <w:rPr>
          <w:rFonts w:hint="default" w:ascii="Times New Roman" w:hAnsi="Times New Roman" w:cs="Times New Roman"/>
          <w:sz w:val="18"/>
          <w:szCs w:val="21"/>
          <w:lang w:eastAsia="zh-CN"/>
        </w:rPr>
      </w:pPr>
    </w:p>
    <w:p w14:paraId="71BD3C5C">
      <w:pPr>
        <w:rPr>
          <w:rFonts w:hint="default" w:ascii="Times New Roman" w:hAnsi="Times New Roman" w:cs="Times New Roman"/>
          <w:sz w:val="18"/>
          <w:szCs w:val="21"/>
          <w:lang w:eastAsia="zh-CN"/>
        </w:rPr>
      </w:pPr>
    </w:p>
    <w:p w14:paraId="6772CF46">
      <w:pPr>
        <w:rPr>
          <w:rFonts w:hint="default" w:ascii="Times New Roman" w:hAnsi="Times New Roman" w:cs="Times New Roman"/>
          <w:sz w:val="18"/>
          <w:szCs w:val="21"/>
          <w:lang w:eastAsia="zh-CN"/>
        </w:rPr>
      </w:pPr>
    </w:p>
    <w:p w14:paraId="11C82B42">
      <w:pPr>
        <w:rPr>
          <w:rFonts w:hint="default" w:ascii="Times New Roman" w:hAnsi="Times New Roman" w:cs="Times New Roman"/>
          <w:sz w:val="18"/>
          <w:szCs w:val="21"/>
          <w:lang w:eastAsia="zh-CN"/>
        </w:rPr>
      </w:pPr>
    </w:p>
    <w:p w14:paraId="021FE692">
      <w:pPr>
        <w:rPr>
          <w:rFonts w:hint="default" w:ascii="Times New Roman" w:hAnsi="Times New Roman" w:cs="Times New Roman"/>
          <w:sz w:val="18"/>
          <w:szCs w:val="21"/>
          <w:lang w:eastAsia="zh-CN"/>
        </w:rPr>
      </w:pPr>
    </w:p>
    <w:p w14:paraId="24B2FC74">
      <w:pPr>
        <w:rPr>
          <w:rFonts w:hint="default" w:ascii="Times New Roman" w:hAnsi="Times New Roman" w:cs="Times New Roman"/>
          <w:sz w:val="18"/>
          <w:szCs w:val="21"/>
          <w:lang w:eastAsia="zh-CN"/>
        </w:rPr>
      </w:pPr>
    </w:p>
    <w:p w14:paraId="03C5BCB6">
      <w:pPr>
        <w:rPr>
          <w:rFonts w:hint="default" w:ascii="Times New Roman" w:hAnsi="Times New Roman" w:cs="Times New Roman"/>
          <w:sz w:val="18"/>
          <w:szCs w:val="21"/>
          <w:lang w:eastAsia="zh-CN"/>
        </w:rPr>
      </w:pPr>
    </w:p>
    <w:p w14:paraId="4EFD093F">
      <w:pPr>
        <w:rPr>
          <w:rFonts w:hint="default" w:ascii="Times New Roman" w:hAnsi="Times New Roman" w:cs="Times New Roman"/>
          <w:sz w:val="18"/>
          <w:szCs w:val="21"/>
          <w:lang w:eastAsia="zh-CN"/>
        </w:rPr>
      </w:pPr>
    </w:p>
    <w:p w14:paraId="50C7FFB7">
      <w:pPr>
        <w:rPr>
          <w:rFonts w:hint="default" w:ascii="Times New Roman" w:hAnsi="Times New Roman" w:cs="Times New Roman" w:eastAsiaTheme="minorEastAsia"/>
          <w:sz w:val="18"/>
          <w:szCs w:val="21"/>
          <w:lang w:eastAsia="zh-CN"/>
        </w:rPr>
      </w:pPr>
      <w:r>
        <w:rPr>
          <w:rFonts w:hint="default" w:ascii="Times New Roman" w:hAnsi="Times New Roman" w:cs="Times New Roman"/>
          <w:sz w:val="18"/>
          <w:szCs w:val="21"/>
          <w:lang w:eastAsia="zh-CN"/>
        </w:rPr>
        <w:t>（</w:t>
      </w:r>
      <w:r>
        <w:rPr>
          <w:rFonts w:hint="eastAsia" w:ascii="Times New Roman" w:hAnsi="Times New Roman" w:cs="Times New Roman"/>
          <w:sz w:val="18"/>
          <w:szCs w:val="21"/>
          <w:lang w:val="en-US" w:eastAsia="zh-CN"/>
        </w:rPr>
        <w:t>A</w:t>
      </w:r>
      <w:r>
        <w:rPr>
          <w:rFonts w:hint="eastAsia" w:ascii="Times New Roman" w:hAnsi="Times New Roman" w:eastAsia="宋体" w:cs="Times New Roman"/>
          <w:sz w:val="18"/>
          <w:szCs w:val="21"/>
          <w:lang w:eastAsia="zh-CN"/>
        </w:rPr>
        <w:t>）</w:t>
      </w:r>
    </w:p>
    <w:tbl>
      <w:tblPr>
        <w:tblStyle w:val="1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3"/>
        <w:gridCol w:w="3024"/>
        <w:gridCol w:w="3024"/>
      </w:tblGrid>
      <w:tr w14:paraId="7C848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40" w:type="dxa"/>
            <w:tcBorders>
              <w:top w:val="single" w:color="auto" w:sz="12" w:space="0"/>
              <w:left w:val="nil"/>
              <w:bottom w:val="single" w:color="auto" w:sz="8" w:space="0"/>
              <w:right w:val="nil"/>
            </w:tcBorders>
            <w:vAlign w:val="center"/>
          </w:tcPr>
          <w:p w14:paraId="73883BE9">
            <w:pPr>
              <w:keepNext w:val="0"/>
              <w:keepLines w:val="0"/>
              <w:suppressLineNumbers w:val="0"/>
              <w:bidi w:val="0"/>
              <w:spacing w:before="0" w:beforeAutospacing="0" w:after="0" w:afterAutospacing="0"/>
              <w:ind w:left="0" w:right="0" w:firstLine="1081" w:firstLineChars="600"/>
              <w:jc w:val="both"/>
              <w:rPr>
                <w:rFonts w:hint="default" w:ascii="Times New Roman" w:hAnsi="Times New Roman" w:eastAsia="华文楷体" w:cs="Times New Roman"/>
                <w:b/>
                <w:bCs/>
                <w:sz w:val="18"/>
                <w:szCs w:val="18"/>
              </w:rPr>
            </w:pPr>
            <w:r>
              <w:rPr>
                <w:rFonts w:hint="eastAsia" w:ascii="Times New Roman" w:hAnsi="Times New Roman" w:eastAsia="华文楷体" w:cs="Times New Roman"/>
                <w:b/>
                <w:bCs/>
                <w:sz w:val="18"/>
                <w:szCs w:val="18"/>
                <w:lang w:eastAsia="zh-CN"/>
              </w:rPr>
              <w:t>AWRI</w:t>
            </w:r>
          </w:p>
          <w:p w14:paraId="1F62E2AD">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sz w:val="18"/>
                <w:szCs w:val="18"/>
                <w:vertAlign w:val="baseline"/>
                <w:lang w:eastAsia="zh-CN"/>
              </w:rPr>
            </w:pPr>
            <w:r>
              <w:rPr>
                <w:rFonts w:hint="default" w:ascii="Times New Roman" w:hAnsi="Times New Roman" w:eastAsia="华文楷体" w:cs="Times New Roman"/>
                <w:b/>
                <w:bCs/>
                <w:sz w:val="18"/>
                <w:szCs w:val="18"/>
                <w:lang w:val="en-US" w:eastAsia="zh-CN"/>
              </w:rPr>
              <w:t>Q</w:t>
            </w:r>
            <w:r>
              <w:rPr>
                <w:rFonts w:hint="default" w:ascii="Times New Roman" w:hAnsi="Times New Roman" w:eastAsia="华文楷体" w:cs="Times New Roman"/>
                <w:b/>
                <w:bCs/>
                <w:sz w:val="18"/>
                <w:szCs w:val="18"/>
                <w:lang w:eastAsia="zh-CN"/>
              </w:rPr>
              <w:t>uartiles</w:t>
            </w:r>
          </w:p>
        </w:tc>
        <w:tc>
          <w:tcPr>
            <w:tcW w:w="2841" w:type="dxa"/>
            <w:tcBorders>
              <w:top w:val="single" w:color="auto" w:sz="12" w:space="0"/>
              <w:left w:val="nil"/>
              <w:bottom w:val="single" w:color="auto" w:sz="8" w:space="0"/>
              <w:right w:val="nil"/>
            </w:tcBorders>
            <w:vAlign w:val="center"/>
          </w:tcPr>
          <w:p w14:paraId="667D1891">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Original Model</w:t>
            </w:r>
          </w:p>
          <w:p w14:paraId="0223B4E5">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b/>
                <w:bCs/>
                <w:sz w:val="18"/>
                <w:szCs w:val="18"/>
                <w:vertAlign w:val="baseline"/>
                <w:lang w:eastAsia="zh-CN"/>
              </w:rPr>
            </w:pPr>
            <w:r>
              <w:rPr>
                <w:rFonts w:hint="default" w:ascii="Times New Roman" w:hAnsi="Times New Roman" w:eastAsia="宋体" w:cs="Times New Roman"/>
                <w:b/>
                <w:bCs/>
                <w:sz w:val="18"/>
                <w:szCs w:val="18"/>
              </w:rPr>
              <w:t xml:space="preserve">HR </w:t>
            </w:r>
            <w:r>
              <w:rPr>
                <w:rFonts w:hint="eastAsia" w:ascii="Times New Roman" w:hAnsi="Times New Roman" w:eastAsia="宋体" w:cs="Times New Roman"/>
                <w:b/>
                <w:bCs/>
                <w:sz w:val="18"/>
                <w:szCs w:val="18"/>
                <w:lang w:eastAsia="zh-CN"/>
              </w:rPr>
              <w:t>(</w:t>
            </w:r>
            <w:r>
              <w:rPr>
                <w:rFonts w:hint="default" w:ascii="Times New Roman" w:hAnsi="Times New Roman" w:eastAsia="宋体" w:cs="Times New Roman"/>
                <w:b/>
                <w:bCs/>
                <w:sz w:val="18"/>
                <w:szCs w:val="18"/>
              </w:rPr>
              <w:t>95% CI</w:t>
            </w:r>
            <w:r>
              <w:rPr>
                <w:rFonts w:hint="eastAsia" w:ascii="Times New Roman" w:hAnsi="Times New Roman" w:eastAsia="宋体" w:cs="Times New Roman"/>
                <w:b/>
                <w:bCs/>
                <w:sz w:val="18"/>
                <w:szCs w:val="18"/>
                <w:lang w:eastAsia="zh-CN"/>
              </w:rPr>
              <w:t>)</w:t>
            </w:r>
          </w:p>
        </w:tc>
        <w:tc>
          <w:tcPr>
            <w:tcW w:w="2841" w:type="dxa"/>
            <w:tcBorders>
              <w:top w:val="single" w:color="auto" w:sz="12" w:space="0"/>
              <w:left w:val="nil"/>
              <w:bottom w:val="single" w:color="auto" w:sz="8" w:space="0"/>
              <w:right w:val="nil"/>
            </w:tcBorders>
            <w:vAlign w:val="center"/>
          </w:tcPr>
          <w:p w14:paraId="37ABC9A3">
            <w:pPr>
              <w:keepNext w:val="0"/>
              <w:keepLines w:val="0"/>
              <w:suppressLineNumbers w:val="0"/>
              <w:bidi w:val="0"/>
              <w:spacing w:before="0" w:beforeAutospacing="0" w:after="0" w:afterAutospacing="0"/>
              <w:ind w:left="0" w:right="0"/>
              <w:jc w:val="center"/>
              <w:rPr>
                <w:rFonts w:hint="eastAsia" w:ascii="Times New Roman" w:hAnsi="Times New Roman" w:eastAsia="宋体" w:cs="Times New Roman"/>
                <w:b/>
                <w:bCs/>
                <w:sz w:val="18"/>
                <w:szCs w:val="18"/>
                <w:vertAlign w:val="baseline"/>
                <w:lang w:eastAsia="zh-CN"/>
              </w:rPr>
            </w:pPr>
            <w:r>
              <w:rPr>
                <w:rFonts w:hint="default" w:ascii="Times New Roman" w:hAnsi="Times New Roman" w:eastAsia="宋体" w:cs="Times New Roman"/>
                <w:b/>
                <w:bCs/>
                <w:sz w:val="18"/>
                <w:szCs w:val="18"/>
              </w:rPr>
              <w:t xml:space="preserve">Post-Early Death Exclusion HR </w:t>
            </w:r>
            <w:r>
              <w:rPr>
                <w:rFonts w:hint="eastAsia" w:ascii="Times New Roman" w:hAnsi="Times New Roman" w:eastAsia="宋体" w:cs="Times New Roman"/>
                <w:b/>
                <w:bCs/>
                <w:sz w:val="18"/>
                <w:szCs w:val="18"/>
                <w:lang w:eastAsia="zh-CN"/>
              </w:rPr>
              <w:t>(</w:t>
            </w:r>
            <w:r>
              <w:rPr>
                <w:rFonts w:hint="default" w:ascii="Times New Roman" w:hAnsi="Times New Roman" w:eastAsia="宋体" w:cs="Times New Roman"/>
                <w:b/>
                <w:bCs/>
                <w:sz w:val="18"/>
                <w:szCs w:val="18"/>
              </w:rPr>
              <w:t>95% CI</w:t>
            </w:r>
            <w:r>
              <w:rPr>
                <w:rFonts w:hint="eastAsia" w:ascii="Times New Roman" w:hAnsi="Times New Roman" w:eastAsia="宋体" w:cs="Times New Roman"/>
                <w:b/>
                <w:bCs/>
                <w:sz w:val="18"/>
                <w:szCs w:val="18"/>
                <w:lang w:eastAsia="zh-CN"/>
              </w:rPr>
              <w:t>)</w:t>
            </w:r>
          </w:p>
        </w:tc>
      </w:tr>
      <w:tr w14:paraId="2D1C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40" w:type="dxa"/>
            <w:tcBorders>
              <w:top w:val="single" w:color="auto" w:sz="8" w:space="0"/>
              <w:left w:val="nil"/>
              <w:bottom w:val="nil"/>
              <w:right w:val="nil"/>
            </w:tcBorders>
            <w:vAlign w:val="center"/>
          </w:tcPr>
          <w:p w14:paraId="6B94BD38">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bCs w:val="0"/>
                <w:sz w:val="18"/>
                <w:szCs w:val="18"/>
                <w:vertAlign w:val="baseline"/>
                <w:lang w:eastAsia="zh-CN"/>
              </w:rPr>
            </w:pPr>
            <w:r>
              <w:rPr>
                <w:rFonts w:hint="default" w:ascii="Times New Roman" w:hAnsi="Times New Roman" w:cs="Times New Roman"/>
                <w:b w:val="0"/>
                <w:bCs w:val="0"/>
                <w:sz w:val="18"/>
                <w:szCs w:val="18"/>
                <w:lang w:val="en-US" w:eastAsia="zh-CN"/>
              </w:rPr>
              <w:t>Q2 vs Q1</w:t>
            </w:r>
          </w:p>
        </w:tc>
        <w:tc>
          <w:tcPr>
            <w:tcW w:w="2841" w:type="dxa"/>
            <w:tcBorders>
              <w:top w:val="single" w:color="auto" w:sz="8" w:space="0"/>
              <w:left w:val="nil"/>
              <w:bottom w:val="nil"/>
              <w:right w:val="nil"/>
            </w:tcBorders>
            <w:vAlign w:val="center"/>
          </w:tcPr>
          <w:p w14:paraId="5F2C0229">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宋体" w:cs="Times New Roman"/>
                <w:b w:val="0"/>
                <w:bCs w:val="0"/>
                <w:sz w:val="18"/>
                <w:szCs w:val="18"/>
                <w:vertAlign w:val="baseline"/>
                <w:lang w:eastAsia="zh-CN"/>
              </w:rPr>
            </w:pPr>
            <w:r>
              <w:rPr>
                <w:rFonts w:hint="default" w:ascii="Times New Roman" w:hAnsi="Times New Roman" w:eastAsia="Calibri" w:cs="Times New Roman"/>
                <w:i w:val="0"/>
                <w:iCs w:val="0"/>
                <w:caps w:val="0"/>
                <w:color w:val="333333"/>
                <w:spacing w:val="0"/>
                <w:kern w:val="0"/>
                <w:sz w:val="18"/>
                <w:szCs w:val="18"/>
                <w:lang w:val="en-US" w:eastAsia="zh-CN" w:bidi="ar"/>
              </w:rPr>
              <w:t xml:space="preserve">1.13 </w:t>
            </w:r>
            <w:r>
              <w:rPr>
                <w:rFonts w:hint="eastAsia" w:ascii="Times New Roman" w:hAnsi="Times New Roman" w:eastAsia="宋体" w:cs="Times New Roman"/>
                <w:i w:val="0"/>
                <w:iCs w:val="0"/>
                <w:caps w:val="0"/>
                <w:color w:val="333333"/>
                <w:spacing w:val="0"/>
                <w:kern w:val="0"/>
                <w:sz w:val="18"/>
                <w:szCs w:val="18"/>
                <w:lang w:val="en-US" w:eastAsia="zh-CN" w:bidi="ar"/>
              </w:rPr>
              <w:t>(</w:t>
            </w:r>
            <w:r>
              <w:rPr>
                <w:rFonts w:hint="default" w:ascii="Times New Roman" w:hAnsi="Times New Roman" w:eastAsia="Calibri" w:cs="Times New Roman"/>
                <w:i w:val="0"/>
                <w:iCs w:val="0"/>
                <w:caps w:val="0"/>
                <w:color w:val="333333"/>
                <w:spacing w:val="0"/>
                <w:kern w:val="0"/>
                <w:sz w:val="18"/>
                <w:szCs w:val="18"/>
                <w:lang w:val="en-US" w:eastAsia="zh-CN" w:bidi="ar"/>
              </w:rPr>
              <w:t>1.02-1.25</w:t>
            </w:r>
            <w:r>
              <w:rPr>
                <w:rFonts w:hint="eastAsia" w:ascii="Times New Roman" w:hAnsi="Times New Roman" w:eastAsia="宋体" w:cs="Times New Roman"/>
                <w:i w:val="0"/>
                <w:iCs w:val="0"/>
                <w:caps w:val="0"/>
                <w:color w:val="333333"/>
                <w:spacing w:val="0"/>
                <w:kern w:val="0"/>
                <w:sz w:val="18"/>
                <w:szCs w:val="18"/>
                <w:lang w:val="en-US" w:eastAsia="zh-CN" w:bidi="ar"/>
              </w:rPr>
              <w:t>)</w:t>
            </w:r>
          </w:p>
        </w:tc>
        <w:tc>
          <w:tcPr>
            <w:tcW w:w="2841" w:type="dxa"/>
            <w:tcBorders>
              <w:top w:val="single" w:color="auto" w:sz="8" w:space="0"/>
              <w:left w:val="nil"/>
              <w:bottom w:val="nil"/>
              <w:right w:val="nil"/>
            </w:tcBorders>
            <w:vAlign w:val="center"/>
          </w:tcPr>
          <w:p w14:paraId="769BE2C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b w:val="0"/>
                <w:bCs w:val="0"/>
                <w:sz w:val="18"/>
                <w:szCs w:val="18"/>
                <w:vertAlign w:val="baseline"/>
                <w:lang w:eastAsia="zh-CN"/>
              </w:rPr>
            </w:pPr>
            <w:r>
              <w:rPr>
                <w:rFonts w:hint="default" w:ascii="Times New Roman" w:hAnsi="Times New Roman" w:cs="Times New Roman"/>
                <w:b w:val="0"/>
                <w:bCs w:val="0"/>
                <w:sz w:val="18"/>
                <w:szCs w:val="18"/>
                <w:lang w:val="en-US" w:eastAsia="zh-CN"/>
              </w:rPr>
              <w:t xml:space="preserve">1.14 </w:t>
            </w:r>
            <w:r>
              <w:rPr>
                <w:rFonts w:hint="eastAsia" w:ascii="Times New Roman" w:hAnsi="Times New Roman" w:eastAsia="宋体" w:cs="Times New Roman"/>
                <w:b w:val="0"/>
                <w:bCs w:val="0"/>
                <w:sz w:val="18"/>
                <w:szCs w:val="18"/>
                <w:lang w:val="en-US" w:eastAsia="zh-CN"/>
              </w:rPr>
              <w:t>(</w:t>
            </w:r>
            <w:r>
              <w:rPr>
                <w:rFonts w:hint="default" w:ascii="Times New Roman" w:hAnsi="Times New Roman" w:cs="Times New Roman"/>
                <w:b w:val="0"/>
                <w:bCs w:val="0"/>
                <w:sz w:val="18"/>
                <w:szCs w:val="18"/>
                <w:lang w:val="en-US" w:eastAsia="zh-CN"/>
              </w:rPr>
              <w:t>1.02-1.27</w:t>
            </w:r>
            <w:r>
              <w:rPr>
                <w:rFonts w:hint="eastAsia" w:ascii="Times New Roman" w:hAnsi="Times New Roman" w:eastAsia="宋体" w:cs="Times New Roman"/>
                <w:b w:val="0"/>
                <w:bCs w:val="0"/>
                <w:sz w:val="18"/>
                <w:szCs w:val="18"/>
                <w:lang w:val="en-US" w:eastAsia="zh-CN"/>
              </w:rPr>
              <w:t>)</w:t>
            </w:r>
          </w:p>
        </w:tc>
      </w:tr>
      <w:tr w14:paraId="5697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40" w:type="dxa"/>
            <w:tcBorders>
              <w:top w:val="nil"/>
              <w:left w:val="nil"/>
              <w:bottom w:val="nil"/>
              <w:right w:val="nil"/>
            </w:tcBorders>
            <w:vAlign w:val="center"/>
          </w:tcPr>
          <w:p w14:paraId="6E961B0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bCs w:val="0"/>
                <w:sz w:val="18"/>
                <w:szCs w:val="18"/>
                <w:vertAlign w:val="baseline"/>
                <w:lang w:eastAsia="zh-CN"/>
              </w:rPr>
            </w:pPr>
            <w:r>
              <w:rPr>
                <w:rFonts w:hint="default" w:ascii="Times New Roman" w:hAnsi="Times New Roman" w:cs="Times New Roman"/>
                <w:b w:val="0"/>
                <w:bCs w:val="0"/>
                <w:sz w:val="18"/>
                <w:szCs w:val="18"/>
                <w:lang w:val="en-US" w:eastAsia="zh-CN"/>
              </w:rPr>
              <w:t>Q3 vs Q1</w:t>
            </w:r>
          </w:p>
        </w:tc>
        <w:tc>
          <w:tcPr>
            <w:tcW w:w="2841" w:type="dxa"/>
            <w:tcBorders>
              <w:top w:val="nil"/>
              <w:left w:val="nil"/>
              <w:bottom w:val="nil"/>
              <w:right w:val="nil"/>
            </w:tcBorders>
            <w:vAlign w:val="center"/>
          </w:tcPr>
          <w:p w14:paraId="66FAC337">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宋体" w:cs="Times New Roman"/>
                <w:b w:val="0"/>
                <w:bCs w:val="0"/>
                <w:sz w:val="18"/>
                <w:szCs w:val="18"/>
                <w:vertAlign w:val="baseline"/>
                <w:lang w:eastAsia="zh-CN"/>
              </w:rPr>
            </w:pPr>
            <w:r>
              <w:rPr>
                <w:rFonts w:hint="default" w:ascii="Times New Roman" w:hAnsi="Times New Roman" w:eastAsia="Calibri" w:cs="Times New Roman"/>
                <w:i w:val="0"/>
                <w:iCs w:val="0"/>
                <w:caps w:val="0"/>
                <w:color w:val="333333"/>
                <w:spacing w:val="0"/>
                <w:kern w:val="0"/>
                <w:sz w:val="18"/>
                <w:szCs w:val="18"/>
                <w:lang w:val="en-US" w:eastAsia="zh-CN" w:bidi="ar"/>
              </w:rPr>
              <w:t xml:space="preserve">1.22 </w:t>
            </w:r>
            <w:r>
              <w:rPr>
                <w:rFonts w:hint="eastAsia" w:ascii="Times New Roman" w:hAnsi="Times New Roman" w:eastAsia="宋体" w:cs="Times New Roman"/>
                <w:i w:val="0"/>
                <w:iCs w:val="0"/>
                <w:caps w:val="0"/>
                <w:color w:val="333333"/>
                <w:spacing w:val="0"/>
                <w:kern w:val="0"/>
                <w:sz w:val="18"/>
                <w:szCs w:val="18"/>
                <w:lang w:val="en-US" w:eastAsia="zh-CN" w:bidi="ar"/>
              </w:rPr>
              <w:t>(</w:t>
            </w:r>
            <w:r>
              <w:rPr>
                <w:rFonts w:hint="default" w:ascii="Times New Roman" w:hAnsi="Times New Roman" w:eastAsia="Calibri" w:cs="Times New Roman"/>
                <w:i w:val="0"/>
                <w:iCs w:val="0"/>
                <w:caps w:val="0"/>
                <w:color w:val="333333"/>
                <w:spacing w:val="0"/>
                <w:kern w:val="0"/>
                <w:sz w:val="18"/>
                <w:szCs w:val="18"/>
                <w:lang w:val="en-US" w:eastAsia="zh-CN" w:bidi="ar"/>
              </w:rPr>
              <w:t>1.10-1.36</w:t>
            </w:r>
            <w:r>
              <w:rPr>
                <w:rFonts w:hint="eastAsia" w:ascii="Times New Roman" w:hAnsi="Times New Roman" w:eastAsia="宋体" w:cs="Times New Roman"/>
                <w:i w:val="0"/>
                <w:iCs w:val="0"/>
                <w:caps w:val="0"/>
                <w:color w:val="333333"/>
                <w:spacing w:val="0"/>
                <w:kern w:val="0"/>
                <w:sz w:val="18"/>
                <w:szCs w:val="18"/>
                <w:lang w:val="en-US" w:eastAsia="zh-CN" w:bidi="ar"/>
              </w:rPr>
              <w:t>)</w:t>
            </w:r>
          </w:p>
        </w:tc>
        <w:tc>
          <w:tcPr>
            <w:tcW w:w="2841" w:type="dxa"/>
            <w:tcBorders>
              <w:top w:val="nil"/>
              <w:left w:val="nil"/>
              <w:bottom w:val="nil"/>
              <w:right w:val="nil"/>
            </w:tcBorders>
            <w:vAlign w:val="center"/>
          </w:tcPr>
          <w:p w14:paraId="387C0FB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bCs w:val="0"/>
                <w:sz w:val="18"/>
                <w:szCs w:val="18"/>
                <w:vertAlign w:val="baseline"/>
                <w:lang w:eastAsia="zh-CN"/>
              </w:rPr>
            </w:pPr>
            <w:r>
              <w:rPr>
                <w:rFonts w:hint="default" w:ascii="Times New Roman" w:hAnsi="Times New Roman" w:cs="Times New Roman"/>
                <w:b w:val="0"/>
                <w:bCs w:val="0"/>
                <w:sz w:val="18"/>
                <w:szCs w:val="18"/>
                <w:lang w:val="en-US" w:eastAsia="zh-CN"/>
              </w:rPr>
              <w:t xml:space="preserve">1.23 </w:t>
            </w:r>
            <w:r>
              <w:rPr>
                <w:rFonts w:hint="eastAsia" w:ascii="Times New Roman" w:hAnsi="Times New Roman" w:eastAsia="宋体" w:cs="Times New Roman"/>
                <w:b w:val="0"/>
                <w:bCs w:val="0"/>
                <w:sz w:val="18"/>
                <w:szCs w:val="18"/>
                <w:lang w:val="en-US" w:eastAsia="zh-CN"/>
              </w:rPr>
              <w:t>(</w:t>
            </w:r>
            <w:r>
              <w:rPr>
                <w:rFonts w:hint="default" w:ascii="Times New Roman" w:hAnsi="Times New Roman" w:cs="Times New Roman"/>
                <w:b w:val="0"/>
                <w:bCs w:val="0"/>
                <w:sz w:val="18"/>
                <w:szCs w:val="18"/>
                <w:lang w:val="en-US" w:eastAsia="zh-CN"/>
              </w:rPr>
              <w:t>1.10-1.38</w:t>
            </w:r>
            <w:r>
              <w:rPr>
                <w:rFonts w:hint="eastAsia" w:ascii="Times New Roman" w:hAnsi="Times New Roman" w:eastAsia="宋体" w:cs="Times New Roman"/>
                <w:b w:val="0"/>
                <w:bCs w:val="0"/>
                <w:sz w:val="18"/>
                <w:szCs w:val="18"/>
                <w:lang w:val="en-US" w:eastAsia="zh-CN"/>
              </w:rPr>
              <w:t>)</w:t>
            </w:r>
          </w:p>
        </w:tc>
      </w:tr>
      <w:tr w14:paraId="7AB2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40" w:type="dxa"/>
            <w:tcBorders>
              <w:top w:val="nil"/>
              <w:left w:val="nil"/>
              <w:bottom w:val="single" w:color="auto" w:sz="12" w:space="0"/>
              <w:right w:val="nil"/>
            </w:tcBorders>
            <w:vAlign w:val="center"/>
          </w:tcPr>
          <w:p w14:paraId="132C748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bCs w:val="0"/>
                <w:sz w:val="18"/>
                <w:szCs w:val="18"/>
                <w:vertAlign w:val="baseline"/>
                <w:lang w:eastAsia="zh-CN"/>
              </w:rPr>
            </w:pPr>
            <w:r>
              <w:rPr>
                <w:rFonts w:hint="default" w:ascii="Times New Roman" w:hAnsi="Times New Roman" w:cs="Times New Roman"/>
                <w:b w:val="0"/>
                <w:bCs w:val="0"/>
                <w:sz w:val="18"/>
                <w:szCs w:val="18"/>
                <w:lang w:val="en-US" w:eastAsia="zh-CN"/>
              </w:rPr>
              <w:t>Q4 vs Q1</w:t>
            </w:r>
          </w:p>
        </w:tc>
        <w:tc>
          <w:tcPr>
            <w:tcW w:w="2841" w:type="dxa"/>
            <w:tcBorders>
              <w:top w:val="nil"/>
              <w:left w:val="nil"/>
              <w:bottom w:val="single" w:color="auto" w:sz="12" w:space="0"/>
              <w:right w:val="nil"/>
            </w:tcBorders>
            <w:vAlign w:val="center"/>
          </w:tcPr>
          <w:p w14:paraId="7EC00C10">
            <w:pPr>
              <w:keepNext w:val="0"/>
              <w:keepLines w:val="0"/>
              <w:widowControl/>
              <w:suppressLineNumbers w:val="0"/>
              <w:spacing w:before="0" w:beforeAutospacing="0" w:after="0" w:afterAutospacing="0" w:line="21" w:lineRule="atLeast"/>
              <w:ind w:left="0" w:right="0"/>
              <w:jc w:val="center"/>
              <w:textAlignment w:val="top"/>
              <w:rPr>
                <w:rFonts w:hint="default" w:ascii="Times New Roman" w:hAnsi="Times New Roman" w:eastAsia="宋体" w:cs="Times New Roman"/>
                <w:b w:val="0"/>
                <w:bCs w:val="0"/>
                <w:sz w:val="18"/>
                <w:szCs w:val="18"/>
                <w:vertAlign w:val="baseline"/>
                <w:lang w:eastAsia="zh-CN"/>
              </w:rPr>
            </w:pPr>
            <w:r>
              <w:rPr>
                <w:rFonts w:hint="default" w:ascii="Times New Roman" w:hAnsi="Times New Roman" w:eastAsia="Calibri" w:cs="Times New Roman"/>
                <w:i w:val="0"/>
                <w:iCs w:val="0"/>
                <w:caps w:val="0"/>
                <w:color w:val="333333"/>
                <w:spacing w:val="0"/>
                <w:kern w:val="0"/>
                <w:sz w:val="18"/>
                <w:szCs w:val="18"/>
                <w:lang w:val="en-US" w:eastAsia="zh-CN" w:bidi="ar"/>
              </w:rPr>
              <w:t xml:space="preserve">1.42 </w:t>
            </w:r>
            <w:r>
              <w:rPr>
                <w:rFonts w:hint="eastAsia" w:ascii="Times New Roman" w:hAnsi="Times New Roman" w:eastAsia="宋体" w:cs="Times New Roman"/>
                <w:i w:val="0"/>
                <w:iCs w:val="0"/>
                <w:caps w:val="0"/>
                <w:color w:val="333333"/>
                <w:spacing w:val="0"/>
                <w:kern w:val="0"/>
                <w:sz w:val="18"/>
                <w:szCs w:val="18"/>
                <w:lang w:val="en-US" w:eastAsia="zh-CN" w:bidi="ar"/>
              </w:rPr>
              <w:t>(</w:t>
            </w:r>
            <w:r>
              <w:rPr>
                <w:rFonts w:hint="default" w:ascii="Times New Roman" w:hAnsi="Times New Roman" w:eastAsia="Calibri" w:cs="Times New Roman"/>
                <w:i w:val="0"/>
                <w:iCs w:val="0"/>
                <w:caps w:val="0"/>
                <w:color w:val="333333"/>
                <w:spacing w:val="0"/>
                <w:kern w:val="0"/>
                <w:sz w:val="18"/>
                <w:szCs w:val="18"/>
                <w:lang w:val="en-US" w:eastAsia="zh-CN" w:bidi="ar"/>
              </w:rPr>
              <w:t>1.28-1.59</w:t>
            </w:r>
            <w:r>
              <w:rPr>
                <w:rFonts w:hint="eastAsia" w:ascii="Times New Roman" w:hAnsi="Times New Roman" w:eastAsia="宋体" w:cs="Times New Roman"/>
                <w:i w:val="0"/>
                <w:iCs w:val="0"/>
                <w:caps w:val="0"/>
                <w:color w:val="333333"/>
                <w:spacing w:val="0"/>
                <w:kern w:val="0"/>
                <w:sz w:val="18"/>
                <w:szCs w:val="18"/>
                <w:lang w:val="en-US" w:eastAsia="zh-CN" w:bidi="ar"/>
              </w:rPr>
              <w:t>)</w:t>
            </w:r>
          </w:p>
        </w:tc>
        <w:tc>
          <w:tcPr>
            <w:tcW w:w="2841" w:type="dxa"/>
            <w:tcBorders>
              <w:top w:val="nil"/>
              <w:left w:val="nil"/>
              <w:bottom w:val="single" w:color="auto" w:sz="12" w:space="0"/>
              <w:right w:val="nil"/>
            </w:tcBorders>
            <w:vAlign w:val="center"/>
          </w:tcPr>
          <w:p w14:paraId="3D2AE157">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val="0"/>
                <w:bCs w:val="0"/>
                <w:sz w:val="18"/>
                <w:szCs w:val="18"/>
                <w:vertAlign w:val="baseline"/>
                <w:lang w:eastAsia="zh-CN"/>
              </w:rPr>
            </w:pPr>
            <w:r>
              <w:rPr>
                <w:rFonts w:hint="default" w:ascii="Times New Roman" w:hAnsi="Times New Roman" w:cs="Times New Roman"/>
                <w:b w:val="0"/>
                <w:bCs w:val="0"/>
                <w:sz w:val="18"/>
                <w:szCs w:val="18"/>
                <w:lang w:val="en-US" w:eastAsia="zh-CN"/>
              </w:rPr>
              <w:t xml:space="preserve">1.42 </w:t>
            </w:r>
            <w:r>
              <w:rPr>
                <w:rFonts w:hint="eastAsia" w:ascii="Times New Roman" w:hAnsi="Times New Roman" w:eastAsia="宋体" w:cs="Times New Roman"/>
                <w:b w:val="0"/>
                <w:bCs w:val="0"/>
                <w:sz w:val="18"/>
                <w:szCs w:val="18"/>
                <w:lang w:val="en-US" w:eastAsia="zh-CN"/>
              </w:rPr>
              <w:t>(</w:t>
            </w:r>
            <w:r>
              <w:rPr>
                <w:rFonts w:hint="default" w:ascii="Times New Roman" w:hAnsi="Times New Roman" w:cs="Times New Roman"/>
                <w:b w:val="0"/>
                <w:bCs w:val="0"/>
                <w:sz w:val="18"/>
                <w:szCs w:val="18"/>
                <w:lang w:val="en-US" w:eastAsia="zh-CN"/>
              </w:rPr>
              <w:t>1.27-1.60</w:t>
            </w:r>
            <w:r>
              <w:rPr>
                <w:rFonts w:hint="eastAsia" w:ascii="Times New Roman" w:hAnsi="Times New Roman" w:eastAsia="宋体" w:cs="Times New Roman"/>
                <w:b w:val="0"/>
                <w:bCs w:val="0"/>
                <w:sz w:val="18"/>
                <w:szCs w:val="18"/>
                <w:lang w:val="en-US" w:eastAsia="zh-CN"/>
              </w:rPr>
              <w:t>)</w:t>
            </w:r>
          </w:p>
        </w:tc>
      </w:tr>
    </w:tbl>
    <w:p w14:paraId="097715C5">
      <w:pPr>
        <w:rPr>
          <w:rFonts w:hint="default" w:ascii="Times New Roman" w:hAnsi="Times New Roman" w:cs="Times New Roman"/>
          <w:sz w:val="18"/>
          <w:szCs w:val="21"/>
          <w:lang w:eastAsia="zh-CN"/>
        </w:rPr>
      </w:pPr>
      <w:r>
        <w:rPr>
          <w:rFonts w:hint="default" w:ascii="Times New Roman" w:hAnsi="Times New Roman" w:cs="Times New Roman"/>
          <w:sz w:val="18"/>
          <w:szCs w:val="21"/>
          <w:lang w:eastAsia="zh-CN"/>
        </w:rPr>
        <w:t>（</w:t>
      </w:r>
      <w:r>
        <w:rPr>
          <w:rFonts w:hint="default" w:ascii="Times New Roman" w:hAnsi="Times New Roman" w:cs="Times New Roman"/>
          <w:sz w:val="18"/>
          <w:szCs w:val="21"/>
          <w:lang w:val="en-US" w:eastAsia="zh-CN"/>
        </w:rPr>
        <w:t>B</w:t>
      </w:r>
      <w:r>
        <w:rPr>
          <w:rFonts w:hint="eastAsia" w:ascii="Times New Roman" w:hAnsi="Times New Roman" w:eastAsia="宋体" w:cs="Times New Roman"/>
          <w:sz w:val="18"/>
          <w:szCs w:val="21"/>
          <w:lang w:eastAsia="zh-CN"/>
        </w:rPr>
        <w:t>）</w:t>
      </w:r>
    </w:p>
    <w:tbl>
      <w:tblPr>
        <w:tblStyle w:val="1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3"/>
        <w:gridCol w:w="3024"/>
        <w:gridCol w:w="3024"/>
      </w:tblGrid>
      <w:tr w14:paraId="2DA1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92" w:type="dxa"/>
            <w:tcBorders>
              <w:top w:val="single" w:color="auto" w:sz="12" w:space="0"/>
              <w:left w:val="nil"/>
              <w:bottom w:val="single" w:color="auto" w:sz="8" w:space="0"/>
              <w:right w:val="nil"/>
            </w:tcBorders>
            <w:vAlign w:val="center"/>
          </w:tcPr>
          <w:p w14:paraId="7816B9A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b/>
                <w:bCs/>
                <w:sz w:val="18"/>
                <w:szCs w:val="18"/>
                <w:vertAlign w:val="baseline"/>
                <w:lang w:eastAsia="zh-CN"/>
              </w:rPr>
            </w:pPr>
            <w:r>
              <w:rPr>
                <w:rFonts w:hint="default" w:ascii="Times New Roman" w:hAnsi="Times New Roman" w:eastAsia="宋体" w:cs="Times New Roman"/>
                <w:b/>
                <w:bCs/>
                <w:i w:val="0"/>
                <w:iCs w:val="0"/>
                <w:color w:val="000000"/>
                <w:kern w:val="0"/>
                <w:sz w:val="18"/>
                <w:szCs w:val="18"/>
                <w:u w:val="none"/>
                <w:lang w:val="en-US" w:eastAsia="zh-CN" w:bidi="ar"/>
              </w:rPr>
              <w:t>Adjustment Variables</w:t>
            </w:r>
          </w:p>
        </w:tc>
        <w:tc>
          <w:tcPr>
            <w:tcW w:w="2993" w:type="dxa"/>
            <w:tcBorders>
              <w:top w:val="single" w:color="auto" w:sz="12" w:space="0"/>
              <w:left w:val="nil"/>
              <w:bottom w:val="single" w:color="auto" w:sz="8" w:space="0"/>
              <w:right w:val="nil"/>
            </w:tcBorders>
            <w:vAlign w:val="center"/>
          </w:tcPr>
          <w:p w14:paraId="56D15D9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b/>
                <w:bCs/>
                <w:sz w:val="18"/>
                <w:szCs w:val="18"/>
                <w:vertAlign w:val="baseline"/>
                <w:lang w:eastAsia="zh-CN"/>
              </w:rPr>
            </w:pPr>
            <w:r>
              <w:rPr>
                <w:rFonts w:hint="default" w:ascii="Times New Roman" w:hAnsi="Times New Roman" w:eastAsia="宋体" w:cs="Times New Roman"/>
                <w:b/>
                <w:bCs/>
                <w:i w:val="0"/>
                <w:iCs w:val="0"/>
                <w:color w:val="000000"/>
                <w:kern w:val="0"/>
                <w:sz w:val="18"/>
                <w:szCs w:val="18"/>
                <w:u w:val="none"/>
                <w:lang w:val="en-US" w:eastAsia="zh-CN" w:bidi="ar"/>
              </w:rPr>
              <w:t xml:space="preserve">Q4 vs Q1 HR </w:t>
            </w:r>
            <w:r>
              <w:rPr>
                <w:rFonts w:hint="eastAsia" w:ascii="Times New Roman" w:hAnsi="Times New Roman" w:eastAsia="宋体" w:cs="Times New Roman"/>
                <w:b/>
                <w:bCs/>
                <w:i w:val="0"/>
                <w:iCs w:val="0"/>
                <w:color w:val="000000"/>
                <w:kern w:val="0"/>
                <w:sz w:val="18"/>
                <w:szCs w:val="18"/>
                <w:u w:val="none"/>
                <w:lang w:val="en-US" w:eastAsia="zh-CN" w:bidi="ar"/>
              </w:rPr>
              <w:t>(</w:t>
            </w:r>
            <w:r>
              <w:rPr>
                <w:rFonts w:hint="default" w:ascii="Times New Roman" w:hAnsi="Times New Roman" w:eastAsia="宋体" w:cs="Times New Roman"/>
                <w:b/>
                <w:bCs/>
                <w:i w:val="0"/>
                <w:iCs w:val="0"/>
                <w:color w:val="000000"/>
                <w:kern w:val="0"/>
                <w:sz w:val="18"/>
                <w:szCs w:val="18"/>
                <w:u w:val="none"/>
                <w:lang w:val="en-US" w:eastAsia="zh-CN" w:bidi="ar"/>
              </w:rPr>
              <w:t>95% CI</w:t>
            </w:r>
            <w:r>
              <w:rPr>
                <w:rFonts w:hint="eastAsia" w:ascii="Times New Roman" w:hAnsi="Times New Roman" w:eastAsia="宋体" w:cs="Times New Roman"/>
                <w:b/>
                <w:bCs/>
                <w:i w:val="0"/>
                <w:iCs w:val="0"/>
                <w:color w:val="000000"/>
                <w:kern w:val="0"/>
                <w:sz w:val="18"/>
                <w:szCs w:val="18"/>
                <w:u w:val="none"/>
                <w:lang w:val="en-US" w:eastAsia="zh-CN" w:bidi="ar"/>
              </w:rPr>
              <w:t>)</w:t>
            </w:r>
          </w:p>
        </w:tc>
        <w:tc>
          <w:tcPr>
            <w:tcW w:w="2993" w:type="dxa"/>
            <w:tcBorders>
              <w:top w:val="single" w:color="auto" w:sz="12" w:space="0"/>
              <w:left w:val="nil"/>
              <w:bottom w:val="single" w:color="auto" w:sz="8" w:space="0"/>
              <w:right w:val="nil"/>
            </w:tcBorders>
            <w:vAlign w:val="center"/>
          </w:tcPr>
          <w:p w14:paraId="3A6B4B7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b/>
                <w:bCs/>
                <w:sz w:val="18"/>
                <w:szCs w:val="18"/>
                <w:vertAlign w:val="baseline"/>
                <w:lang w:eastAsia="zh-CN"/>
              </w:rPr>
            </w:pPr>
            <w:r>
              <w:rPr>
                <w:rFonts w:hint="default" w:ascii="Times New Roman" w:hAnsi="Times New Roman" w:eastAsia="宋体" w:cs="Times New Roman"/>
                <w:b/>
                <w:bCs/>
                <w:i w:val="0"/>
                <w:iCs w:val="0"/>
                <w:color w:val="000000"/>
                <w:kern w:val="0"/>
                <w:sz w:val="18"/>
                <w:szCs w:val="18"/>
                <w:u w:val="none"/>
                <w:lang w:val="en-US" w:eastAsia="zh-CN" w:bidi="ar"/>
              </w:rPr>
              <w:t>Attenuation Rate</w:t>
            </w:r>
          </w:p>
        </w:tc>
      </w:tr>
      <w:tr w14:paraId="1EC5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92" w:type="dxa"/>
            <w:tcBorders>
              <w:top w:val="single" w:color="auto" w:sz="8" w:space="0"/>
              <w:left w:val="nil"/>
              <w:bottom w:val="nil"/>
              <w:right w:val="nil"/>
            </w:tcBorders>
            <w:vAlign w:val="center"/>
          </w:tcPr>
          <w:p w14:paraId="251680A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sz w:val="18"/>
                <w:szCs w:val="18"/>
                <w:vertAlign w:val="baseline"/>
                <w:lang w:eastAsia="zh-CN"/>
              </w:rPr>
            </w:pPr>
            <w:r>
              <w:rPr>
                <w:rFonts w:hint="default" w:ascii="Times New Roman" w:hAnsi="Times New Roman" w:eastAsia="宋体" w:cs="Times New Roman"/>
                <w:i w:val="0"/>
                <w:iCs w:val="0"/>
                <w:color w:val="000000"/>
                <w:kern w:val="0"/>
                <w:sz w:val="18"/>
                <w:szCs w:val="18"/>
                <w:u w:val="none"/>
                <w:lang w:val="en-US" w:eastAsia="zh-CN" w:bidi="ar"/>
              </w:rPr>
              <w:t>Base model</w:t>
            </w:r>
          </w:p>
        </w:tc>
        <w:tc>
          <w:tcPr>
            <w:tcW w:w="2993" w:type="dxa"/>
            <w:tcBorders>
              <w:top w:val="single" w:color="auto" w:sz="8" w:space="0"/>
              <w:left w:val="nil"/>
              <w:bottom w:val="nil"/>
              <w:right w:val="nil"/>
            </w:tcBorders>
            <w:vAlign w:val="center"/>
          </w:tcPr>
          <w:p w14:paraId="1CD71D6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sz w:val="18"/>
                <w:szCs w:val="18"/>
                <w:vertAlign w:val="baseline"/>
                <w:lang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1.424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1.277-1.586</w:t>
            </w:r>
            <w:r>
              <w:rPr>
                <w:rFonts w:hint="eastAsia" w:ascii="Times New Roman" w:hAnsi="Times New Roman" w:eastAsia="宋体" w:cs="Times New Roman"/>
                <w:i w:val="0"/>
                <w:iCs w:val="0"/>
                <w:color w:val="000000"/>
                <w:kern w:val="0"/>
                <w:sz w:val="18"/>
                <w:szCs w:val="18"/>
                <w:u w:val="none"/>
                <w:lang w:val="en-US" w:eastAsia="zh-CN" w:bidi="ar"/>
              </w:rPr>
              <w:t>)</w:t>
            </w:r>
          </w:p>
        </w:tc>
        <w:tc>
          <w:tcPr>
            <w:tcW w:w="2993" w:type="dxa"/>
            <w:tcBorders>
              <w:top w:val="single" w:color="auto" w:sz="8" w:space="0"/>
              <w:left w:val="nil"/>
              <w:bottom w:val="nil"/>
              <w:right w:val="nil"/>
            </w:tcBorders>
            <w:vAlign w:val="center"/>
          </w:tcPr>
          <w:p w14:paraId="058E207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sz w:val="18"/>
                <w:szCs w:val="18"/>
                <w:vertAlign w:val="baseline"/>
                <w:lang w:eastAsia="zh-CN"/>
              </w:rPr>
            </w:pPr>
            <w:r>
              <w:rPr>
                <w:rFonts w:hint="default" w:ascii="Times New Roman" w:hAnsi="Times New Roman" w:eastAsia="宋体" w:cs="Times New Roman"/>
                <w:i w:val="0"/>
                <w:iCs w:val="0"/>
                <w:color w:val="000000"/>
                <w:kern w:val="0"/>
                <w:sz w:val="18"/>
                <w:szCs w:val="18"/>
                <w:u w:val="none"/>
                <w:lang w:val="en-US" w:eastAsia="zh-CN" w:bidi="ar"/>
              </w:rPr>
              <w:t>-</w:t>
            </w:r>
          </w:p>
        </w:tc>
      </w:tr>
      <w:tr w14:paraId="5419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92" w:type="dxa"/>
            <w:tcBorders>
              <w:top w:val="nil"/>
              <w:left w:val="nil"/>
              <w:bottom w:val="nil"/>
              <w:right w:val="nil"/>
            </w:tcBorders>
            <w:vAlign w:val="center"/>
          </w:tcPr>
          <w:p w14:paraId="22DCD29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sz w:val="18"/>
                <w:szCs w:val="18"/>
                <w:vertAlign w:val="baseline"/>
                <w:lang w:eastAsia="zh-CN"/>
              </w:rPr>
            </w:pPr>
            <w:r>
              <w:rPr>
                <w:rFonts w:hint="default" w:ascii="Times New Roman" w:hAnsi="Times New Roman" w:eastAsia="宋体" w:cs="Times New Roman"/>
                <w:i w:val="0"/>
                <w:iCs w:val="0"/>
                <w:color w:val="000000"/>
                <w:kern w:val="0"/>
                <w:sz w:val="18"/>
                <w:szCs w:val="18"/>
                <w:u w:val="none"/>
                <w:lang w:val="en-US" w:eastAsia="zh-CN" w:bidi="ar"/>
              </w:rPr>
              <w:t>+ RDW measurement count</w:t>
            </w:r>
          </w:p>
        </w:tc>
        <w:tc>
          <w:tcPr>
            <w:tcW w:w="2993" w:type="dxa"/>
            <w:tcBorders>
              <w:top w:val="nil"/>
              <w:left w:val="nil"/>
              <w:bottom w:val="nil"/>
              <w:right w:val="nil"/>
            </w:tcBorders>
            <w:vAlign w:val="center"/>
          </w:tcPr>
          <w:p w14:paraId="769198C5">
            <w:pPr>
              <w:keepNext w:val="0"/>
              <w:keepLines w:val="0"/>
              <w:widowControl/>
              <w:suppressLineNumbers w:val="0"/>
              <w:spacing w:before="0" w:beforeAutospacing="0" w:after="0" w:afterAutospacing="0" w:line="17" w:lineRule="atLeast"/>
              <w:ind w:left="0" w:right="0"/>
              <w:jc w:val="center"/>
              <w:textAlignment w:val="top"/>
              <w:rPr>
                <w:rFonts w:hint="default" w:ascii="Times New Roman" w:hAnsi="Times New Roman" w:eastAsia="宋体" w:cs="Times New Roman"/>
                <w:sz w:val="18"/>
                <w:szCs w:val="18"/>
                <w:vertAlign w:val="baseline"/>
                <w:lang w:eastAsia="zh-CN"/>
              </w:rPr>
            </w:pPr>
            <w:r>
              <w:rPr>
                <w:rFonts w:hint="default" w:ascii="Times New Roman" w:hAnsi="Times New Roman" w:eastAsia="Calibri" w:cs="Calibri"/>
                <w:i w:val="0"/>
                <w:iCs w:val="0"/>
                <w:caps w:val="0"/>
                <w:color w:val="333333"/>
                <w:spacing w:val="0"/>
                <w:kern w:val="0"/>
                <w:sz w:val="18"/>
                <w:szCs w:val="18"/>
                <w:lang w:val="en-US" w:eastAsia="zh-CN" w:bidi="ar"/>
              </w:rPr>
              <w:t xml:space="preserve">1.419 </w:t>
            </w:r>
            <w:r>
              <w:rPr>
                <w:rFonts w:hint="eastAsia" w:ascii="Times New Roman" w:hAnsi="Times New Roman" w:eastAsia="宋体" w:cs="Calibri"/>
                <w:i w:val="0"/>
                <w:iCs w:val="0"/>
                <w:caps w:val="0"/>
                <w:color w:val="333333"/>
                <w:spacing w:val="0"/>
                <w:kern w:val="0"/>
                <w:sz w:val="18"/>
                <w:szCs w:val="18"/>
                <w:lang w:val="en-US" w:eastAsia="zh-CN" w:bidi="ar"/>
              </w:rPr>
              <w:t>(</w:t>
            </w:r>
            <w:r>
              <w:rPr>
                <w:rFonts w:hint="default" w:ascii="Times New Roman" w:hAnsi="Times New Roman" w:eastAsia="Calibri" w:cs="Calibri"/>
                <w:i w:val="0"/>
                <w:iCs w:val="0"/>
                <w:caps w:val="0"/>
                <w:color w:val="333333"/>
                <w:spacing w:val="0"/>
                <w:kern w:val="0"/>
                <w:sz w:val="18"/>
                <w:szCs w:val="18"/>
                <w:lang w:val="en-US" w:eastAsia="zh-CN" w:bidi="ar"/>
              </w:rPr>
              <w:t>1.275-1.580</w:t>
            </w:r>
            <w:r>
              <w:rPr>
                <w:rFonts w:hint="eastAsia" w:ascii="Times New Roman" w:hAnsi="Times New Roman" w:eastAsia="宋体" w:cs="Calibri"/>
                <w:i w:val="0"/>
                <w:iCs w:val="0"/>
                <w:caps w:val="0"/>
                <w:color w:val="333333"/>
                <w:spacing w:val="0"/>
                <w:kern w:val="0"/>
                <w:sz w:val="18"/>
                <w:szCs w:val="18"/>
                <w:lang w:val="en-US" w:eastAsia="zh-CN" w:bidi="ar"/>
              </w:rPr>
              <w:t>)</w:t>
            </w:r>
          </w:p>
        </w:tc>
        <w:tc>
          <w:tcPr>
            <w:tcW w:w="2993" w:type="dxa"/>
            <w:tcBorders>
              <w:top w:val="nil"/>
              <w:left w:val="nil"/>
              <w:bottom w:val="nil"/>
              <w:right w:val="nil"/>
            </w:tcBorders>
            <w:vAlign w:val="center"/>
          </w:tcPr>
          <w:p w14:paraId="0670977F">
            <w:pPr>
              <w:keepNext w:val="0"/>
              <w:keepLines w:val="0"/>
              <w:widowControl/>
              <w:suppressLineNumbers w:val="0"/>
              <w:spacing w:before="0" w:beforeAutospacing="0" w:after="0" w:afterAutospacing="0" w:line="17" w:lineRule="atLeast"/>
              <w:ind w:left="0" w:right="0"/>
              <w:jc w:val="center"/>
              <w:textAlignment w:val="top"/>
              <w:rPr>
                <w:rFonts w:hint="default" w:ascii="Times New Roman" w:hAnsi="Times New Roman" w:eastAsia="宋体" w:cs="Times New Roman"/>
                <w:sz w:val="18"/>
                <w:szCs w:val="18"/>
                <w:vertAlign w:val="baseline"/>
                <w:lang w:eastAsia="zh-CN"/>
              </w:rPr>
            </w:pPr>
            <w:r>
              <w:rPr>
                <w:rFonts w:hint="eastAsia" w:ascii="Times New Roman" w:hAnsi="Times New Roman" w:eastAsia="Calibri" w:cs="Calibri"/>
                <w:i w:val="0"/>
                <w:iCs w:val="0"/>
                <w:caps w:val="0"/>
                <w:color w:val="333333"/>
                <w:spacing w:val="0"/>
                <w:kern w:val="0"/>
                <w:sz w:val="18"/>
                <w:szCs w:val="18"/>
                <w:lang w:val="en-US" w:eastAsia="zh-CN" w:bidi="ar"/>
              </w:rPr>
              <w:t>1.2</w:t>
            </w:r>
            <w:r>
              <w:rPr>
                <w:rFonts w:hint="default" w:ascii="Times New Roman" w:hAnsi="Times New Roman" w:eastAsia="Calibri" w:cs="Calibri"/>
                <w:i w:val="0"/>
                <w:iCs w:val="0"/>
                <w:caps w:val="0"/>
                <w:color w:val="333333"/>
                <w:spacing w:val="0"/>
                <w:kern w:val="0"/>
                <w:sz w:val="18"/>
                <w:szCs w:val="18"/>
                <w:lang w:val="en-US" w:eastAsia="zh-CN" w:bidi="ar"/>
              </w:rPr>
              <w:t>%</w:t>
            </w:r>
          </w:p>
        </w:tc>
      </w:tr>
      <w:tr w14:paraId="3628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92" w:type="dxa"/>
            <w:tcBorders>
              <w:top w:val="nil"/>
              <w:left w:val="nil"/>
              <w:bottom w:val="nil"/>
              <w:right w:val="nil"/>
            </w:tcBorders>
            <w:vAlign w:val="center"/>
          </w:tcPr>
          <w:p w14:paraId="1F2E8DC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sz w:val="18"/>
                <w:szCs w:val="18"/>
                <w:vertAlign w:val="baseline"/>
                <w:lang w:eastAsia="zh-CN"/>
              </w:rPr>
            </w:pPr>
            <w:r>
              <w:rPr>
                <w:rFonts w:hint="default" w:ascii="Times New Roman" w:hAnsi="Times New Roman" w:eastAsia="宋体" w:cs="Times New Roman"/>
                <w:i w:val="0"/>
                <w:iCs w:val="0"/>
                <w:color w:val="000000"/>
                <w:kern w:val="0"/>
                <w:sz w:val="18"/>
                <w:szCs w:val="18"/>
                <w:u w:val="none"/>
                <w:lang w:val="en-US" w:eastAsia="zh-CN" w:bidi="ar"/>
              </w:rPr>
              <w:t>+ Average sampling interval</w:t>
            </w:r>
          </w:p>
        </w:tc>
        <w:tc>
          <w:tcPr>
            <w:tcW w:w="2993" w:type="dxa"/>
            <w:tcBorders>
              <w:top w:val="nil"/>
              <w:left w:val="nil"/>
              <w:bottom w:val="nil"/>
              <w:right w:val="nil"/>
            </w:tcBorders>
            <w:vAlign w:val="center"/>
          </w:tcPr>
          <w:p w14:paraId="2CA2EF78">
            <w:pPr>
              <w:keepNext w:val="0"/>
              <w:keepLines w:val="0"/>
              <w:widowControl/>
              <w:suppressLineNumbers w:val="0"/>
              <w:spacing w:before="0" w:beforeAutospacing="0" w:after="0" w:afterAutospacing="0" w:line="17" w:lineRule="atLeast"/>
              <w:ind w:left="0" w:right="0"/>
              <w:jc w:val="center"/>
              <w:textAlignment w:val="top"/>
              <w:rPr>
                <w:rFonts w:hint="default" w:ascii="Times New Roman" w:hAnsi="Times New Roman" w:eastAsia="宋体" w:cs="Times New Roman"/>
                <w:sz w:val="18"/>
                <w:szCs w:val="18"/>
                <w:vertAlign w:val="baseline"/>
                <w:lang w:eastAsia="zh-CN"/>
              </w:rPr>
            </w:pPr>
            <w:r>
              <w:rPr>
                <w:rFonts w:hint="default" w:ascii="Times New Roman" w:hAnsi="Times New Roman" w:eastAsia="Calibri" w:cs="Calibri"/>
                <w:i w:val="0"/>
                <w:iCs w:val="0"/>
                <w:caps w:val="0"/>
                <w:color w:val="333333"/>
                <w:spacing w:val="0"/>
                <w:kern w:val="0"/>
                <w:sz w:val="18"/>
                <w:szCs w:val="18"/>
                <w:lang w:val="en-US" w:eastAsia="zh-CN" w:bidi="ar"/>
              </w:rPr>
              <w:t xml:space="preserve">1.417 </w:t>
            </w:r>
            <w:r>
              <w:rPr>
                <w:rFonts w:hint="eastAsia" w:ascii="Times New Roman" w:hAnsi="Times New Roman" w:eastAsia="宋体" w:cs="Calibri"/>
                <w:i w:val="0"/>
                <w:iCs w:val="0"/>
                <w:caps w:val="0"/>
                <w:color w:val="333333"/>
                <w:spacing w:val="0"/>
                <w:kern w:val="0"/>
                <w:sz w:val="18"/>
                <w:szCs w:val="18"/>
                <w:lang w:val="en-US" w:eastAsia="zh-CN" w:bidi="ar"/>
              </w:rPr>
              <w:t>(</w:t>
            </w:r>
            <w:r>
              <w:rPr>
                <w:rFonts w:hint="default" w:ascii="Times New Roman" w:hAnsi="Times New Roman" w:eastAsia="Calibri" w:cs="Calibri"/>
                <w:i w:val="0"/>
                <w:iCs w:val="0"/>
                <w:caps w:val="0"/>
                <w:color w:val="333333"/>
                <w:spacing w:val="0"/>
                <w:kern w:val="0"/>
                <w:sz w:val="18"/>
                <w:szCs w:val="18"/>
                <w:lang w:val="en-US" w:eastAsia="zh-CN" w:bidi="ar"/>
              </w:rPr>
              <w:t>1.271-1.580</w:t>
            </w:r>
            <w:r>
              <w:rPr>
                <w:rFonts w:hint="eastAsia" w:ascii="Times New Roman" w:hAnsi="Times New Roman" w:eastAsia="宋体" w:cs="Calibri"/>
                <w:i w:val="0"/>
                <w:iCs w:val="0"/>
                <w:caps w:val="0"/>
                <w:color w:val="333333"/>
                <w:spacing w:val="0"/>
                <w:kern w:val="0"/>
                <w:sz w:val="18"/>
                <w:szCs w:val="18"/>
                <w:lang w:val="en-US" w:eastAsia="zh-CN" w:bidi="ar"/>
              </w:rPr>
              <w:t>)</w:t>
            </w:r>
          </w:p>
        </w:tc>
        <w:tc>
          <w:tcPr>
            <w:tcW w:w="2993" w:type="dxa"/>
            <w:tcBorders>
              <w:top w:val="nil"/>
              <w:left w:val="nil"/>
              <w:bottom w:val="nil"/>
              <w:right w:val="nil"/>
            </w:tcBorders>
            <w:vAlign w:val="center"/>
          </w:tcPr>
          <w:p w14:paraId="36E1C4DA">
            <w:pPr>
              <w:keepNext w:val="0"/>
              <w:keepLines w:val="0"/>
              <w:widowControl/>
              <w:suppressLineNumbers w:val="0"/>
              <w:spacing w:before="0" w:beforeAutospacing="0" w:after="0" w:afterAutospacing="0" w:line="17" w:lineRule="atLeast"/>
              <w:ind w:left="0" w:right="0"/>
              <w:jc w:val="center"/>
              <w:textAlignment w:val="top"/>
              <w:rPr>
                <w:rFonts w:hint="default" w:ascii="Times New Roman" w:hAnsi="Times New Roman" w:eastAsia="宋体" w:cs="Times New Roman"/>
                <w:sz w:val="18"/>
                <w:szCs w:val="18"/>
                <w:vertAlign w:val="baseline"/>
                <w:lang w:eastAsia="zh-CN"/>
              </w:rPr>
            </w:pPr>
            <w:r>
              <w:rPr>
                <w:rFonts w:hint="eastAsia" w:ascii="Times New Roman" w:hAnsi="Times New Roman" w:eastAsia="Calibri" w:cs="Calibri"/>
                <w:i w:val="0"/>
                <w:iCs w:val="0"/>
                <w:caps w:val="0"/>
                <w:color w:val="333333"/>
                <w:spacing w:val="0"/>
                <w:kern w:val="0"/>
                <w:sz w:val="18"/>
                <w:szCs w:val="18"/>
                <w:lang w:val="en-US" w:eastAsia="zh-CN" w:bidi="ar"/>
              </w:rPr>
              <w:t>1.6</w:t>
            </w:r>
            <w:r>
              <w:rPr>
                <w:rFonts w:hint="default" w:ascii="Times New Roman" w:hAnsi="Times New Roman" w:eastAsia="Calibri" w:cs="Calibri"/>
                <w:i w:val="0"/>
                <w:iCs w:val="0"/>
                <w:caps w:val="0"/>
                <w:color w:val="333333"/>
                <w:spacing w:val="0"/>
                <w:kern w:val="0"/>
                <w:sz w:val="18"/>
                <w:szCs w:val="18"/>
                <w:lang w:val="en-US" w:eastAsia="zh-CN" w:bidi="ar"/>
              </w:rPr>
              <w:t>%</w:t>
            </w:r>
          </w:p>
        </w:tc>
      </w:tr>
      <w:tr w14:paraId="7C54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92" w:type="dxa"/>
            <w:tcBorders>
              <w:top w:val="nil"/>
              <w:left w:val="nil"/>
              <w:bottom w:val="single" w:color="auto" w:sz="12" w:space="0"/>
              <w:right w:val="nil"/>
            </w:tcBorders>
            <w:vAlign w:val="center"/>
          </w:tcPr>
          <w:p w14:paraId="15C0090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sz w:val="18"/>
                <w:szCs w:val="18"/>
                <w:vertAlign w:val="baseline"/>
                <w:lang w:eastAsia="zh-CN"/>
              </w:rPr>
            </w:pPr>
            <w:r>
              <w:rPr>
                <w:rFonts w:hint="default" w:ascii="Times New Roman" w:hAnsi="Times New Roman" w:eastAsia="宋体" w:cs="Times New Roman"/>
                <w:i w:val="0"/>
                <w:iCs w:val="0"/>
                <w:color w:val="000000"/>
                <w:kern w:val="0"/>
                <w:sz w:val="18"/>
                <w:szCs w:val="18"/>
                <w:u w:val="none"/>
                <w:lang w:val="en-US" w:eastAsia="zh-CN" w:bidi="ar"/>
              </w:rPr>
              <w:t>+ Both adjustments</w:t>
            </w:r>
          </w:p>
        </w:tc>
        <w:tc>
          <w:tcPr>
            <w:tcW w:w="2993" w:type="dxa"/>
            <w:tcBorders>
              <w:top w:val="nil"/>
              <w:left w:val="nil"/>
              <w:bottom w:val="single" w:color="auto" w:sz="12" w:space="0"/>
              <w:right w:val="nil"/>
            </w:tcBorders>
            <w:vAlign w:val="center"/>
          </w:tcPr>
          <w:p w14:paraId="39009E35">
            <w:pPr>
              <w:keepNext w:val="0"/>
              <w:keepLines w:val="0"/>
              <w:widowControl/>
              <w:suppressLineNumbers w:val="0"/>
              <w:spacing w:before="0" w:beforeAutospacing="0" w:after="0" w:afterAutospacing="0" w:line="17" w:lineRule="atLeast"/>
              <w:ind w:left="0" w:right="0"/>
              <w:jc w:val="center"/>
              <w:textAlignment w:val="top"/>
              <w:rPr>
                <w:rFonts w:hint="default" w:ascii="Times New Roman" w:hAnsi="Times New Roman" w:eastAsia="宋体" w:cs="Times New Roman"/>
                <w:sz w:val="18"/>
                <w:szCs w:val="18"/>
                <w:vertAlign w:val="baseline"/>
                <w:lang w:eastAsia="zh-CN"/>
              </w:rPr>
            </w:pPr>
            <w:r>
              <w:rPr>
                <w:rFonts w:hint="default" w:ascii="Times New Roman" w:hAnsi="Times New Roman" w:eastAsia="Calibri" w:cs="Calibri"/>
                <w:i w:val="0"/>
                <w:iCs w:val="0"/>
                <w:caps w:val="0"/>
                <w:color w:val="333333"/>
                <w:spacing w:val="0"/>
                <w:kern w:val="0"/>
                <w:sz w:val="18"/>
                <w:szCs w:val="18"/>
                <w:lang w:val="en-US" w:eastAsia="zh-CN" w:bidi="ar"/>
              </w:rPr>
              <w:t xml:space="preserve">1.439 </w:t>
            </w:r>
            <w:r>
              <w:rPr>
                <w:rFonts w:hint="eastAsia" w:ascii="Times New Roman" w:hAnsi="Times New Roman" w:eastAsia="宋体" w:cs="Calibri"/>
                <w:i w:val="0"/>
                <w:iCs w:val="0"/>
                <w:caps w:val="0"/>
                <w:color w:val="333333"/>
                <w:spacing w:val="0"/>
                <w:kern w:val="0"/>
                <w:sz w:val="18"/>
                <w:szCs w:val="18"/>
                <w:lang w:val="en-US" w:eastAsia="zh-CN" w:bidi="ar"/>
              </w:rPr>
              <w:t>(</w:t>
            </w:r>
            <w:r>
              <w:rPr>
                <w:rFonts w:hint="default" w:ascii="Times New Roman" w:hAnsi="Times New Roman" w:eastAsia="Calibri" w:cs="Calibri"/>
                <w:i w:val="0"/>
                <w:iCs w:val="0"/>
                <w:caps w:val="0"/>
                <w:color w:val="333333"/>
                <w:spacing w:val="0"/>
                <w:kern w:val="0"/>
                <w:sz w:val="18"/>
                <w:szCs w:val="18"/>
                <w:lang w:val="en-US" w:eastAsia="zh-CN" w:bidi="ar"/>
              </w:rPr>
              <w:t>1.292-1.604</w:t>
            </w:r>
            <w:r>
              <w:rPr>
                <w:rFonts w:hint="eastAsia" w:ascii="Times New Roman" w:hAnsi="Times New Roman" w:eastAsia="宋体" w:cs="Calibri"/>
                <w:i w:val="0"/>
                <w:iCs w:val="0"/>
                <w:caps w:val="0"/>
                <w:color w:val="333333"/>
                <w:spacing w:val="0"/>
                <w:kern w:val="0"/>
                <w:sz w:val="18"/>
                <w:szCs w:val="18"/>
                <w:lang w:val="en-US" w:eastAsia="zh-CN" w:bidi="ar"/>
              </w:rPr>
              <w:t>)</w:t>
            </w:r>
          </w:p>
        </w:tc>
        <w:tc>
          <w:tcPr>
            <w:tcW w:w="2993" w:type="dxa"/>
            <w:tcBorders>
              <w:top w:val="nil"/>
              <w:left w:val="nil"/>
              <w:bottom w:val="single" w:color="auto" w:sz="12" w:space="0"/>
              <w:right w:val="nil"/>
            </w:tcBorders>
            <w:vAlign w:val="center"/>
          </w:tcPr>
          <w:p w14:paraId="4D96E721">
            <w:pPr>
              <w:keepNext w:val="0"/>
              <w:keepLines w:val="0"/>
              <w:widowControl/>
              <w:suppressLineNumbers w:val="0"/>
              <w:spacing w:before="0" w:beforeAutospacing="0" w:after="0" w:afterAutospacing="0" w:line="17" w:lineRule="atLeast"/>
              <w:ind w:left="0" w:right="0"/>
              <w:jc w:val="center"/>
              <w:textAlignment w:val="top"/>
              <w:rPr>
                <w:rFonts w:hint="default" w:ascii="Times New Roman" w:hAnsi="Times New Roman" w:eastAsia="宋体" w:cs="Times New Roman"/>
                <w:sz w:val="18"/>
                <w:szCs w:val="18"/>
                <w:vertAlign w:val="baseline"/>
                <w:lang w:eastAsia="zh-CN"/>
              </w:rPr>
            </w:pPr>
            <w:r>
              <w:rPr>
                <w:rFonts w:hint="eastAsia" w:ascii="Times New Roman" w:hAnsi="Times New Roman" w:eastAsia="Calibri" w:cs="Calibri"/>
                <w:i w:val="0"/>
                <w:iCs w:val="0"/>
                <w:caps w:val="0"/>
                <w:color w:val="333333"/>
                <w:spacing w:val="0"/>
                <w:kern w:val="0"/>
                <w:sz w:val="18"/>
                <w:szCs w:val="18"/>
                <w:lang w:val="en-US" w:eastAsia="zh-CN" w:bidi="ar"/>
              </w:rPr>
              <w:t>-.3.5</w:t>
            </w:r>
            <w:r>
              <w:rPr>
                <w:rFonts w:hint="default" w:ascii="Times New Roman" w:hAnsi="Times New Roman" w:eastAsia="Calibri" w:cs="Calibri"/>
                <w:i w:val="0"/>
                <w:iCs w:val="0"/>
                <w:caps w:val="0"/>
                <w:color w:val="333333"/>
                <w:spacing w:val="0"/>
                <w:kern w:val="0"/>
                <w:sz w:val="18"/>
                <w:szCs w:val="18"/>
                <w:lang w:val="en-US" w:eastAsia="zh-CN" w:bidi="ar"/>
              </w:rPr>
              <w:t>%</w:t>
            </w:r>
          </w:p>
        </w:tc>
      </w:tr>
    </w:tbl>
    <w:p w14:paraId="6F670BFA">
      <w:pPr>
        <w:rPr>
          <w:rFonts w:hint="default" w:ascii="Times New Roman" w:hAnsi="Times New Roman" w:cs="Times New Roman" w:eastAsiaTheme="minorEastAsia"/>
          <w:sz w:val="18"/>
          <w:szCs w:val="21"/>
          <w:lang w:eastAsia="zh-CN"/>
        </w:rPr>
      </w:pPr>
      <w:r>
        <w:rPr>
          <w:rFonts w:hint="default" w:ascii="Times New Roman" w:hAnsi="Times New Roman" w:cs="Times New Roman"/>
          <w:sz w:val="18"/>
          <w:szCs w:val="21"/>
          <w:lang w:eastAsia="zh-CN"/>
        </w:rPr>
        <w:t>（</w:t>
      </w:r>
      <w:r>
        <w:rPr>
          <w:rFonts w:hint="default" w:ascii="Times New Roman" w:hAnsi="Times New Roman" w:cs="Times New Roman"/>
          <w:sz w:val="18"/>
          <w:szCs w:val="21"/>
          <w:lang w:val="en-US" w:eastAsia="zh-CN"/>
        </w:rPr>
        <w:t>C</w:t>
      </w:r>
      <w:r>
        <w:rPr>
          <w:rFonts w:hint="eastAsia" w:ascii="Times New Roman" w:hAnsi="Times New Roman" w:eastAsia="宋体" w:cs="Times New Roman"/>
          <w:sz w:val="18"/>
          <w:szCs w:val="21"/>
          <w:lang w:eastAsia="zh-CN"/>
        </w:rPr>
        <w:t>）</w:t>
      </w:r>
    </w:p>
    <w:tbl>
      <w:tblPr>
        <w:tblStyle w:val="11"/>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13"/>
        <w:gridCol w:w="1771"/>
        <w:gridCol w:w="1771"/>
        <w:gridCol w:w="1005"/>
        <w:gridCol w:w="1005"/>
        <w:gridCol w:w="1006"/>
      </w:tblGrid>
      <w:tr w14:paraId="3504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362" w:type="dxa"/>
            <w:tcBorders>
              <w:top w:val="single" w:color="auto" w:sz="12" w:space="0"/>
              <w:left w:val="nil"/>
              <w:bottom w:val="single" w:color="auto" w:sz="8" w:space="0"/>
              <w:right w:val="nil"/>
            </w:tcBorders>
            <w:shd w:val="clear" w:color="auto" w:fill="auto"/>
            <w:noWrap/>
            <w:vAlign w:val="center"/>
          </w:tcPr>
          <w:p w14:paraId="08EB10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Comparison Groups</w:t>
            </w:r>
          </w:p>
        </w:tc>
        <w:tc>
          <w:tcPr>
            <w:tcW w:w="1665" w:type="dxa"/>
            <w:tcBorders>
              <w:top w:val="single" w:color="auto" w:sz="12" w:space="0"/>
              <w:left w:val="nil"/>
              <w:bottom w:val="single" w:color="auto" w:sz="8" w:space="0"/>
              <w:right w:val="nil"/>
            </w:tcBorders>
            <w:shd w:val="clear" w:color="auto" w:fill="auto"/>
            <w:noWrap/>
            <w:vAlign w:val="center"/>
          </w:tcPr>
          <w:p w14:paraId="6F080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 xml:space="preserve">AUC1 </w:t>
            </w:r>
            <w:r>
              <w:rPr>
                <w:rFonts w:hint="eastAsia" w:ascii="Times New Roman" w:hAnsi="Times New Roman" w:eastAsia="宋体" w:cs="Times New Roman"/>
                <w:b/>
                <w:bCs/>
                <w:i w:val="0"/>
                <w:iCs w:val="0"/>
                <w:color w:val="000000"/>
                <w:kern w:val="0"/>
                <w:sz w:val="18"/>
                <w:szCs w:val="18"/>
                <w:u w:val="none"/>
                <w:lang w:val="en-US" w:eastAsia="zh-CN" w:bidi="ar"/>
              </w:rPr>
              <w:t>(</w:t>
            </w:r>
            <w:r>
              <w:rPr>
                <w:rFonts w:hint="default" w:ascii="Times New Roman" w:hAnsi="Times New Roman" w:eastAsia="宋体" w:cs="Times New Roman"/>
                <w:b/>
                <w:bCs/>
                <w:i w:val="0"/>
                <w:iCs w:val="0"/>
                <w:color w:val="000000"/>
                <w:kern w:val="0"/>
                <w:sz w:val="18"/>
                <w:szCs w:val="18"/>
                <w:u w:val="none"/>
                <w:lang w:val="en-US" w:eastAsia="zh-CN" w:bidi="ar"/>
              </w:rPr>
              <w:t>95% CI</w:t>
            </w:r>
            <w:r>
              <w:rPr>
                <w:rFonts w:hint="eastAsia" w:ascii="Times New Roman" w:hAnsi="Times New Roman" w:eastAsia="宋体" w:cs="Times New Roman"/>
                <w:b/>
                <w:bCs/>
                <w:i w:val="0"/>
                <w:iCs w:val="0"/>
                <w:color w:val="000000"/>
                <w:kern w:val="0"/>
                <w:sz w:val="18"/>
                <w:szCs w:val="18"/>
                <w:u w:val="none"/>
                <w:lang w:val="en-US" w:eastAsia="zh-CN" w:bidi="ar"/>
              </w:rPr>
              <w:t>)</w:t>
            </w:r>
          </w:p>
        </w:tc>
        <w:tc>
          <w:tcPr>
            <w:tcW w:w="1665" w:type="dxa"/>
            <w:tcBorders>
              <w:top w:val="single" w:color="auto" w:sz="12" w:space="0"/>
              <w:left w:val="nil"/>
              <w:bottom w:val="single" w:color="auto" w:sz="8" w:space="0"/>
              <w:right w:val="nil"/>
            </w:tcBorders>
            <w:shd w:val="clear" w:color="auto" w:fill="auto"/>
            <w:noWrap/>
            <w:vAlign w:val="center"/>
          </w:tcPr>
          <w:p w14:paraId="14D131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 xml:space="preserve">AUC2 </w:t>
            </w:r>
            <w:r>
              <w:rPr>
                <w:rFonts w:hint="eastAsia" w:ascii="Times New Roman" w:hAnsi="Times New Roman" w:eastAsia="宋体" w:cs="Times New Roman"/>
                <w:b/>
                <w:bCs/>
                <w:i w:val="0"/>
                <w:iCs w:val="0"/>
                <w:color w:val="000000"/>
                <w:kern w:val="0"/>
                <w:sz w:val="18"/>
                <w:szCs w:val="18"/>
                <w:u w:val="none"/>
                <w:lang w:val="en-US" w:eastAsia="zh-CN" w:bidi="ar"/>
              </w:rPr>
              <w:t>(</w:t>
            </w:r>
            <w:r>
              <w:rPr>
                <w:rFonts w:hint="default" w:ascii="Times New Roman" w:hAnsi="Times New Roman" w:eastAsia="宋体" w:cs="Times New Roman"/>
                <w:b/>
                <w:bCs/>
                <w:i w:val="0"/>
                <w:iCs w:val="0"/>
                <w:color w:val="000000"/>
                <w:kern w:val="0"/>
                <w:sz w:val="18"/>
                <w:szCs w:val="18"/>
                <w:u w:val="none"/>
                <w:lang w:val="en-US" w:eastAsia="zh-CN" w:bidi="ar"/>
              </w:rPr>
              <w:t>95% CI</w:t>
            </w:r>
            <w:r>
              <w:rPr>
                <w:rFonts w:hint="eastAsia" w:ascii="Times New Roman" w:hAnsi="Times New Roman" w:eastAsia="宋体" w:cs="Times New Roman"/>
                <w:b/>
                <w:bCs/>
                <w:i w:val="0"/>
                <w:iCs w:val="0"/>
                <w:color w:val="000000"/>
                <w:kern w:val="0"/>
                <w:sz w:val="18"/>
                <w:szCs w:val="18"/>
                <w:u w:val="none"/>
                <w:lang w:val="en-US" w:eastAsia="zh-CN" w:bidi="ar"/>
              </w:rPr>
              <w:t>)</w:t>
            </w:r>
          </w:p>
        </w:tc>
        <w:tc>
          <w:tcPr>
            <w:tcW w:w="945" w:type="dxa"/>
            <w:tcBorders>
              <w:top w:val="single" w:color="auto" w:sz="12" w:space="0"/>
              <w:left w:val="nil"/>
              <w:bottom w:val="single" w:color="auto" w:sz="8" w:space="0"/>
              <w:right w:val="nil"/>
            </w:tcBorders>
            <w:shd w:val="clear" w:color="auto" w:fill="auto"/>
            <w:noWrap/>
            <w:vAlign w:val="center"/>
          </w:tcPr>
          <w:p w14:paraId="55C664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ΔAUC</w:t>
            </w:r>
          </w:p>
        </w:tc>
        <w:tc>
          <w:tcPr>
            <w:tcW w:w="945" w:type="dxa"/>
            <w:tcBorders>
              <w:top w:val="single" w:color="auto" w:sz="12" w:space="0"/>
              <w:left w:val="nil"/>
              <w:bottom w:val="single" w:color="auto" w:sz="8" w:space="0"/>
              <w:right w:val="nil"/>
            </w:tcBorders>
            <w:shd w:val="clear" w:color="auto" w:fill="auto"/>
            <w:noWrap/>
            <w:vAlign w:val="center"/>
          </w:tcPr>
          <w:p w14:paraId="4AAD7F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iCs/>
                <w:color w:val="000000"/>
                <w:kern w:val="0"/>
                <w:sz w:val="18"/>
                <w:szCs w:val="18"/>
                <w:u w:val="none"/>
                <w:lang w:val="en-US" w:eastAsia="zh-CN" w:bidi="ar"/>
              </w:rPr>
              <w:t>Z</w:t>
            </w:r>
            <w:r>
              <w:rPr>
                <w:rFonts w:hint="default" w:ascii="Times New Roman" w:hAnsi="Times New Roman" w:eastAsia="宋体" w:cs="Times New Roman"/>
                <w:b/>
                <w:bCs/>
                <w:i w:val="0"/>
                <w:iCs w:val="0"/>
                <w:color w:val="000000"/>
                <w:kern w:val="0"/>
                <w:sz w:val="18"/>
                <w:szCs w:val="18"/>
                <w:u w:val="none"/>
                <w:lang w:val="en-US" w:eastAsia="zh-CN" w:bidi="ar"/>
              </w:rPr>
              <w:t>.value</w:t>
            </w:r>
          </w:p>
        </w:tc>
        <w:tc>
          <w:tcPr>
            <w:tcW w:w="945" w:type="dxa"/>
            <w:tcBorders>
              <w:top w:val="single" w:color="auto" w:sz="12" w:space="0"/>
              <w:left w:val="nil"/>
              <w:bottom w:val="single" w:color="auto" w:sz="8" w:space="0"/>
              <w:right w:val="nil"/>
            </w:tcBorders>
            <w:shd w:val="clear" w:color="auto" w:fill="auto"/>
            <w:noWrap/>
            <w:vAlign w:val="center"/>
          </w:tcPr>
          <w:p w14:paraId="2E8CF5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iCs/>
                <w:color w:val="000000"/>
                <w:kern w:val="0"/>
                <w:sz w:val="18"/>
                <w:szCs w:val="18"/>
                <w:u w:val="none"/>
                <w:lang w:val="en-US" w:eastAsia="zh-CN" w:bidi="ar"/>
              </w:rPr>
              <w:t>P</w:t>
            </w:r>
            <w:r>
              <w:rPr>
                <w:rFonts w:hint="default" w:ascii="Times New Roman" w:hAnsi="Times New Roman" w:eastAsia="宋体" w:cs="Times New Roman"/>
                <w:b/>
                <w:bCs/>
                <w:i w:val="0"/>
                <w:iCs w:val="0"/>
                <w:color w:val="000000"/>
                <w:kern w:val="0"/>
                <w:sz w:val="18"/>
                <w:szCs w:val="18"/>
                <w:u w:val="none"/>
                <w:lang w:val="en-US" w:eastAsia="zh-CN" w:bidi="ar"/>
              </w:rPr>
              <w:t>.value</w:t>
            </w:r>
          </w:p>
        </w:tc>
      </w:tr>
      <w:tr w14:paraId="25B8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362" w:type="dxa"/>
            <w:tcBorders>
              <w:top w:val="single" w:color="auto" w:sz="8" w:space="0"/>
              <w:left w:val="nil"/>
              <w:bottom w:val="nil"/>
              <w:right w:val="nil"/>
            </w:tcBorders>
            <w:shd w:val="clear" w:color="auto" w:fill="auto"/>
            <w:noWrap/>
            <w:vAlign w:val="center"/>
          </w:tcPr>
          <w:p w14:paraId="53B27D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AWRI</w:t>
            </w:r>
            <w:r>
              <w:rPr>
                <w:rFonts w:hint="default" w:ascii="Times New Roman" w:hAnsi="Times New Roman" w:eastAsia="宋体" w:cs="Times New Roman"/>
                <w:i w:val="0"/>
                <w:iCs w:val="0"/>
                <w:color w:val="000000"/>
                <w:kern w:val="0"/>
                <w:sz w:val="18"/>
                <w:szCs w:val="18"/>
                <w:u w:val="none"/>
                <w:lang w:val="en-US" w:eastAsia="zh-CN" w:bidi="ar"/>
              </w:rPr>
              <w:t xml:space="preserve"> vs Hemoglobin</w:t>
            </w:r>
          </w:p>
        </w:tc>
        <w:tc>
          <w:tcPr>
            <w:tcW w:w="1665" w:type="dxa"/>
            <w:tcBorders>
              <w:top w:val="single" w:color="auto" w:sz="8" w:space="0"/>
              <w:left w:val="nil"/>
              <w:bottom w:val="nil"/>
              <w:right w:val="nil"/>
            </w:tcBorders>
            <w:shd w:val="clear" w:color="auto" w:fill="auto"/>
            <w:noWrap/>
            <w:vAlign w:val="center"/>
          </w:tcPr>
          <w:p w14:paraId="758110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cs="Times New Roman"/>
                <w:i w:val="0"/>
                <w:iCs w:val="0"/>
                <w:color w:val="000000"/>
                <w:kern w:val="0"/>
                <w:sz w:val="18"/>
                <w:szCs w:val="18"/>
                <w:u w:val="none"/>
                <w:lang w:val="en-US" w:eastAsia="zh-CN" w:bidi="ar"/>
              </w:rPr>
              <w:t>0.608</w:t>
            </w:r>
            <w:r>
              <w:rPr>
                <w:rFonts w:hint="default" w:ascii="Times New Roman" w:hAnsi="Times New Roman" w:eastAsia="宋体" w:cs="Times New Roman"/>
                <w:i w:val="0"/>
                <w:iCs w:val="0"/>
                <w:color w:val="000000"/>
                <w:kern w:val="0"/>
                <w:sz w:val="18"/>
                <w:szCs w:val="18"/>
                <w:u w:val="none"/>
                <w:lang w:val="en-US" w:eastAsia="zh-CN" w:bidi="ar"/>
              </w:rPr>
              <w:t xml:space="preserve">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0.594-0.612</w:t>
            </w:r>
            <w:r>
              <w:rPr>
                <w:rFonts w:hint="eastAsia" w:ascii="Times New Roman" w:hAnsi="Times New Roman" w:eastAsia="宋体" w:cs="Times New Roman"/>
                <w:i w:val="0"/>
                <w:iCs w:val="0"/>
                <w:color w:val="000000"/>
                <w:kern w:val="0"/>
                <w:sz w:val="18"/>
                <w:szCs w:val="18"/>
                <w:u w:val="none"/>
                <w:lang w:val="en-US" w:eastAsia="zh-CN" w:bidi="ar"/>
              </w:rPr>
              <w:t>)</w:t>
            </w:r>
          </w:p>
        </w:tc>
        <w:tc>
          <w:tcPr>
            <w:tcW w:w="1665" w:type="dxa"/>
            <w:tcBorders>
              <w:top w:val="single" w:color="auto" w:sz="8" w:space="0"/>
              <w:left w:val="nil"/>
              <w:bottom w:val="nil"/>
              <w:right w:val="nil"/>
            </w:tcBorders>
            <w:shd w:val="clear" w:color="auto" w:fill="auto"/>
            <w:noWrap/>
            <w:vAlign w:val="center"/>
          </w:tcPr>
          <w:p w14:paraId="34E0F6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0.522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0.512-0.531</w:t>
            </w:r>
            <w:r>
              <w:rPr>
                <w:rFonts w:hint="eastAsia" w:ascii="Times New Roman" w:hAnsi="Times New Roman" w:eastAsia="宋体" w:cs="Times New Roman"/>
                <w:i w:val="0"/>
                <w:iCs w:val="0"/>
                <w:color w:val="000000"/>
                <w:kern w:val="0"/>
                <w:sz w:val="18"/>
                <w:szCs w:val="18"/>
                <w:u w:val="none"/>
                <w:lang w:val="en-US" w:eastAsia="zh-CN" w:bidi="ar"/>
              </w:rPr>
              <w:t>)</w:t>
            </w:r>
          </w:p>
        </w:tc>
        <w:tc>
          <w:tcPr>
            <w:tcW w:w="945" w:type="dxa"/>
            <w:tcBorders>
              <w:top w:val="single" w:color="auto" w:sz="8" w:space="0"/>
              <w:left w:val="nil"/>
              <w:bottom w:val="nil"/>
              <w:right w:val="nil"/>
            </w:tcBorders>
            <w:shd w:val="clear" w:color="auto" w:fill="auto"/>
            <w:noWrap/>
            <w:vAlign w:val="center"/>
          </w:tcPr>
          <w:p w14:paraId="352713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0.081</w:t>
            </w:r>
          </w:p>
        </w:tc>
        <w:tc>
          <w:tcPr>
            <w:tcW w:w="945" w:type="dxa"/>
            <w:tcBorders>
              <w:top w:val="single" w:color="auto" w:sz="8" w:space="0"/>
              <w:left w:val="nil"/>
              <w:bottom w:val="nil"/>
              <w:right w:val="nil"/>
            </w:tcBorders>
            <w:shd w:val="clear" w:color="auto" w:fill="auto"/>
            <w:noWrap/>
            <w:vAlign w:val="center"/>
          </w:tcPr>
          <w:p w14:paraId="4EA4DC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15.6</w:t>
            </w:r>
          </w:p>
        </w:tc>
        <w:tc>
          <w:tcPr>
            <w:tcW w:w="945" w:type="dxa"/>
            <w:tcBorders>
              <w:top w:val="single" w:color="auto" w:sz="8" w:space="0"/>
              <w:left w:val="nil"/>
              <w:bottom w:val="nil"/>
              <w:right w:val="nil"/>
            </w:tcBorders>
            <w:shd w:val="clear" w:color="auto" w:fill="auto"/>
            <w:noWrap/>
            <w:vAlign w:val="center"/>
          </w:tcPr>
          <w:p w14:paraId="1E067F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＜0.001</w:t>
            </w:r>
          </w:p>
        </w:tc>
      </w:tr>
      <w:tr w14:paraId="6E7D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362" w:type="dxa"/>
            <w:tcBorders>
              <w:top w:val="nil"/>
              <w:left w:val="nil"/>
              <w:bottom w:val="nil"/>
              <w:right w:val="nil"/>
            </w:tcBorders>
            <w:shd w:val="clear" w:color="auto" w:fill="auto"/>
            <w:noWrap/>
            <w:vAlign w:val="center"/>
          </w:tcPr>
          <w:p w14:paraId="170578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AWRI</w:t>
            </w:r>
            <w:r>
              <w:rPr>
                <w:rFonts w:hint="default" w:ascii="Times New Roman" w:hAnsi="Times New Roman" w:eastAsia="宋体" w:cs="Times New Roman"/>
                <w:i w:val="0"/>
                <w:iCs w:val="0"/>
                <w:color w:val="000000"/>
                <w:kern w:val="0"/>
                <w:sz w:val="18"/>
                <w:szCs w:val="18"/>
                <w:u w:val="none"/>
                <w:lang w:val="en-US" w:eastAsia="zh-CN" w:bidi="ar"/>
              </w:rPr>
              <w:t xml:space="preserve"> vs Hematocrit</w:t>
            </w:r>
          </w:p>
        </w:tc>
        <w:tc>
          <w:tcPr>
            <w:tcW w:w="1665" w:type="dxa"/>
            <w:tcBorders>
              <w:top w:val="nil"/>
              <w:left w:val="nil"/>
              <w:bottom w:val="nil"/>
              <w:right w:val="nil"/>
            </w:tcBorders>
            <w:shd w:val="clear" w:color="auto" w:fill="auto"/>
            <w:noWrap/>
            <w:vAlign w:val="center"/>
          </w:tcPr>
          <w:p w14:paraId="585EC4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cs="Times New Roman"/>
                <w:i w:val="0"/>
                <w:iCs w:val="0"/>
                <w:color w:val="000000"/>
                <w:kern w:val="0"/>
                <w:sz w:val="18"/>
                <w:szCs w:val="18"/>
                <w:u w:val="none"/>
                <w:lang w:val="en-US" w:eastAsia="zh-CN" w:bidi="ar"/>
              </w:rPr>
              <w:t>0.608</w:t>
            </w:r>
            <w:r>
              <w:rPr>
                <w:rFonts w:hint="default" w:ascii="Times New Roman" w:hAnsi="Times New Roman" w:eastAsia="宋体" w:cs="Times New Roman"/>
                <w:i w:val="0"/>
                <w:iCs w:val="0"/>
                <w:color w:val="000000"/>
                <w:kern w:val="0"/>
                <w:sz w:val="18"/>
                <w:szCs w:val="18"/>
                <w:u w:val="none"/>
                <w:lang w:val="en-US" w:eastAsia="zh-CN" w:bidi="ar"/>
              </w:rPr>
              <w:t xml:space="preserve">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0.594-0.612</w:t>
            </w:r>
            <w:r>
              <w:rPr>
                <w:rFonts w:hint="eastAsia" w:ascii="Times New Roman" w:hAnsi="Times New Roman" w:eastAsia="宋体" w:cs="Times New Roman"/>
                <w:i w:val="0"/>
                <w:iCs w:val="0"/>
                <w:color w:val="000000"/>
                <w:kern w:val="0"/>
                <w:sz w:val="18"/>
                <w:szCs w:val="18"/>
                <w:u w:val="none"/>
                <w:lang w:val="en-US" w:eastAsia="zh-CN" w:bidi="ar"/>
              </w:rPr>
              <w:t>)</w:t>
            </w:r>
          </w:p>
        </w:tc>
        <w:tc>
          <w:tcPr>
            <w:tcW w:w="1665" w:type="dxa"/>
            <w:tcBorders>
              <w:top w:val="nil"/>
              <w:left w:val="nil"/>
              <w:bottom w:val="nil"/>
              <w:right w:val="nil"/>
            </w:tcBorders>
            <w:shd w:val="clear" w:color="auto" w:fill="auto"/>
            <w:noWrap/>
            <w:vAlign w:val="center"/>
          </w:tcPr>
          <w:p w14:paraId="63C329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0.523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0.513-0.532</w:t>
            </w:r>
            <w:r>
              <w:rPr>
                <w:rFonts w:hint="eastAsia" w:ascii="Times New Roman" w:hAnsi="Times New Roman" w:eastAsia="宋体" w:cs="Times New Roman"/>
                <w:i w:val="0"/>
                <w:iCs w:val="0"/>
                <w:color w:val="000000"/>
                <w:kern w:val="0"/>
                <w:sz w:val="18"/>
                <w:szCs w:val="18"/>
                <w:u w:val="none"/>
                <w:lang w:val="en-US" w:eastAsia="zh-CN" w:bidi="ar"/>
              </w:rPr>
              <w:t>)</w:t>
            </w:r>
          </w:p>
        </w:tc>
        <w:tc>
          <w:tcPr>
            <w:tcW w:w="945" w:type="dxa"/>
            <w:tcBorders>
              <w:top w:val="nil"/>
              <w:left w:val="nil"/>
              <w:bottom w:val="nil"/>
              <w:right w:val="nil"/>
            </w:tcBorders>
            <w:shd w:val="clear" w:color="auto" w:fill="auto"/>
            <w:noWrap/>
            <w:vAlign w:val="center"/>
          </w:tcPr>
          <w:p w14:paraId="1724CF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0.080</w:t>
            </w:r>
          </w:p>
        </w:tc>
        <w:tc>
          <w:tcPr>
            <w:tcW w:w="945" w:type="dxa"/>
            <w:tcBorders>
              <w:top w:val="nil"/>
              <w:left w:val="nil"/>
              <w:bottom w:val="nil"/>
              <w:right w:val="nil"/>
            </w:tcBorders>
            <w:shd w:val="clear" w:color="auto" w:fill="auto"/>
            <w:noWrap/>
            <w:vAlign w:val="center"/>
          </w:tcPr>
          <w:p w14:paraId="531FFB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14.8</w:t>
            </w:r>
          </w:p>
        </w:tc>
        <w:tc>
          <w:tcPr>
            <w:tcW w:w="945" w:type="dxa"/>
            <w:tcBorders>
              <w:top w:val="nil"/>
              <w:left w:val="nil"/>
              <w:bottom w:val="nil"/>
              <w:right w:val="nil"/>
            </w:tcBorders>
            <w:shd w:val="clear" w:color="auto" w:fill="auto"/>
            <w:noWrap/>
            <w:vAlign w:val="center"/>
          </w:tcPr>
          <w:p w14:paraId="1D8019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＜0.001</w:t>
            </w:r>
          </w:p>
        </w:tc>
      </w:tr>
      <w:tr w14:paraId="4ED53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2362" w:type="dxa"/>
            <w:tcBorders>
              <w:top w:val="nil"/>
              <w:left w:val="nil"/>
              <w:bottom w:val="nil"/>
              <w:right w:val="nil"/>
            </w:tcBorders>
            <w:shd w:val="clear" w:color="auto" w:fill="auto"/>
            <w:noWrap/>
            <w:vAlign w:val="center"/>
          </w:tcPr>
          <w:p w14:paraId="0762B5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AWRI</w:t>
            </w:r>
            <w:r>
              <w:rPr>
                <w:rFonts w:hint="default" w:ascii="Times New Roman" w:hAnsi="Times New Roman" w:eastAsia="宋体" w:cs="Times New Roman"/>
                <w:i w:val="0"/>
                <w:iCs w:val="0"/>
                <w:color w:val="000000"/>
                <w:kern w:val="0"/>
                <w:sz w:val="18"/>
                <w:szCs w:val="18"/>
                <w:u w:val="none"/>
                <w:lang w:val="en-US" w:eastAsia="zh-CN" w:bidi="ar"/>
              </w:rPr>
              <w:t xml:space="preserve"> vs MCV</w:t>
            </w:r>
          </w:p>
        </w:tc>
        <w:tc>
          <w:tcPr>
            <w:tcW w:w="1665" w:type="dxa"/>
            <w:tcBorders>
              <w:top w:val="nil"/>
              <w:left w:val="nil"/>
              <w:bottom w:val="nil"/>
              <w:right w:val="nil"/>
            </w:tcBorders>
            <w:shd w:val="clear" w:color="auto" w:fill="auto"/>
            <w:noWrap/>
            <w:vAlign w:val="center"/>
          </w:tcPr>
          <w:p w14:paraId="371F66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cs="Times New Roman"/>
                <w:i w:val="0"/>
                <w:iCs w:val="0"/>
                <w:color w:val="000000"/>
                <w:kern w:val="0"/>
                <w:sz w:val="18"/>
                <w:szCs w:val="18"/>
                <w:u w:val="none"/>
                <w:lang w:val="en-US" w:eastAsia="zh-CN" w:bidi="ar"/>
              </w:rPr>
              <w:t>0.608</w:t>
            </w:r>
            <w:r>
              <w:rPr>
                <w:rFonts w:hint="default" w:ascii="Times New Roman" w:hAnsi="Times New Roman" w:eastAsia="宋体" w:cs="Times New Roman"/>
                <w:i w:val="0"/>
                <w:iCs w:val="0"/>
                <w:color w:val="000000"/>
                <w:kern w:val="0"/>
                <w:sz w:val="18"/>
                <w:szCs w:val="18"/>
                <w:u w:val="none"/>
                <w:lang w:val="en-US" w:eastAsia="zh-CN" w:bidi="ar"/>
              </w:rPr>
              <w:t xml:space="preserve">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0.594-0.612</w:t>
            </w:r>
            <w:r>
              <w:rPr>
                <w:rFonts w:hint="eastAsia" w:ascii="Times New Roman" w:hAnsi="Times New Roman" w:eastAsia="宋体" w:cs="Times New Roman"/>
                <w:i w:val="0"/>
                <w:iCs w:val="0"/>
                <w:color w:val="000000"/>
                <w:kern w:val="0"/>
                <w:sz w:val="18"/>
                <w:szCs w:val="18"/>
                <w:u w:val="none"/>
                <w:lang w:val="en-US" w:eastAsia="zh-CN" w:bidi="ar"/>
              </w:rPr>
              <w:t>)</w:t>
            </w:r>
          </w:p>
        </w:tc>
        <w:tc>
          <w:tcPr>
            <w:tcW w:w="1665" w:type="dxa"/>
            <w:tcBorders>
              <w:top w:val="nil"/>
              <w:left w:val="nil"/>
              <w:bottom w:val="nil"/>
              <w:right w:val="nil"/>
            </w:tcBorders>
            <w:shd w:val="clear" w:color="auto" w:fill="auto"/>
            <w:noWrap/>
            <w:vAlign w:val="center"/>
          </w:tcPr>
          <w:p w14:paraId="3D0DC4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0.514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0.505-0.524</w:t>
            </w:r>
            <w:r>
              <w:rPr>
                <w:rFonts w:hint="eastAsia" w:ascii="Times New Roman" w:hAnsi="Times New Roman" w:eastAsia="宋体" w:cs="Times New Roman"/>
                <w:i w:val="0"/>
                <w:iCs w:val="0"/>
                <w:color w:val="000000"/>
                <w:kern w:val="0"/>
                <w:sz w:val="18"/>
                <w:szCs w:val="18"/>
                <w:u w:val="none"/>
                <w:lang w:val="en-US" w:eastAsia="zh-CN" w:bidi="ar"/>
              </w:rPr>
              <w:t>)</w:t>
            </w:r>
          </w:p>
        </w:tc>
        <w:tc>
          <w:tcPr>
            <w:tcW w:w="945" w:type="dxa"/>
            <w:tcBorders>
              <w:top w:val="nil"/>
              <w:left w:val="nil"/>
              <w:bottom w:val="nil"/>
              <w:right w:val="nil"/>
            </w:tcBorders>
            <w:shd w:val="clear" w:color="auto" w:fill="auto"/>
            <w:noWrap/>
            <w:vAlign w:val="center"/>
          </w:tcPr>
          <w:p w14:paraId="31D035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0.089</w:t>
            </w:r>
          </w:p>
        </w:tc>
        <w:tc>
          <w:tcPr>
            <w:tcW w:w="945" w:type="dxa"/>
            <w:tcBorders>
              <w:top w:val="nil"/>
              <w:left w:val="nil"/>
              <w:bottom w:val="nil"/>
              <w:right w:val="nil"/>
            </w:tcBorders>
            <w:shd w:val="clear" w:color="auto" w:fill="auto"/>
            <w:noWrap/>
            <w:vAlign w:val="center"/>
          </w:tcPr>
          <w:p w14:paraId="0403F5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945" w:type="dxa"/>
            <w:tcBorders>
              <w:top w:val="nil"/>
              <w:left w:val="nil"/>
              <w:bottom w:val="nil"/>
              <w:right w:val="nil"/>
            </w:tcBorders>
            <w:shd w:val="clear" w:color="auto" w:fill="auto"/>
            <w:noWrap/>
            <w:vAlign w:val="center"/>
          </w:tcPr>
          <w:p w14:paraId="360DA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＜0.001</w:t>
            </w:r>
          </w:p>
        </w:tc>
      </w:tr>
      <w:tr w14:paraId="11D6E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2362" w:type="dxa"/>
            <w:tcBorders>
              <w:top w:val="nil"/>
              <w:left w:val="nil"/>
              <w:bottom w:val="single" w:color="auto" w:sz="12" w:space="0"/>
              <w:right w:val="nil"/>
            </w:tcBorders>
            <w:shd w:val="clear" w:color="auto" w:fill="auto"/>
            <w:noWrap/>
            <w:vAlign w:val="center"/>
          </w:tcPr>
          <w:p w14:paraId="19EA6B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AWRI</w:t>
            </w:r>
            <w:r>
              <w:rPr>
                <w:rFonts w:hint="default" w:ascii="Times New Roman" w:hAnsi="Times New Roman" w:eastAsia="宋体" w:cs="Times New Roman"/>
                <w:i w:val="0"/>
                <w:iCs w:val="0"/>
                <w:color w:val="000000"/>
                <w:kern w:val="0"/>
                <w:sz w:val="18"/>
                <w:szCs w:val="18"/>
                <w:u w:val="none"/>
                <w:lang w:val="en-US" w:eastAsia="zh-CN" w:bidi="ar"/>
              </w:rPr>
              <w:t xml:space="preserve"> vs Baseline RDW</w:t>
            </w:r>
          </w:p>
        </w:tc>
        <w:tc>
          <w:tcPr>
            <w:tcW w:w="1665" w:type="dxa"/>
            <w:tcBorders>
              <w:top w:val="nil"/>
              <w:left w:val="nil"/>
              <w:bottom w:val="single" w:color="auto" w:sz="12" w:space="0"/>
              <w:right w:val="nil"/>
            </w:tcBorders>
            <w:shd w:val="clear" w:color="auto" w:fill="auto"/>
            <w:noWrap/>
            <w:vAlign w:val="center"/>
          </w:tcPr>
          <w:p w14:paraId="41E304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cs="Times New Roman"/>
                <w:i w:val="0"/>
                <w:iCs w:val="0"/>
                <w:color w:val="000000"/>
                <w:kern w:val="0"/>
                <w:sz w:val="18"/>
                <w:szCs w:val="18"/>
                <w:u w:val="none"/>
                <w:lang w:val="en-US" w:eastAsia="zh-CN" w:bidi="ar"/>
              </w:rPr>
              <w:t>0.608</w:t>
            </w:r>
            <w:r>
              <w:rPr>
                <w:rFonts w:hint="default" w:ascii="Times New Roman" w:hAnsi="Times New Roman" w:eastAsia="宋体" w:cs="Times New Roman"/>
                <w:i w:val="0"/>
                <w:iCs w:val="0"/>
                <w:color w:val="000000"/>
                <w:kern w:val="0"/>
                <w:sz w:val="18"/>
                <w:szCs w:val="18"/>
                <w:u w:val="none"/>
                <w:lang w:val="en-US" w:eastAsia="zh-CN" w:bidi="ar"/>
              </w:rPr>
              <w:t xml:space="preserve">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0.594-0.612</w:t>
            </w:r>
            <w:r>
              <w:rPr>
                <w:rFonts w:hint="eastAsia" w:ascii="Times New Roman" w:hAnsi="Times New Roman" w:eastAsia="宋体" w:cs="Times New Roman"/>
                <w:i w:val="0"/>
                <w:iCs w:val="0"/>
                <w:color w:val="000000"/>
                <w:kern w:val="0"/>
                <w:sz w:val="18"/>
                <w:szCs w:val="18"/>
                <w:u w:val="none"/>
                <w:lang w:val="en-US" w:eastAsia="zh-CN" w:bidi="ar"/>
              </w:rPr>
              <w:t>)</w:t>
            </w:r>
          </w:p>
        </w:tc>
        <w:tc>
          <w:tcPr>
            <w:tcW w:w="1665" w:type="dxa"/>
            <w:tcBorders>
              <w:top w:val="nil"/>
              <w:left w:val="nil"/>
              <w:bottom w:val="single" w:color="auto" w:sz="12" w:space="0"/>
              <w:right w:val="nil"/>
            </w:tcBorders>
            <w:shd w:val="clear" w:color="auto" w:fill="auto"/>
            <w:noWrap/>
            <w:vAlign w:val="center"/>
          </w:tcPr>
          <w:p w14:paraId="3ECB5B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0.572 </w:t>
            </w:r>
            <w:r>
              <w:rPr>
                <w:rFonts w:hint="eastAsia"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0.563-0.581</w:t>
            </w:r>
            <w:r>
              <w:rPr>
                <w:rFonts w:hint="eastAsia" w:ascii="Times New Roman" w:hAnsi="Times New Roman" w:eastAsia="宋体" w:cs="Times New Roman"/>
                <w:i w:val="0"/>
                <w:iCs w:val="0"/>
                <w:color w:val="000000"/>
                <w:kern w:val="0"/>
                <w:sz w:val="18"/>
                <w:szCs w:val="18"/>
                <w:u w:val="none"/>
                <w:lang w:val="en-US" w:eastAsia="zh-CN" w:bidi="ar"/>
              </w:rPr>
              <w:t>)</w:t>
            </w:r>
          </w:p>
        </w:tc>
        <w:tc>
          <w:tcPr>
            <w:tcW w:w="945" w:type="dxa"/>
            <w:tcBorders>
              <w:top w:val="nil"/>
              <w:left w:val="nil"/>
              <w:bottom w:val="single" w:color="auto" w:sz="12" w:space="0"/>
              <w:right w:val="nil"/>
            </w:tcBorders>
            <w:shd w:val="clear" w:color="auto" w:fill="auto"/>
            <w:noWrap/>
            <w:vAlign w:val="center"/>
          </w:tcPr>
          <w:p w14:paraId="3A238E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0.031</w:t>
            </w:r>
          </w:p>
        </w:tc>
        <w:tc>
          <w:tcPr>
            <w:tcW w:w="945" w:type="dxa"/>
            <w:tcBorders>
              <w:top w:val="nil"/>
              <w:left w:val="nil"/>
              <w:bottom w:val="single" w:color="auto" w:sz="12" w:space="0"/>
              <w:right w:val="nil"/>
            </w:tcBorders>
            <w:shd w:val="clear" w:color="auto" w:fill="auto"/>
            <w:noWrap/>
            <w:vAlign w:val="center"/>
          </w:tcPr>
          <w:p w14:paraId="219403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11.6</w:t>
            </w:r>
          </w:p>
        </w:tc>
        <w:tc>
          <w:tcPr>
            <w:tcW w:w="945" w:type="dxa"/>
            <w:tcBorders>
              <w:top w:val="nil"/>
              <w:left w:val="nil"/>
              <w:bottom w:val="single" w:color="auto" w:sz="12" w:space="0"/>
              <w:right w:val="nil"/>
            </w:tcBorders>
            <w:shd w:val="clear" w:color="auto" w:fill="auto"/>
            <w:noWrap/>
            <w:vAlign w:val="center"/>
          </w:tcPr>
          <w:p w14:paraId="6DE05F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＜0.001</w:t>
            </w:r>
          </w:p>
        </w:tc>
      </w:tr>
    </w:tbl>
    <w:p w14:paraId="645A87A9">
      <w:pPr>
        <w:rPr>
          <w:rFonts w:hint="default" w:ascii="Times New Roman" w:hAnsi="Times New Roman" w:cs="Times New Roman"/>
          <w:lang w:val="en-US" w:eastAsia="zh-CN"/>
        </w:rPr>
      </w:pPr>
    </w:p>
    <w:p w14:paraId="017D9F76">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Supplementary Table S</w:t>
      </w:r>
      <w:r>
        <w:rPr>
          <w:rFonts w:hint="eastAsia" w:ascii="Times New Roman" w:hAnsi="Times New Roman" w:cs="Times New Roman"/>
          <w:lang w:val="en-US" w:eastAsia="zh-CN"/>
        </w:rPr>
        <w:t xml:space="preserve">4. </w:t>
      </w:r>
      <w:r>
        <w:rPr>
          <w:rFonts w:hint="default" w:ascii="Times New Roman" w:hAnsi="Times New Roman" w:cs="Times New Roman"/>
          <w:lang w:val="en-US" w:eastAsia="zh-CN"/>
        </w:rPr>
        <w:t xml:space="preserve">Sensitivity Analysis of the Association Between </w:t>
      </w:r>
      <w:r>
        <w:rPr>
          <w:rFonts w:hint="eastAsia" w:ascii="Times New Roman" w:hAnsi="Times New Roman" w:cs="Times New Roman"/>
          <w:lang w:val="en-US" w:eastAsia="zh-CN"/>
        </w:rPr>
        <w:t>Age-Weighted RDW Index</w:t>
      </w:r>
      <w:r>
        <w:rPr>
          <w:rFonts w:hint="default" w:ascii="Times New Roman" w:hAnsi="Times New Roman" w:cs="Times New Roman"/>
          <w:lang w:val="en-US" w:eastAsia="zh-CN"/>
        </w:rPr>
        <w:t xml:space="preserve"> and In-Hospital Mortality in ICU Patients with Acute Respiratory Failure.</w:t>
      </w:r>
    </w:p>
    <w:p w14:paraId="0FA9778C">
      <w:pPr>
        <w:spacing w:line="360" w:lineRule="auto"/>
        <w:rPr>
          <w:rFonts w:hint="default" w:ascii="Times New Roman" w:hAnsi="Times New Roman" w:cs="Times New Roman"/>
          <w:sz w:val="21"/>
          <w:szCs w:val="21"/>
          <w:lang w:val="en-US" w:eastAsia="zh-CN"/>
        </w:rPr>
      </w:pPr>
      <w:r>
        <w:rPr>
          <w:rStyle w:val="14"/>
          <w:rFonts w:hint="default" w:ascii="Times New Roman" w:hAnsi="Times New Roman" w:eastAsia="宋体" w:cs="Times New Roman"/>
          <w:b w:val="0"/>
          <w:bCs/>
          <w:sz w:val="21"/>
          <w:szCs w:val="21"/>
        </w:rPr>
        <w:t>Abbreviations:</w:t>
      </w:r>
      <w:r>
        <w:rPr>
          <w:rFonts w:hint="default" w:ascii="Times New Roman" w:hAnsi="Times New Roman" w:eastAsia="宋体" w:cs="Times New Roman"/>
          <w:sz w:val="21"/>
          <w:szCs w:val="21"/>
        </w:rPr>
        <w:t xml:space="preserve"> </w:t>
      </w:r>
      <w:r>
        <w:rPr>
          <w:rFonts w:hint="eastAsia" w:ascii="Times New Roman" w:hAnsi="Times New Roman" w:eastAsia="宋体" w:cs="Times New Roman"/>
          <w:sz w:val="21"/>
          <w:szCs w:val="21"/>
          <w:lang w:eastAsia="zh-CN"/>
        </w:rPr>
        <w:t>AWRI</w:t>
      </w:r>
      <w:r>
        <w:rPr>
          <w:rFonts w:hint="default" w:ascii="Times New Roman" w:hAnsi="Times New Roman" w:eastAsia="宋体" w:cs="Times New Roman"/>
          <w:sz w:val="21"/>
          <w:szCs w:val="21"/>
        </w:rPr>
        <w:t xml:space="preserve"> (</w:t>
      </w:r>
      <w:r>
        <w:rPr>
          <w:rFonts w:hint="eastAsia" w:ascii="Times New Roman" w:hAnsi="Times New Roman" w:eastAsia="宋体" w:cs="Times New Roman"/>
          <w:sz w:val="21"/>
          <w:szCs w:val="21"/>
          <w:lang w:eastAsia="zh-CN"/>
        </w:rPr>
        <w:t>Age-Weighted RDW Index</w:t>
      </w:r>
      <w:r>
        <w:rPr>
          <w:rFonts w:hint="default" w:ascii="Times New Roman" w:hAnsi="Times New Roman" w:eastAsia="宋体" w:cs="Times New Roman"/>
          <w:sz w:val="21"/>
          <w:szCs w:val="21"/>
        </w:rPr>
        <w:t xml:space="preserve">); HR (Hazard Ratio); CI (Confidence Interval); AUC (Area Under the Curve); RDW (Red Cell Distribution Width); MCV (Mean Corpuscular Volume); Q1-Q4 represent quartiles of </w:t>
      </w:r>
      <w:r>
        <w:rPr>
          <w:rFonts w:hint="eastAsia" w:ascii="Times New Roman" w:hAnsi="Times New Roman" w:eastAsia="宋体" w:cs="Times New Roman"/>
          <w:sz w:val="21"/>
          <w:szCs w:val="21"/>
          <w:lang w:eastAsia="zh-CN"/>
        </w:rPr>
        <w:t>AWRI</w:t>
      </w:r>
      <w:r>
        <w:rPr>
          <w:rFonts w:hint="default" w:ascii="Times New Roman" w:hAnsi="Times New Roman" w:eastAsia="宋体" w:cs="Times New Roman"/>
          <w:sz w:val="21"/>
          <w:szCs w:val="21"/>
        </w:rPr>
        <w:t xml:space="preserve"> values.</w:t>
      </w:r>
    </w:p>
    <w:p w14:paraId="59D0B10E">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 xml:space="preserve">(A) Early Death Exclusion Analysis: Sensitivity analysis excluding patients who died within the first 3 days of ICU admission to address potential reverse causation bias. </w:t>
      </w:r>
      <w:r>
        <w:rPr>
          <w:rFonts w:hint="eastAsia" w:ascii="Times New Roman" w:hAnsi="Times New Roman" w:cs="Times New Roman"/>
          <w:lang w:val="en-US" w:eastAsia="zh-CN"/>
        </w:rPr>
        <w:t>AWRI</w:t>
      </w:r>
      <w:r>
        <w:rPr>
          <w:rFonts w:hint="default" w:ascii="Times New Roman" w:hAnsi="Times New Roman" w:cs="Times New Roman"/>
          <w:lang w:val="en-US" w:eastAsia="zh-CN"/>
        </w:rPr>
        <w:t xml:space="preserve"> quartile cutoffs were recalculated after exclusion. Hazard ratios were calculated using the fully adjusted Cox proportional hazards model (Model 3) with Q1 as the reference group.</w:t>
      </w:r>
    </w:p>
    <w:p w14:paraId="719930F2">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(B) Hematological Measurement Adjustment Analysis: Additional sensitivity analysis adjusting for potential measurement bias by including RDW measurement frequency (total number of RDW measurements during ICU stay) and average sampling interval between RDW measurements. The base model represents the fully adjusted model (Model 3) without these additional adjustments. Attenuation rate calculated as: [(Base HR - Adjusted HR) / (Base HR - 1)] × 100%.</w:t>
      </w:r>
    </w:p>
    <w:p w14:paraId="4FFD03DF">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 xml:space="preserve">(C) Comparative Predictive Performance Analysis: Receiver operating characteristic (ROC) curve analysis comparing the discriminative ability of </w:t>
      </w:r>
      <w:r>
        <w:rPr>
          <w:rFonts w:hint="eastAsia" w:ascii="Times New Roman" w:hAnsi="Times New Roman" w:cs="Times New Roman"/>
          <w:lang w:val="en-US" w:eastAsia="zh-CN"/>
        </w:rPr>
        <w:t>AWRI</w:t>
      </w:r>
      <w:r>
        <w:rPr>
          <w:rFonts w:hint="default" w:ascii="Times New Roman" w:hAnsi="Times New Roman" w:cs="Times New Roman"/>
          <w:lang w:val="en-US" w:eastAsia="zh-CN"/>
        </w:rPr>
        <w:t xml:space="preserve"> versus other hematological parameters for predicting in-hospital mortality. AUC1 represents </w:t>
      </w:r>
      <w:r>
        <w:rPr>
          <w:rFonts w:hint="eastAsia" w:ascii="Times New Roman" w:hAnsi="Times New Roman" w:cs="Times New Roman"/>
          <w:lang w:val="en-US" w:eastAsia="zh-CN"/>
        </w:rPr>
        <w:t>AWRI</w:t>
      </w:r>
      <w:r>
        <w:rPr>
          <w:rFonts w:hint="default" w:ascii="Times New Roman" w:hAnsi="Times New Roman" w:cs="Times New Roman"/>
          <w:lang w:val="en-US" w:eastAsia="zh-CN"/>
        </w:rPr>
        <w:t xml:space="preserve"> performance, AUC2 represents the comparator variable performance. ΔAUC represents the difference in AUC values. P-values were calculated using DeLong's test for comparing correlated ROC curves. All models were adjusted for the same covariates as the fully adjusted model (Model 3)</w:t>
      </w:r>
    </w:p>
    <w:p w14:paraId="125ED5F7">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default" w:ascii="Times New Roman" w:hAnsi="Times New Roman" w:cs="Times New Roman"/>
          <w:vertAlign w:val="baseline"/>
          <w:lang w:val="en-US" w:eastAsia="zh-CN"/>
        </w:rPr>
        <w:t>A</w:t>
      </w:r>
      <w:r>
        <w:rPr>
          <w:rFonts w:hint="eastAsia" w:ascii="Times New Roman" w:hAnsi="Times New Roman" w:eastAsia="宋体" w:cs="Times New Roman"/>
          <w:vertAlign w:val="baseline"/>
          <w:lang w:eastAsia="zh-CN"/>
        </w:rPr>
        <w:t>）</w:t>
      </w:r>
    </w:p>
    <w:p w14:paraId="4C8F8AB7">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drawing>
          <wp:inline distT="0" distB="0" distL="114300" distR="114300">
            <wp:extent cx="5754370" cy="4603750"/>
            <wp:effectExtent l="0" t="0" r="6350" b="13970"/>
            <wp:docPr id="1" name="图片 1" descr="AWRI_vs_SOFA2_B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WRI_vs_SOFA2_Brier"/>
                    <pic:cNvPicPr>
                      <a:picLocks noChangeAspect="1"/>
                    </pic:cNvPicPr>
                  </pic:nvPicPr>
                  <pic:blipFill>
                    <a:blip r:embed="rId33"/>
                    <a:stretch>
                      <a:fillRect/>
                    </a:stretch>
                  </pic:blipFill>
                  <pic:spPr>
                    <a:xfrm>
                      <a:off x="0" y="0"/>
                      <a:ext cx="5754370" cy="4603750"/>
                    </a:xfrm>
                    <a:prstGeom prst="rect">
                      <a:avLst/>
                    </a:prstGeom>
                  </pic:spPr>
                </pic:pic>
              </a:graphicData>
            </a:graphic>
          </wp:inline>
        </w:drawing>
      </w:r>
    </w:p>
    <w:p w14:paraId="275CA6B3">
      <w:pPr>
        <w:keepNext w:val="0"/>
        <w:keepLines w:val="0"/>
        <w:suppressLineNumbers w:val="0"/>
        <w:spacing w:before="0" w:beforeAutospacing="0" w:after="0" w:afterAutospacing="0"/>
        <w:ind w:left="0" w:right="0"/>
        <w:rPr>
          <w:rFonts w:hint="eastAsia" w:ascii="Times New Roman" w:hAnsi="Times New Roman" w:cs="Times New Roman"/>
          <w:lang w:val="en-US" w:eastAsia="zh-CN"/>
        </w:rPr>
      </w:pPr>
      <w:r>
        <w:rPr>
          <w:rFonts w:hint="default" w:ascii="Times New Roman" w:hAnsi="Times New Roman" w:cs="Times New Roman"/>
          <w:vertAlign w:val="baseline"/>
          <w:lang w:eastAsia="zh-CN"/>
        </w:rPr>
        <w:t>（</w:t>
      </w:r>
      <w:r>
        <w:rPr>
          <w:rFonts w:hint="eastAsia" w:ascii="Times New Roman" w:hAnsi="Times New Roman" w:cs="Times New Roman"/>
          <w:vertAlign w:val="baseline"/>
          <w:lang w:val="en-US" w:eastAsia="zh-CN"/>
        </w:rPr>
        <w:t>B</w:t>
      </w:r>
      <w:r>
        <w:rPr>
          <w:rFonts w:hint="eastAsia" w:ascii="Times New Roman" w:hAnsi="Times New Roman" w:eastAsia="宋体" w:cs="Times New Roman"/>
          <w:vertAlign w:val="baseline"/>
          <w:lang w:eastAsia="zh-CN"/>
        </w:rPr>
        <w:t>）</w:t>
      </w:r>
    </w:p>
    <w:tbl>
      <w:tblPr>
        <w:tblStyle w:val="12"/>
        <w:tblW w:w="49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325"/>
        <w:gridCol w:w="1301"/>
        <w:gridCol w:w="1477"/>
        <w:gridCol w:w="1453"/>
        <w:gridCol w:w="1220"/>
        <w:gridCol w:w="949"/>
      </w:tblGrid>
      <w:tr w14:paraId="1E53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70" w:type="dxa"/>
            <w:tcBorders>
              <w:top w:val="single" w:color="auto" w:sz="12" w:space="0"/>
              <w:left w:val="nil"/>
              <w:bottom w:val="single" w:color="auto" w:sz="8" w:space="0"/>
              <w:right w:val="nil"/>
            </w:tcBorders>
            <w:vAlign w:val="center"/>
          </w:tcPr>
          <w:p w14:paraId="2C5207F7">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Time_point</w:t>
            </w:r>
          </w:p>
        </w:tc>
        <w:tc>
          <w:tcPr>
            <w:tcW w:w="1126" w:type="dxa"/>
            <w:tcBorders>
              <w:top w:val="single" w:color="auto" w:sz="12" w:space="0"/>
              <w:left w:val="nil"/>
              <w:bottom w:val="single" w:color="auto" w:sz="8" w:space="0"/>
              <w:right w:val="nil"/>
            </w:tcBorders>
            <w:vAlign w:val="center"/>
          </w:tcPr>
          <w:p w14:paraId="44DDF16B">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AWRI_AUC</w:t>
            </w:r>
          </w:p>
        </w:tc>
        <w:tc>
          <w:tcPr>
            <w:tcW w:w="1292" w:type="dxa"/>
            <w:tcBorders>
              <w:top w:val="single" w:color="auto" w:sz="12" w:space="0"/>
              <w:left w:val="nil"/>
              <w:bottom w:val="single" w:color="auto" w:sz="8" w:space="0"/>
              <w:right w:val="nil"/>
            </w:tcBorders>
            <w:vAlign w:val="center"/>
          </w:tcPr>
          <w:p w14:paraId="767D075E">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AWRI_95CI</w:t>
            </w:r>
          </w:p>
        </w:tc>
        <w:tc>
          <w:tcPr>
            <w:tcW w:w="1220" w:type="dxa"/>
            <w:tcBorders>
              <w:top w:val="single" w:color="auto" w:sz="12" w:space="0"/>
              <w:left w:val="nil"/>
              <w:bottom w:val="single" w:color="auto" w:sz="8" w:space="0"/>
              <w:right w:val="nil"/>
            </w:tcBorders>
            <w:vAlign w:val="center"/>
          </w:tcPr>
          <w:p w14:paraId="098D8447">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SOFA</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2_AUC</w:t>
            </w:r>
          </w:p>
        </w:tc>
        <w:tc>
          <w:tcPr>
            <w:tcW w:w="1118" w:type="dxa"/>
            <w:tcBorders>
              <w:top w:val="single" w:color="auto" w:sz="12" w:space="0"/>
              <w:left w:val="nil"/>
              <w:bottom w:val="single" w:color="auto" w:sz="8" w:space="0"/>
              <w:right w:val="nil"/>
            </w:tcBorders>
            <w:vAlign w:val="center"/>
          </w:tcPr>
          <w:p w14:paraId="502075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SOFA</w:t>
            </w:r>
            <w:r>
              <w:rPr>
                <w:rFonts w:hint="eastAsia" w:ascii="Times New Roman" w:hAnsi="Times New Roman"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2_95CI</w:t>
            </w:r>
          </w:p>
        </w:tc>
        <w:tc>
          <w:tcPr>
            <w:tcW w:w="1118" w:type="dxa"/>
            <w:tcBorders>
              <w:top w:val="single" w:color="auto" w:sz="12" w:space="0"/>
              <w:left w:val="nil"/>
              <w:bottom w:val="single" w:color="auto" w:sz="8" w:space="0"/>
              <w:right w:val="nil"/>
            </w:tcBorders>
            <w:vAlign w:val="center"/>
          </w:tcPr>
          <w:p w14:paraId="71B8FE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b/>
                <w:bCs/>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Delta_AUC</w:t>
            </w:r>
          </w:p>
        </w:tc>
        <w:tc>
          <w:tcPr>
            <w:tcW w:w="1118" w:type="dxa"/>
            <w:tcBorders>
              <w:top w:val="single" w:color="auto" w:sz="12" w:space="0"/>
              <w:left w:val="nil"/>
              <w:bottom w:val="single" w:color="auto" w:sz="8" w:space="0"/>
              <w:right w:val="nil"/>
            </w:tcBorders>
            <w:vAlign w:val="center"/>
          </w:tcPr>
          <w:p w14:paraId="51CBF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b/>
                <w:bCs/>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P_value</w:t>
            </w:r>
          </w:p>
        </w:tc>
      </w:tr>
      <w:tr w14:paraId="4023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70" w:type="dxa"/>
            <w:tcBorders>
              <w:top w:val="single" w:color="auto" w:sz="8" w:space="0"/>
              <w:left w:val="nil"/>
              <w:bottom w:val="nil"/>
              <w:right w:val="nil"/>
            </w:tcBorders>
            <w:vAlign w:val="center"/>
          </w:tcPr>
          <w:p w14:paraId="24408008">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Day 7</w:t>
            </w:r>
          </w:p>
        </w:tc>
        <w:tc>
          <w:tcPr>
            <w:tcW w:w="1126" w:type="dxa"/>
            <w:tcBorders>
              <w:top w:val="single" w:color="auto" w:sz="8" w:space="0"/>
              <w:left w:val="nil"/>
              <w:bottom w:val="nil"/>
              <w:right w:val="nil"/>
            </w:tcBorders>
            <w:vAlign w:val="center"/>
          </w:tcPr>
          <w:p w14:paraId="7869BA4E">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0.578</w:t>
            </w:r>
          </w:p>
        </w:tc>
        <w:tc>
          <w:tcPr>
            <w:tcW w:w="1292" w:type="dxa"/>
            <w:tcBorders>
              <w:top w:val="single" w:color="auto" w:sz="8" w:space="0"/>
              <w:left w:val="nil"/>
              <w:bottom w:val="nil"/>
              <w:right w:val="nil"/>
            </w:tcBorders>
            <w:vAlign w:val="center"/>
          </w:tcPr>
          <w:p w14:paraId="74C86B26">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0.567–0.592</w:t>
            </w:r>
          </w:p>
        </w:tc>
        <w:tc>
          <w:tcPr>
            <w:tcW w:w="1220" w:type="dxa"/>
            <w:tcBorders>
              <w:top w:val="single" w:color="auto" w:sz="8" w:space="0"/>
              <w:left w:val="nil"/>
              <w:bottom w:val="nil"/>
              <w:right w:val="nil"/>
            </w:tcBorders>
            <w:vAlign w:val="center"/>
          </w:tcPr>
          <w:p w14:paraId="2AA92203">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0.562</w:t>
            </w:r>
          </w:p>
        </w:tc>
        <w:tc>
          <w:tcPr>
            <w:tcW w:w="1118" w:type="dxa"/>
            <w:tcBorders>
              <w:top w:val="single" w:color="auto" w:sz="8" w:space="0"/>
              <w:left w:val="nil"/>
              <w:bottom w:val="nil"/>
              <w:right w:val="nil"/>
            </w:tcBorders>
            <w:vAlign w:val="center"/>
          </w:tcPr>
          <w:p w14:paraId="10055533">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0.549–0.574</w:t>
            </w:r>
          </w:p>
        </w:tc>
        <w:tc>
          <w:tcPr>
            <w:tcW w:w="1118" w:type="dxa"/>
            <w:tcBorders>
              <w:top w:val="single" w:color="auto" w:sz="8" w:space="0"/>
              <w:left w:val="nil"/>
              <w:bottom w:val="nil"/>
              <w:right w:val="nil"/>
            </w:tcBorders>
            <w:vAlign w:val="center"/>
          </w:tcPr>
          <w:p w14:paraId="0B8A5F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0.016</w:t>
            </w:r>
          </w:p>
        </w:tc>
        <w:tc>
          <w:tcPr>
            <w:tcW w:w="1118" w:type="dxa"/>
            <w:tcBorders>
              <w:top w:val="single" w:color="auto" w:sz="8" w:space="0"/>
              <w:left w:val="nil"/>
              <w:bottom w:val="nil"/>
              <w:right w:val="nil"/>
            </w:tcBorders>
            <w:vAlign w:val="center"/>
          </w:tcPr>
          <w:p w14:paraId="77D5F3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0.07</w:t>
            </w:r>
          </w:p>
        </w:tc>
      </w:tr>
      <w:tr w14:paraId="25BD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70" w:type="dxa"/>
            <w:tcBorders>
              <w:top w:val="nil"/>
              <w:left w:val="nil"/>
              <w:bottom w:val="nil"/>
              <w:right w:val="nil"/>
            </w:tcBorders>
            <w:vAlign w:val="center"/>
          </w:tcPr>
          <w:p w14:paraId="57C046A1">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Day 14</w:t>
            </w:r>
          </w:p>
        </w:tc>
        <w:tc>
          <w:tcPr>
            <w:tcW w:w="1126" w:type="dxa"/>
            <w:tcBorders>
              <w:top w:val="nil"/>
              <w:left w:val="nil"/>
              <w:bottom w:val="nil"/>
              <w:right w:val="nil"/>
            </w:tcBorders>
            <w:vAlign w:val="center"/>
          </w:tcPr>
          <w:p w14:paraId="0FDE8EA6">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0.588</w:t>
            </w:r>
          </w:p>
        </w:tc>
        <w:tc>
          <w:tcPr>
            <w:tcW w:w="1292" w:type="dxa"/>
            <w:tcBorders>
              <w:top w:val="nil"/>
              <w:left w:val="nil"/>
              <w:bottom w:val="nil"/>
              <w:right w:val="nil"/>
            </w:tcBorders>
            <w:vAlign w:val="center"/>
          </w:tcPr>
          <w:p w14:paraId="22281031">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0.577–0.600</w:t>
            </w:r>
          </w:p>
        </w:tc>
        <w:tc>
          <w:tcPr>
            <w:tcW w:w="1220" w:type="dxa"/>
            <w:tcBorders>
              <w:top w:val="nil"/>
              <w:left w:val="nil"/>
              <w:bottom w:val="nil"/>
              <w:right w:val="nil"/>
            </w:tcBorders>
            <w:vAlign w:val="center"/>
          </w:tcPr>
          <w:p w14:paraId="39D1B4B0">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0.591</w:t>
            </w:r>
          </w:p>
        </w:tc>
        <w:tc>
          <w:tcPr>
            <w:tcW w:w="1118" w:type="dxa"/>
            <w:tcBorders>
              <w:top w:val="nil"/>
              <w:left w:val="nil"/>
              <w:bottom w:val="nil"/>
              <w:right w:val="nil"/>
            </w:tcBorders>
            <w:vAlign w:val="center"/>
          </w:tcPr>
          <w:p w14:paraId="50645E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0.580–0.602</w:t>
            </w:r>
          </w:p>
        </w:tc>
        <w:tc>
          <w:tcPr>
            <w:tcW w:w="1118" w:type="dxa"/>
            <w:tcBorders>
              <w:top w:val="nil"/>
              <w:left w:val="nil"/>
              <w:bottom w:val="nil"/>
              <w:right w:val="nil"/>
            </w:tcBorders>
            <w:vAlign w:val="center"/>
          </w:tcPr>
          <w:p w14:paraId="3CF948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-0.003</w:t>
            </w:r>
          </w:p>
        </w:tc>
        <w:tc>
          <w:tcPr>
            <w:tcW w:w="1118" w:type="dxa"/>
            <w:tcBorders>
              <w:top w:val="nil"/>
              <w:left w:val="nil"/>
              <w:bottom w:val="nil"/>
              <w:right w:val="nil"/>
            </w:tcBorders>
            <w:vAlign w:val="center"/>
          </w:tcPr>
          <w:p w14:paraId="0AA3F3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0.74</w:t>
            </w:r>
          </w:p>
        </w:tc>
      </w:tr>
      <w:tr w14:paraId="7F34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70" w:type="dxa"/>
            <w:tcBorders>
              <w:top w:val="nil"/>
              <w:left w:val="nil"/>
              <w:bottom w:val="single" w:color="auto" w:sz="12" w:space="0"/>
              <w:right w:val="nil"/>
            </w:tcBorders>
            <w:vAlign w:val="center"/>
          </w:tcPr>
          <w:p w14:paraId="451620F5">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Day 28</w:t>
            </w:r>
          </w:p>
        </w:tc>
        <w:tc>
          <w:tcPr>
            <w:tcW w:w="1126" w:type="dxa"/>
            <w:tcBorders>
              <w:top w:val="nil"/>
              <w:left w:val="nil"/>
              <w:bottom w:val="single" w:color="auto" w:sz="12" w:space="0"/>
              <w:right w:val="nil"/>
            </w:tcBorders>
            <w:vAlign w:val="center"/>
          </w:tcPr>
          <w:p w14:paraId="4783001E">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0.604</w:t>
            </w:r>
          </w:p>
        </w:tc>
        <w:tc>
          <w:tcPr>
            <w:tcW w:w="1292" w:type="dxa"/>
            <w:tcBorders>
              <w:top w:val="nil"/>
              <w:left w:val="nil"/>
              <w:bottom w:val="single" w:color="auto" w:sz="12" w:space="0"/>
              <w:right w:val="nil"/>
            </w:tcBorders>
            <w:vAlign w:val="center"/>
          </w:tcPr>
          <w:p w14:paraId="0B76A6FD">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0.585–0.621</w:t>
            </w:r>
          </w:p>
        </w:tc>
        <w:tc>
          <w:tcPr>
            <w:tcW w:w="1220" w:type="dxa"/>
            <w:tcBorders>
              <w:top w:val="nil"/>
              <w:left w:val="nil"/>
              <w:bottom w:val="single" w:color="auto" w:sz="12" w:space="0"/>
              <w:right w:val="nil"/>
            </w:tcBorders>
            <w:vAlign w:val="center"/>
          </w:tcPr>
          <w:p w14:paraId="689851C4">
            <w:pPr>
              <w:keepNext w:val="0"/>
              <w:keepLines w:val="0"/>
              <w:widowControl/>
              <w:suppressLineNumbers w:val="0"/>
              <w:spacing w:before="0" w:beforeAutospacing="0" w:after="0" w:afterAutospacing="0"/>
              <w:ind w:left="0" w:right="0"/>
              <w:jc w:val="center"/>
              <w:textAlignment w:val="center"/>
              <w:rPr>
                <w:rStyle w:val="14"/>
                <w:rFonts w:hint="default" w:ascii="Times New Roman" w:hAnsi="Times New Roman" w:cs="Times New Roman"/>
                <w:sz w:val="21"/>
                <w:szCs w:val="21"/>
                <w:vertAlign w:val="baseline"/>
              </w:rPr>
            </w:pPr>
            <w:r>
              <w:rPr>
                <w:rFonts w:hint="default" w:ascii="Times New Roman" w:hAnsi="Times New Roman" w:eastAsia="宋体" w:cs="Times New Roman"/>
                <w:i w:val="0"/>
                <w:iCs w:val="0"/>
                <w:color w:val="000000"/>
                <w:kern w:val="0"/>
                <w:sz w:val="21"/>
                <w:szCs w:val="21"/>
                <w:u w:val="none"/>
                <w:lang w:val="en-US" w:eastAsia="zh-CN" w:bidi="ar"/>
              </w:rPr>
              <w:t>0.63</w:t>
            </w:r>
          </w:p>
        </w:tc>
        <w:tc>
          <w:tcPr>
            <w:tcW w:w="1118" w:type="dxa"/>
            <w:tcBorders>
              <w:top w:val="nil"/>
              <w:left w:val="nil"/>
              <w:bottom w:val="single" w:color="auto" w:sz="12" w:space="0"/>
              <w:right w:val="nil"/>
            </w:tcBorders>
            <w:vAlign w:val="center"/>
          </w:tcPr>
          <w:p w14:paraId="085677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0.613–0.646</w:t>
            </w:r>
          </w:p>
        </w:tc>
        <w:tc>
          <w:tcPr>
            <w:tcW w:w="1118" w:type="dxa"/>
            <w:tcBorders>
              <w:top w:val="nil"/>
              <w:left w:val="nil"/>
              <w:bottom w:val="single" w:color="auto" w:sz="12" w:space="0"/>
              <w:right w:val="nil"/>
            </w:tcBorders>
            <w:vAlign w:val="center"/>
          </w:tcPr>
          <w:p w14:paraId="0D9FF5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-0.026</w:t>
            </w:r>
          </w:p>
        </w:tc>
        <w:tc>
          <w:tcPr>
            <w:tcW w:w="1118" w:type="dxa"/>
            <w:tcBorders>
              <w:top w:val="nil"/>
              <w:left w:val="nil"/>
              <w:bottom w:val="single" w:color="auto" w:sz="12" w:space="0"/>
              <w:right w:val="nil"/>
            </w:tcBorders>
            <w:vAlign w:val="center"/>
          </w:tcPr>
          <w:p w14:paraId="1108DB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Arial"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0.05</w:t>
            </w:r>
          </w:p>
        </w:tc>
      </w:tr>
    </w:tbl>
    <w:p w14:paraId="3FF5BFA8">
      <w:pPr>
        <w:spacing w:line="360" w:lineRule="auto"/>
        <w:rPr>
          <w:rFonts w:hint="eastAsia" w:ascii="Times New Roman" w:hAnsi="Times New Roman" w:cs="Times New Roman"/>
          <w:lang w:val="en-US" w:eastAsia="zh-CN"/>
        </w:rPr>
      </w:pPr>
    </w:p>
    <w:p w14:paraId="350BBA5C">
      <w:pPr>
        <w:spacing w:line="360" w:lineRule="auto"/>
        <w:rPr>
          <w:rFonts w:hint="eastAsia" w:ascii="Times New Roman" w:hAnsi="Times New Roman" w:eastAsia="楷体"/>
          <w:b w:val="0"/>
          <w:sz w:val="21"/>
          <w:szCs w:val="21"/>
          <w:lang w:val="en-US" w:eastAsia="zh-CN"/>
        </w:rPr>
      </w:pPr>
      <w:r>
        <w:rPr>
          <w:rFonts w:hint="eastAsia" w:ascii="Times New Roman" w:hAnsi="Times New Roman" w:eastAsia="楷体"/>
          <w:b w:val="0"/>
          <w:sz w:val="21"/>
          <w:szCs w:val="21"/>
          <w:highlight w:val="none"/>
          <w:lang w:eastAsia="zh-CN"/>
        </w:rPr>
        <w:t>Supplementary Figure S</w:t>
      </w:r>
      <w:r>
        <w:rPr>
          <w:rFonts w:hint="eastAsia" w:ascii="Times New Roman" w:hAnsi="Times New Roman" w:eastAsia="楷体"/>
          <w:b w:val="0"/>
          <w:sz w:val="21"/>
          <w:szCs w:val="21"/>
          <w:highlight w:val="none"/>
          <w:lang w:val="en-US" w:eastAsia="zh-CN"/>
        </w:rPr>
        <w:t>4</w:t>
      </w:r>
      <w:r>
        <w:rPr>
          <w:rFonts w:hint="eastAsia" w:ascii="Times New Roman" w:hAnsi="Times New Roman" w:eastAsia="楷体"/>
          <w:b w:val="0"/>
          <w:sz w:val="21"/>
          <w:szCs w:val="21"/>
          <w:highlight w:val="none"/>
          <w:lang w:eastAsia="zh-CN"/>
        </w:rPr>
        <w:t>.</w:t>
      </w:r>
      <w:r>
        <w:rPr>
          <w:rFonts w:hint="eastAsia" w:ascii="Times New Roman" w:hAnsi="Times New Roman" w:eastAsia="楷体"/>
          <w:b w:val="0"/>
          <w:sz w:val="21"/>
          <w:szCs w:val="21"/>
          <w:lang w:val="en-US" w:eastAsia="zh-CN"/>
        </w:rPr>
        <w:t>Time-to-event predictive performance comparison between AWRI and SOFA-2.</w:t>
      </w:r>
    </w:p>
    <w:p w14:paraId="5D860A66">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(A) IPCW-weighted Brier Score curves over time for AWRI (red), SOFA-2 (blue dashed), and the Null/KM reference model (gray dashed). Both scores reduced prediction error modestly relative to the Null model (AWRI IBS = 0.1180; SOFA-2 IBS = 0.1175; Null IBS = 0.1193), with a clinically negligible between-model difference (ΔIBS = 0.0005).</w:t>
      </w:r>
    </w:p>
    <w:p w14:paraId="31679B93">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(B) Time-dependent AUC at Day 7, 14, and 28, estimated by IPCW with 95% CIs from 200 bootstrap resamples. AWRI and SOFA-2 showed comparable discrimination throughout: AWRI trended toward superiority at Day 7 (ΔAUC = +0.016, p = 0.07), performance was equivalent at Day 14 (ΔAUC = −0.003, p = 0.74), and SOFA-2 held a marginal advantage at Day 28 (ΔAUC = −0.026, p = 0.05).</w:t>
      </w:r>
    </w:p>
    <w:p w14:paraId="433B788D">
      <w:pPr>
        <w:spacing w:line="360" w:lineRule="auto"/>
        <w:rPr>
          <w:rFonts w:hint="default" w:ascii="Times New Roman" w:hAnsi="Times New Roman" w:cs="Times New Roman"/>
          <w:lang w:val="en-US" w:eastAsia="zh-CN"/>
        </w:rPr>
      </w:pPr>
      <w:r>
        <w:rPr>
          <w:rFonts w:hint="eastAsia" w:ascii="Times New Roman" w:hAnsi="Times New Roman" w:cs="Times New Roman"/>
          <w:lang w:val="en-US" w:eastAsia="zh-CN"/>
        </w:rPr>
        <w:t>Abbreviations: AWRI, Age-Weighted RDW Index; SOFA-2, Sequential Organ Failure Assessment version 2; IBS, Integrated Brier Score; IPCW, Inverse Probability of Censoring Weighting; AUC, Area Under the Curve; KM, Kaplan–Meier.</w:t>
      </w:r>
    </w:p>
    <w:p w14:paraId="132D3EB9">
      <w:pPr>
        <w:spacing w:line="360" w:lineRule="auto"/>
        <w:rPr>
          <w:rFonts w:hint="default" w:ascii="Times New Roman" w:hAnsi="Times New Roman" w:cs="Times New Roman"/>
          <w:lang w:val="en-US" w:eastAsia="zh-CN"/>
        </w:rPr>
      </w:pP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72"/>
        <w:gridCol w:w="4272"/>
      </w:tblGrid>
      <w:tr w14:paraId="7ADB2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vAlign w:val="top"/>
          </w:tcPr>
          <w:p w14:paraId="21D22D26">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default" w:ascii="Times New Roman" w:hAnsi="Times New Roman" w:cs="Times New Roman"/>
                <w:vertAlign w:val="baseline"/>
                <w:lang w:val="en-US" w:eastAsia="zh-CN"/>
              </w:rPr>
              <w:t>A</w:t>
            </w:r>
            <w:r>
              <w:rPr>
                <w:rFonts w:hint="eastAsia" w:ascii="Times New Roman" w:hAnsi="Times New Roman" w:eastAsia="宋体" w:cs="Times New Roman"/>
                <w:vertAlign w:val="baseline"/>
                <w:lang w:eastAsia="zh-CN"/>
              </w:rPr>
              <w:t>）</w:t>
            </w:r>
          </w:p>
          <w:p w14:paraId="3C6E1303">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drawing>
                <wp:inline distT="0" distB="0" distL="114300" distR="114300">
                  <wp:extent cx="2574925" cy="2266315"/>
                  <wp:effectExtent l="0" t="0" r="635" b="4445"/>
                  <wp:docPr id="121" name="图片 121" descr="Correlation Matrix of Continuous Variable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Correlation Matrix of Continuous Variables_01"/>
                          <pic:cNvPicPr>
                            <a:picLocks noChangeAspect="1"/>
                          </pic:cNvPicPr>
                        </pic:nvPicPr>
                        <pic:blipFill>
                          <a:blip r:embed="rId34"/>
                          <a:stretch>
                            <a:fillRect/>
                          </a:stretch>
                        </pic:blipFill>
                        <pic:spPr>
                          <a:xfrm>
                            <a:off x="0" y="0"/>
                            <a:ext cx="2574925" cy="2266315"/>
                          </a:xfrm>
                          <a:prstGeom prst="rect">
                            <a:avLst/>
                          </a:prstGeom>
                        </pic:spPr>
                      </pic:pic>
                    </a:graphicData>
                  </a:graphic>
                </wp:inline>
              </w:drawing>
            </w:r>
          </w:p>
        </w:tc>
        <w:tc>
          <w:tcPr>
            <w:tcW w:w="0" w:type="auto"/>
            <w:vAlign w:val="top"/>
          </w:tcPr>
          <w:p w14:paraId="77522D9B">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t>（</w:t>
            </w:r>
            <w:r>
              <w:rPr>
                <w:rFonts w:hint="default" w:ascii="Times New Roman" w:hAnsi="Times New Roman" w:cs="Times New Roman"/>
                <w:vertAlign w:val="baseline"/>
                <w:lang w:val="en-US" w:eastAsia="zh-CN"/>
              </w:rPr>
              <w:t>B</w:t>
            </w:r>
            <w:r>
              <w:rPr>
                <w:rFonts w:hint="eastAsia" w:ascii="Times New Roman" w:hAnsi="Times New Roman" w:eastAsia="宋体" w:cs="Times New Roman"/>
                <w:vertAlign w:val="baseline"/>
                <w:lang w:eastAsia="zh-CN"/>
              </w:rPr>
              <w:t>）</w:t>
            </w:r>
          </w:p>
          <w:p w14:paraId="3D1982CD">
            <w:pPr>
              <w:keepNext w:val="0"/>
              <w:keepLines w:val="0"/>
              <w:suppressLineNumbers w:val="0"/>
              <w:spacing w:before="0" w:beforeAutospacing="0" w:after="0" w:afterAutospacing="0"/>
              <w:ind w:left="0" w:right="0"/>
              <w:rPr>
                <w:rFonts w:hint="default" w:ascii="Times New Roman" w:hAnsi="Times New Roman" w:cs="Times New Roman"/>
                <w:vertAlign w:val="baseline"/>
                <w:lang w:eastAsia="zh-CN"/>
              </w:rPr>
            </w:pPr>
            <w:r>
              <w:rPr>
                <w:rFonts w:hint="default" w:ascii="Times New Roman" w:hAnsi="Times New Roman" w:cs="Times New Roman"/>
                <w:vertAlign w:val="baseline"/>
                <w:lang w:eastAsia="zh-CN"/>
              </w:rPr>
              <w:drawing>
                <wp:inline distT="0" distB="0" distL="114300" distR="114300">
                  <wp:extent cx="2574925" cy="2268855"/>
                  <wp:effectExtent l="0" t="0" r="635" b="1905"/>
                  <wp:docPr id="120" name="图片 120" descr="Correlation Matrix of Continuous Variables-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Correlation Matrix of Continuous Variables-2_01"/>
                          <pic:cNvPicPr>
                            <a:picLocks noChangeAspect="1"/>
                          </pic:cNvPicPr>
                        </pic:nvPicPr>
                        <pic:blipFill>
                          <a:blip r:embed="rId35"/>
                          <a:stretch>
                            <a:fillRect/>
                          </a:stretch>
                        </pic:blipFill>
                        <pic:spPr>
                          <a:xfrm>
                            <a:off x="0" y="0"/>
                            <a:ext cx="2574925" cy="2268855"/>
                          </a:xfrm>
                          <a:prstGeom prst="rect">
                            <a:avLst/>
                          </a:prstGeom>
                        </pic:spPr>
                      </pic:pic>
                    </a:graphicData>
                  </a:graphic>
                </wp:inline>
              </w:drawing>
            </w:r>
          </w:p>
        </w:tc>
      </w:tr>
    </w:tbl>
    <w:p w14:paraId="63CB5202">
      <w:pPr>
        <w:rPr>
          <w:rFonts w:hint="default" w:ascii="Times New Roman" w:hAnsi="Times New Roman" w:cs="Times New Roman" w:eastAsiaTheme="minorEastAsia"/>
          <w:lang w:eastAsia="zh-CN"/>
        </w:rPr>
      </w:pPr>
    </w:p>
    <w:p w14:paraId="4119BB44">
      <w:pPr>
        <w:rPr>
          <w:rFonts w:hint="default" w:ascii="Times New Roman" w:hAnsi="Times New Roman" w:cs="Times New Roman" w:eastAsiaTheme="minorEastAsia"/>
          <w:lang w:eastAsia="zh-CN"/>
        </w:rPr>
      </w:pPr>
    </w:p>
    <w:p w14:paraId="544652EB">
      <w:pPr>
        <w:spacing w:line="360" w:lineRule="exact"/>
        <w:jc w:val="center"/>
        <w:rPr>
          <w:rFonts w:hint="eastAsia" w:ascii="Times New Roman" w:hAnsi="Times New Roman" w:eastAsia="楷体"/>
          <w:b w:val="0"/>
          <w:sz w:val="21"/>
          <w:szCs w:val="21"/>
          <w:lang w:eastAsia="zh-CN"/>
        </w:rPr>
      </w:pPr>
    </w:p>
    <w:p w14:paraId="12B087DB">
      <w:pPr>
        <w:spacing w:line="360" w:lineRule="exact"/>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Supplementary Figure S</w:t>
      </w:r>
      <w:r>
        <w:rPr>
          <w:rFonts w:hint="eastAsia" w:ascii="Times New Roman" w:hAnsi="Times New Roman" w:eastAsia="楷体"/>
          <w:b w:val="0"/>
          <w:sz w:val="21"/>
          <w:szCs w:val="21"/>
          <w:lang w:val="en-US" w:eastAsia="zh-CN"/>
        </w:rPr>
        <w:t>5</w:t>
      </w:r>
      <w:r>
        <w:rPr>
          <w:rFonts w:hint="eastAsia" w:ascii="Times New Roman" w:hAnsi="Times New Roman" w:eastAsia="楷体"/>
          <w:b w:val="0"/>
          <w:sz w:val="21"/>
          <w:szCs w:val="21"/>
          <w:lang w:eastAsia="zh-CN"/>
        </w:rPr>
        <w:t>.</w:t>
      </w:r>
      <w:r>
        <w:rPr>
          <w:rFonts w:hint="eastAsia" w:ascii="Times New Roman" w:hAnsi="Times New Roman" w:eastAsia="楷体"/>
          <w:b w:val="0"/>
          <w:sz w:val="21"/>
          <w:szCs w:val="21"/>
          <w:lang w:val="en-US" w:eastAsia="zh-CN"/>
        </w:rPr>
        <w:t xml:space="preserve"> </w:t>
      </w:r>
      <w:r>
        <w:rPr>
          <w:rFonts w:hint="eastAsia" w:ascii="Times New Roman" w:hAnsi="Times New Roman" w:eastAsia="楷体"/>
          <w:b w:val="0"/>
          <w:sz w:val="21"/>
          <w:szCs w:val="21"/>
          <w:lang w:eastAsia="zh-CN"/>
        </w:rPr>
        <w:t>Correlation Analysis of Clinical Variables in ICU Patients with Acute Respiratory Failure</w:t>
      </w:r>
    </w:p>
    <w:p w14:paraId="2FF8DB85">
      <w:pPr>
        <w:spacing w:line="360" w:lineRule="exact"/>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 xml:space="preserve">(A) Correlation matrix of 27 continuous clinical variables. The heatmap displays Pearson correlation coefficients ranging from -1 (deep blue) to +1 (deep red). Strong correlations were observed between hemodynamic parameters (SBP, DBP, MAP; r &gt; 0.8) and hematological indices (hemoglobin, hematocrit). </w:t>
      </w:r>
      <w:r>
        <w:rPr>
          <w:rFonts w:hint="eastAsia" w:ascii="Times New Roman" w:hAnsi="Times New Roman" w:eastAsia="楷体"/>
          <w:b w:val="0"/>
          <w:sz w:val="21"/>
          <w:szCs w:val="21"/>
          <w:lang w:val="en-US" w:eastAsia="zh-CN"/>
        </w:rPr>
        <w:t>weak</w:t>
      </w:r>
      <w:r>
        <w:rPr>
          <w:rFonts w:hint="eastAsia" w:ascii="Times New Roman" w:hAnsi="Times New Roman" w:eastAsia="楷体"/>
          <w:b w:val="0"/>
          <w:sz w:val="21"/>
          <w:szCs w:val="21"/>
          <w:lang w:eastAsia="zh-CN"/>
        </w:rPr>
        <w:t xml:space="preserve"> correlations were found between renal function markers and electrolyte indicators.</w:t>
      </w:r>
    </w:p>
    <w:p w14:paraId="7157D3AC">
      <w:pPr>
        <w:spacing w:line="360" w:lineRule="exact"/>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(B) Correlation matrix of 17 selected clinical variables after feature engineering. Following tree-based feature importance ranking and correlation-based filtering, redundant variables with correlation coefficients &gt; 0.5 were removed to minimize multicollinearity while preserving predictive information across multiple physiological systems.</w:t>
      </w:r>
    </w:p>
    <w:p w14:paraId="1FC5C9B1">
      <w:pPr>
        <w:spacing w:line="360" w:lineRule="exact"/>
        <w:jc w:val="both"/>
        <w:rPr>
          <w:rFonts w:hint="eastAsia" w:ascii="Times New Roman" w:hAnsi="Times New Roman" w:eastAsia="楷体"/>
          <w:b w:val="0"/>
          <w:sz w:val="21"/>
          <w:szCs w:val="21"/>
          <w:lang w:eastAsia="zh-CN"/>
        </w:rPr>
      </w:pPr>
      <w:r>
        <w:rPr>
          <w:rFonts w:hint="eastAsia" w:ascii="Times New Roman" w:hAnsi="Times New Roman" w:eastAsia="楷体"/>
          <w:b w:val="0"/>
          <w:sz w:val="21"/>
          <w:szCs w:val="21"/>
          <w:lang w:eastAsia="zh-CN"/>
        </w:rPr>
        <w:t>Abbreviations: SBP (Systolic Blood Pressure); DBP (Diastolic Blood Pressure); MAP (Mean Arterial Pressure). Pearson correlation coefficients were calculated for all continuous variable pairs. Feature selection employed a two-stage approach: first, correlation-based redundancy removal eliminated features with pairwise correlations exceeding 0.5; second, ensemble-based feature ranking using Random Forest, LightGBM, and XGBoost importance scores identified the most predictive variables, with the final feature set representing the union of top-ranked features from all three models.</w:t>
      </w:r>
    </w:p>
    <w:p w14:paraId="7524F361">
      <w:pPr>
        <w:spacing w:line="360" w:lineRule="exact"/>
        <w:jc w:val="both"/>
        <w:rPr>
          <w:rFonts w:hint="eastAsia" w:ascii="Times New Roman" w:hAnsi="Times New Roman" w:eastAsia="楷体"/>
          <w:b w:val="0"/>
          <w:sz w:val="21"/>
          <w:szCs w:val="21"/>
          <w:lang w:eastAsia="zh-CN"/>
        </w:rPr>
      </w:pPr>
    </w:p>
    <w:p w14:paraId="693D5E71">
      <w:pPr>
        <w:spacing w:line="360" w:lineRule="exact"/>
        <w:jc w:val="both"/>
        <w:rPr>
          <w:rFonts w:hint="eastAsia" w:ascii="Times New Roman" w:hAnsi="Times New Roman" w:eastAsia="楷体"/>
          <w:b w:val="0"/>
          <w:sz w:val="21"/>
          <w:szCs w:val="21"/>
          <w:lang w:eastAsia="zh-CN"/>
        </w:rPr>
      </w:pPr>
    </w:p>
    <w:p w14:paraId="6585E5CC">
      <w:pPr>
        <w:spacing w:line="360" w:lineRule="exact"/>
        <w:jc w:val="both"/>
        <w:rPr>
          <w:rFonts w:hint="eastAsia" w:ascii="Times New Roman" w:hAnsi="Times New Roman" w:eastAsia="楷体"/>
          <w:b w:val="0"/>
          <w:sz w:val="21"/>
          <w:szCs w:val="21"/>
          <w:lang w:eastAsia="zh-CN"/>
        </w:rPr>
      </w:pPr>
    </w:p>
    <w:p w14:paraId="74437121">
      <w:pPr>
        <w:spacing w:line="360" w:lineRule="exact"/>
        <w:jc w:val="both"/>
        <w:rPr>
          <w:rFonts w:hint="eastAsia" w:ascii="Times New Roman" w:hAnsi="Times New Roman" w:eastAsia="楷体"/>
          <w:b w:val="0"/>
          <w:sz w:val="21"/>
          <w:szCs w:val="21"/>
          <w:lang w:eastAsia="zh-CN"/>
        </w:rPr>
      </w:pPr>
    </w:p>
    <w:p w14:paraId="7C8FC5EF">
      <w:pPr>
        <w:spacing w:line="360" w:lineRule="exact"/>
        <w:jc w:val="both"/>
        <w:rPr>
          <w:rFonts w:hint="eastAsia" w:ascii="Times New Roman" w:hAnsi="Times New Roman" w:eastAsia="楷体"/>
          <w:b w:val="0"/>
          <w:sz w:val="21"/>
          <w:szCs w:val="21"/>
          <w:lang w:eastAsia="zh-CN"/>
        </w:rPr>
      </w:pPr>
    </w:p>
    <w:p w14:paraId="43237DE7">
      <w:pPr>
        <w:spacing w:line="360" w:lineRule="exact"/>
        <w:jc w:val="both"/>
        <w:rPr>
          <w:rFonts w:hint="eastAsia" w:ascii="Times New Roman" w:hAnsi="Times New Roman" w:eastAsia="楷体"/>
          <w:b w:val="0"/>
          <w:sz w:val="21"/>
          <w:szCs w:val="21"/>
          <w:lang w:eastAsia="zh-CN"/>
        </w:rPr>
      </w:pPr>
    </w:p>
    <w:p w14:paraId="0736DFC6">
      <w:pPr>
        <w:spacing w:line="360" w:lineRule="exact"/>
        <w:jc w:val="both"/>
        <w:rPr>
          <w:rFonts w:hint="eastAsia" w:ascii="Times New Roman" w:hAnsi="Times New Roman" w:eastAsia="楷体"/>
          <w:b w:val="0"/>
          <w:sz w:val="21"/>
          <w:szCs w:val="21"/>
          <w:lang w:eastAsia="zh-CN"/>
        </w:rPr>
      </w:pPr>
    </w:p>
    <w:p w14:paraId="107AA504">
      <w:pPr>
        <w:spacing w:line="360" w:lineRule="exact"/>
        <w:jc w:val="both"/>
        <w:rPr>
          <w:rFonts w:hint="eastAsia" w:ascii="Times New Roman" w:hAnsi="Times New Roman" w:eastAsia="楷体"/>
          <w:b w:val="0"/>
          <w:sz w:val="21"/>
          <w:szCs w:val="21"/>
          <w:lang w:eastAsia="zh-CN"/>
        </w:rPr>
      </w:pPr>
    </w:p>
    <w:tbl>
      <w:tblPr>
        <w:tblStyle w:val="12"/>
        <w:tblW w:w="4853" w:type="pct"/>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3"/>
        <w:gridCol w:w="1466"/>
        <w:gridCol w:w="1682"/>
        <w:gridCol w:w="1588"/>
        <w:gridCol w:w="1454"/>
      </w:tblGrid>
      <w:tr w14:paraId="4E0C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91" w:type="dxa"/>
            <w:tcBorders>
              <w:top w:val="single" w:color="auto" w:sz="12" w:space="0"/>
              <w:left w:val="nil"/>
              <w:bottom w:val="single" w:color="auto" w:sz="8" w:space="0"/>
              <w:right w:val="nil"/>
            </w:tcBorders>
            <w:vAlign w:val="center"/>
          </w:tcPr>
          <w:p w14:paraId="5B5A74E0">
            <w:pPr>
              <w:keepNext w:val="0"/>
              <w:keepLines w:val="0"/>
              <w:suppressLineNumbers w:val="0"/>
              <w:spacing w:before="0" w:beforeAutospacing="0" w:after="0" w:afterAutospacing="0"/>
              <w:ind w:left="0" w:right="0" w:firstLine="210" w:firstLineChars="100"/>
              <w:jc w:val="both"/>
              <w:rPr>
                <w:rStyle w:val="14"/>
                <w:rFonts w:hint="default" w:ascii="Times New Roman" w:hAnsi="Times New Roman" w:cs="Times New Roman"/>
                <w:sz w:val="21"/>
                <w:szCs w:val="21"/>
                <w:vertAlign w:val="baseline"/>
              </w:rPr>
            </w:pPr>
            <w:r>
              <w:rPr>
                <w:rFonts w:hint="default" w:ascii="Times New Roman" w:hAnsi="Times New Roman" w:eastAsia="Arial" w:cs="Times New Roman"/>
                <w:b/>
                <w:bCs/>
                <w:color w:val="000000" w:themeColor="text1"/>
                <w:sz w:val="21"/>
                <w:szCs w:val="21"/>
                <w14:textFill>
                  <w14:solidFill>
                    <w14:schemeClr w14:val="tx1"/>
                  </w14:solidFill>
                </w14:textFill>
              </w:rPr>
              <w:t>Model Configuration</w:t>
            </w:r>
          </w:p>
        </w:tc>
        <w:tc>
          <w:tcPr>
            <w:tcW w:w="1346" w:type="dxa"/>
            <w:tcBorders>
              <w:top w:val="single" w:color="auto" w:sz="12" w:space="0"/>
              <w:left w:val="nil"/>
              <w:bottom w:val="single" w:color="auto" w:sz="8" w:space="0"/>
              <w:right w:val="nil"/>
            </w:tcBorders>
            <w:vAlign w:val="center"/>
          </w:tcPr>
          <w:p w14:paraId="235FD369">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b/>
                <w:bCs/>
                <w:color w:val="000000" w:themeColor="text1"/>
                <w:sz w:val="21"/>
                <w:szCs w:val="21"/>
                <w14:textFill>
                  <w14:solidFill>
                    <w14:schemeClr w14:val="tx1"/>
                  </w14:solidFill>
                </w14:textFill>
              </w:rPr>
              <w:t>No. of Features</w:t>
            </w:r>
          </w:p>
        </w:tc>
        <w:tc>
          <w:tcPr>
            <w:tcW w:w="1544" w:type="dxa"/>
            <w:tcBorders>
              <w:top w:val="single" w:color="auto" w:sz="12" w:space="0"/>
              <w:left w:val="nil"/>
              <w:bottom w:val="single" w:color="auto" w:sz="8" w:space="0"/>
              <w:right w:val="nil"/>
            </w:tcBorders>
            <w:vAlign w:val="center"/>
          </w:tcPr>
          <w:p w14:paraId="057E4A96">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b/>
                <w:bCs/>
                <w:color w:val="000000" w:themeColor="text1"/>
                <w:sz w:val="21"/>
                <w:szCs w:val="21"/>
                <w14:textFill>
                  <w14:solidFill>
                    <w14:schemeClr w14:val="tx1"/>
                  </w14:solidFill>
                </w14:textFill>
              </w:rPr>
              <w:t>AUC (95% CI)</w:t>
            </w:r>
          </w:p>
        </w:tc>
        <w:tc>
          <w:tcPr>
            <w:tcW w:w="1458" w:type="dxa"/>
            <w:tcBorders>
              <w:top w:val="single" w:color="auto" w:sz="12" w:space="0"/>
              <w:left w:val="nil"/>
              <w:bottom w:val="single" w:color="auto" w:sz="8" w:space="0"/>
              <w:right w:val="nil"/>
            </w:tcBorders>
            <w:vAlign w:val="center"/>
          </w:tcPr>
          <w:p w14:paraId="61485509">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b/>
                <w:bCs/>
                <w:color w:val="000000" w:themeColor="text1"/>
                <w:sz w:val="21"/>
                <w:szCs w:val="21"/>
                <w14:textFill>
                  <w14:solidFill>
                    <w14:schemeClr w14:val="tx1"/>
                  </w14:solidFill>
                </w14:textFill>
              </w:rPr>
              <w:t>ΔAUC vs Model A</w:t>
            </w:r>
          </w:p>
        </w:tc>
        <w:tc>
          <w:tcPr>
            <w:tcW w:w="1334" w:type="dxa"/>
            <w:tcBorders>
              <w:top w:val="single" w:color="auto" w:sz="12" w:space="0"/>
              <w:left w:val="nil"/>
              <w:bottom w:val="single" w:color="auto" w:sz="8" w:space="0"/>
              <w:right w:val="nil"/>
            </w:tcBorders>
            <w:vAlign w:val="center"/>
          </w:tcPr>
          <w:p w14:paraId="5B1811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kern w:val="0"/>
                <w:sz w:val="21"/>
                <w:szCs w:val="21"/>
                <w:lang w:val="en-US" w:eastAsia="zh-CN" w:bidi="ar"/>
              </w:rPr>
            </w:pPr>
            <w:r>
              <w:rPr>
                <w:rFonts w:hint="default" w:ascii="Times New Roman" w:hAnsi="Times New Roman" w:eastAsia="Arial" w:cs="Times New Roman"/>
                <w:b/>
                <w:bCs/>
                <w:color w:val="000000" w:themeColor="text1"/>
                <w:sz w:val="21"/>
                <w:szCs w:val="21"/>
                <w14:textFill>
                  <w14:solidFill>
                    <w14:schemeClr w14:val="tx1"/>
                  </w14:solidFill>
                </w14:textFill>
              </w:rPr>
              <w:t>DeLong P-value</w:t>
            </w:r>
          </w:p>
        </w:tc>
      </w:tr>
      <w:tr w14:paraId="6A25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91" w:type="dxa"/>
            <w:tcBorders>
              <w:top w:val="single" w:color="auto" w:sz="8" w:space="0"/>
              <w:left w:val="nil"/>
              <w:bottom w:val="nil"/>
              <w:right w:val="nil"/>
            </w:tcBorders>
            <w:vAlign w:val="center"/>
          </w:tcPr>
          <w:p w14:paraId="1CD7E867">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Model A: AWRI-included (baseline)</w:t>
            </w:r>
          </w:p>
        </w:tc>
        <w:tc>
          <w:tcPr>
            <w:tcW w:w="1346" w:type="dxa"/>
            <w:tcBorders>
              <w:top w:val="single" w:color="auto" w:sz="8" w:space="0"/>
              <w:left w:val="nil"/>
              <w:bottom w:val="nil"/>
              <w:right w:val="nil"/>
            </w:tcBorders>
            <w:vAlign w:val="center"/>
          </w:tcPr>
          <w:p w14:paraId="2DEA8D9D">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17</w:t>
            </w:r>
          </w:p>
        </w:tc>
        <w:tc>
          <w:tcPr>
            <w:tcW w:w="1544" w:type="dxa"/>
            <w:tcBorders>
              <w:top w:val="single" w:color="auto" w:sz="8" w:space="0"/>
              <w:left w:val="nil"/>
              <w:bottom w:val="nil"/>
              <w:right w:val="nil"/>
            </w:tcBorders>
            <w:vAlign w:val="center"/>
          </w:tcPr>
          <w:p w14:paraId="5481EAFE">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0.748 (0.720–0.776)</w:t>
            </w:r>
          </w:p>
        </w:tc>
        <w:tc>
          <w:tcPr>
            <w:tcW w:w="1458" w:type="dxa"/>
            <w:tcBorders>
              <w:top w:val="single" w:color="auto" w:sz="8" w:space="0"/>
              <w:left w:val="nil"/>
              <w:bottom w:val="nil"/>
              <w:right w:val="nil"/>
            </w:tcBorders>
            <w:vAlign w:val="center"/>
          </w:tcPr>
          <w:p w14:paraId="011E004E">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w:t>
            </w:r>
          </w:p>
        </w:tc>
        <w:tc>
          <w:tcPr>
            <w:tcW w:w="1334" w:type="dxa"/>
            <w:tcBorders>
              <w:top w:val="single" w:color="auto" w:sz="8" w:space="0"/>
              <w:left w:val="nil"/>
              <w:bottom w:val="nil"/>
              <w:right w:val="nil"/>
            </w:tcBorders>
            <w:vAlign w:val="center"/>
          </w:tcPr>
          <w:p w14:paraId="295933AB">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w:t>
            </w:r>
          </w:p>
        </w:tc>
      </w:tr>
      <w:tr w14:paraId="0A0B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91" w:type="dxa"/>
            <w:tcBorders>
              <w:top w:val="nil"/>
              <w:left w:val="nil"/>
              <w:bottom w:val="nil"/>
              <w:right w:val="nil"/>
            </w:tcBorders>
            <w:vAlign w:val="center"/>
          </w:tcPr>
          <w:p w14:paraId="694260F9">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Model B: RDW + age replacing AWRI</w:t>
            </w:r>
          </w:p>
        </w:tc>
        <w:tc>
          <w:tcPr>
            <w:tcW w:w="1346" w:type="dxa"/>
            <w:tcBorders>
              <w:top w:val="nil"/>
              <w:left w:val="nil"/>
              <w:bottom w:val="nil"/>
              <w:right w:val="nil"/>
            </w:tcBorders>
            <w:vAlign w:val="center"/>
          </w:tcPr>
          <w:p w14:paraId="0931A9C6">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18</w:t>
            </w:r>
          </w:p>
        </w:tc>
        <w:tc>
          <w:tcPr>
            <w:tcW w:w="1544" w:type="dxa"/>
            <w:tcBorders>
              <w:top w:val="nil"/>
              <w:left w:val="nil"/>
              <w:bottom w:val="nil"/>
              <w:right w:val="nil"/>
            </w:tcBorders>
            <w:vAlign w:val="center"/>
          </w:tcPr>
          <w:p w14:paraId="6EC9C7A9">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0.737 (0.709–0.765)</w:t>
            </w:r>
          </w:p>
        </w:tc>
        <w:tc>
          <w:tcPr>
            <w:tcW w:w="1458" w:type="dxa"/>
            <w:tcBorders>
              <w:top w:val="nil"/>
              <w:left w:val="nil"/>
              <w:bottom w:val="nil"/>
              <w:right w:val="nil"/>
            </w:tcBorders>
            <w:vAlign w:val="center"/>
          </w:tcPr>
          <w:p w14:paraId="1C50AF96">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−0.011</w:t>
            </w:r>
          </w:p>
        </w:tc>
        <w:tc>
          <w:tcPr>
            <w:tcW w:w="1334" w:type="dxa"/>
            <w:tcBorders>
              <w:top w:val="nil"/>
              <w:left w:val="nil"/>
              <w:bottom w:val="nil"/>
              <w:right w:val="nil"/>
            </w:tcBorders>
            <w:vAlign w:val="center"/>
          </w:tcPr>
          <w:p w14:paraId="78CB705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Arial" w:cs="Times New Roman"/>
                <w:color w:val="000000" w:themeColor="text1"/>
                <w:sz w:val="21"/>
                <w:szCs w:val="21"/>
                <w14:textFill>
                  <w14:solidFill>
                    <w14:schemeClr w14:val="tx1"/>
                  </w14:solidFill>
                </w14:textFill>
              </w:rPr>
              <w:t>0.032</w:t>
            </w:r>
          </w:p>
        </w:tc>
      </w:tr>
      <w:tr w14:paraId="21BF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591" w:type="dxa"/>
            <w:tcBorders>
              <w:top w:val="nil"/>
              <w:left w:val="nil"/>
              <w:bottom w:val="single" w:color="auto" w:sz="12" w:space="0"/>
              <w:right w:val="nil"/>
            </w:tcBorders>
            <w:vAlign w:val="center"/>
          </w:tcPr>
          <w:p w14:paraId="4A40CD75">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Model C: AWRI fully removed</w:t>
            </w:r>
          </w:p>
        </w:tc>
        <w:tc>
          <w:tcPr>
            <w:tcW w:w="1346" w:type="dxa"/>
            <w:tcBorders>
              <w:top w:val="nil"/>
              <w:left w:val="nil"/>
              <w:bottom w:val="single" w:color="auto" w:sz="12" w:space="0"/>
              <w:right w:val="nil"/>
            </w:tcBorders>
            <w:vAlign w:val="center"/>
          </w:tcPr>
          <w:p w14:paraId="1A5ECF33">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16</w:t>
            </w:r>
          </w:p>
        </w:tc>
        <w:tc>
          <w:tcPr>
            <w:tcW w:w="1544" w:type="dxa"/>
            <w:tcBorders>
              <w:top w:val="nil"/>
              <w:left w:val="nil"/>
              <w:bottom w:val="single" w:color="auto" w:sz="12" w:space="0"/>
              <w:right w:val="nil"/>
            </w:tcBorders>
            <w:vAlign w:val="center"/>
          </w:tcPr>
          <w:p w14:paraId="4176B297">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0.722 (0.694–0.750)</w:t>
            </w:r>
          </w:p>
        </w:tc>
        <w:tc>
          <w:tcPr>
            <w:tcW w:w="1458" w:type="dxa"/>
            <w:tcBorders>
              <w:top w:val="nil"/>
              <w:left w:val="nil"/>
              <w:bottom w:val="single" w:color="auto" w:sz="12" w:space="0"/>
              <w:right w:val="nil"/>
            </w:tcBorders>
            <w:vAlign w:val="center"/>
          </w:tcPr>
          <w:p w14:paraId="482C7346">
            <w:pPr>
              <w:keepNext w:val="0"/>
              <w:keepLines w:val="0"/>
              <w:suppressLineNumbers w:val="0"/>
              <w:spacing w:before="0" w:beforeAutospacing="0" w:after="0" w:afterAutospacing="0"/>
              <w:ind w:left="0" w:right="0"/>
              <w:jc w:val="center"/>
              <w:rPr>
                <w:rStyle w:val="14"/>
                <w:rFonts w:hint="default" w:ascii="Times New Roman" w:hAnsi="Times New Roman" w:cs="Times New Roman"/>
                <w:sz w:val="21"/>
                <w:szCs w:val="21"/>
                <w:vertAlign w:val="baseline"/>
              </w:rPr>
            </w:pPr>
            <w:r>
              <w:rPr>
                <w:rFonts w:hint="default" w:ascii="Times New Roman" w:hAnsi="Times New Roman" w:eastAsia="Arial" w:cs="Times New Roman"/>
                <w:color w:val="000000" w:themeColor="text1"/>
                <w:sz w:val="21"/>
                <w:szCs w:val="21"/>
                <w14:textFill>
                  <w14:solidFill>
                    <w14:schemeClr w14:val="tx1"/>
                  </w14:solidFill>
                </w14:textFill>
              </w:rPr>
              <w:t>−0.026</w:t>
            </w:r>
          </w:p>
        </w:tc>
        <w:tc>
          <w:tcPr>
            <w:tcW w:w="1334" w:type="dxa"/>
            <w:tcBorders>
              <w:top w:val="nil"/>
              <w:left w:val="nil"/>
              <w:bottom w:val="single" w:color="auto" w:sz="12" w:space="0"/>
              <w:right w:val="nil"/>
            </w:tcBorders>
            <w:vAlign w:val="center"/>
          </w:tcPr>
          <w:p w14:paraId="090BBB1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Arial" w:cs="Times New Roman"/>
                <w:color w:val="000000" w:themeColor="text1"/>
                <w:sz w:val="21"/>
                <w:szCs w:val="21"/>
                <w14:textFill>
                  <w14:solidFill>
                    <w14:schemeClr w14:val="tx1"/>
                  </w14:solidFill>
                </w14:textFill>
              </w:rPr>
              <w:t>0.008</w:t>
            </w:r>
          </w:p>
        </w:tc>
      </w:tr>
    </w:tbl>
    <w:p w14:paraId="196C6902">
      <w:pPr>
        <w:spacing w:line="360" w:lineRule="auto"/>
        <w:rPr>
          <w:rFonts w:hint="eastAsia" w:ascii="Times New Roman" w:hAnsi="Times New Roman" w:cs="Times New Roman"/>
          <w:lang w:val="en-US" w:eastAsia="zh-CN"/>
        </w:rPr>
      </w:pPr>
    </w:p>
    <w:p w14:paraId="2B897D3C">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Supplementary Table S5. Ablation Analysis of AWRI's Incremental Predictive Contribution in the XGBoost Model.</w:t>
      </w:r>
    </w:p>
    <w:p w14:paraId="0412D90D">
      <w:pPr>
        <w:spacing w:line="360" w:lineRule="auto"/>
        <w:rPr>
          <w:rFonts w:hint="default" w:ascii="Times New Roman" w:hAnsi="Times New Roman" w:cs="Times New Roman"/>
          <w:lang w:val="en-US" w:eastAsia="zh-CN"/>
        </w:rPr>
      </w:pPr>
      <w:r>
        <w:rPr>
          <w:rFonts w:hint="default" w:ascii="Times New Roman" w:hAnsi="Times New Roman" w:cs="Times New Roman"/>
          <w:lang w:val="en-US" w:eastAsia="zh-CN"/>
        </w:rPr>
        <w:t>Model A is the primary XGBoost model containing all 17 selected features including AWRI. Model B replaces AWRI with its constituent components (raw RDW and age), yielding 18 features after re-applying the correlation-based redundancy filter. Model C removes AWRI entirely without substitution, yielding 16 features. All three models were trained using identical XGBoost hyperparameters optimized for Model A on the same training set and evaluated on the same held-out test set. AUC confidence intervals were calculated using 1,000 bootstrap resamples. Between-model AUC differences were assessed using the DeLong method. ΔAUC values are expressed as Model B or C minus Model A (negative values indicate performance reduction relative to baseline).</w:t>
      </w:r>
    </w:p>
    <w:p w14:paraId="47AF6283">
      <w:pPr>
        <w:rPr>
          <w:rFonts w:hint="eastAsia" w:ascii="Times New Roman" w:hAnsi="Times New Roman" w:cs="Times New Roman"/>
          <w:lang w:val="en-US" w:eastAsia="zh-CN"/>
        </w:rPr>
      </w:pPr>
    </w:p>
    <w:p w14:paraId="56206116">
      <w:pPr>
        <w:rPr>
          <w:rFonts w:hint="eastAsia" w:ascii="Times New Roman" w:hAnsi="Times New Roman" w:cs="Times New Roman"/>
          <w:lang w:val="en-US" w:eastAsia="zh-CN"/>
        </w:rPr>
      </w:pPr>
    </w:p>
    <w:p w14:paraId="11FF7F7D">
      <w:pPr>
        <w:rPr>
          <w:rFonts w:hint="eastAsia" w:ascii="Times New Roman" w:hAnsi="Times New Roman" w:cs="Times New Roman"/>
          <w:lang w:val="en-US" w:eastAsia="zh-CN"/>
        </w:rPr>
      </w:pPr>
    </w:p>
    <w:p w14:paraId="1CE178E7">
      <w:pPr>
        <w:rPr>
          <w:rFonts w:hint="eastAsia" w:ascii="Times New Roman" w:hAnsi="Times New Roman" w:cs="Times New Roman"/>
          <w:lang w:val="en-US" w:eastAsia="zh-CN"/>
        </w:rPr>
      </w:pPr>
    </w:p>
    <w:p w14:paraId="245EFE58">
      <w:pPr>
        <w:rPr>
          <w:rFonts w:hint="eastAsia" w:ascii="Times New Roman" w:hAnsi="Times New Roman" w:cs="Times New Roman"/>
          <w:lang w:val="en-US" w:eastAsia="zh-CN"/>
        </w:rPr>
      </w:pPr>
    </w:p>
    <w:p w14:paraId="4C3D64C3">
      <w:pPr>
        <w:rPr>
          <w:rFonts w:hint="eastAsia" w:ascii="Times New Roman" w:hAnsi="Times New Roman" w:cs="Times New Roman"/>
          <w:lang w:val="en-US" w:eastAsia="zh-CN"/>
        </w:rPr>
      </w:pPr>
    </w:p>
    <w:p w14:paraId="597B67F1">
      <w:pPr>
        <w:rPr>
          <w:rFonts w:hint="eastAsia" w:ascii="Times New Roman" w:hAnsi="Times New Roman" w:cs="Times New Roman"/>
          <w:lang w:val="en-US" w:eastAsia="zh-CN"/>
        </w:rPr>
      </w:pPr>
    </w:p>
    <w:p w14:paraId="380FA869">
      <w:pPr>
        <w:rPr>
          <w:rFonts w:hint="eastAsia" w:ascii="Times New Roman" w:hAnsi="Times New Roman" w:cs="Times New Roman"/>
          <w:lang w:val="en-US" w:eastAsia="zh-CN"/>
        </w:rPr>
      </w:pPr>
    </w:p>
    <w:p w14:paraId="0FDC8C35">
      <w:pPr>
        <w:rPr>
          <w:rFonts w:hint="eastAsia" w:ascii="Times New Roman" w:hAnsi="Times New Roman" w:cs="Times New Roman"/>
          <w:lang w:val="en-US" w:eastAsia="zh-CN"/>
        </w:rPr>
      </w:pPr>
    </w:p>
    <w:p w14:paraId="75D1A8FC">
      <w:pPr>
        <w:rPr>
          <w:rFonts w:hint="eastAsia" w:ascii="Times New Roman" w:hAnsi="Times New Roman" w:cs="Times New Roman"/>
          <w:lang w:val="en-US" w:eastAsia="zh-CN"/>
        </w:rPr>
      </w:pPr>
    </w:p>
    <w:p w14:paraId="7E5878EA">
      <w:pPr>
        <w:rPr>
          <w:rFonts w:hint="default" w:ascii="Times New Roman" w:hAnsi="Times New Roman" w:cs="Times New Roman"/>
          <w:lang w:val="en-US" w:eastAsia="zh-CN"/>
        </w:rPr>
      </w:pPr>
    </w:p>
    <w:tbl>
      <w:tblPr>
        <w:tblStyle w:val="11"/>
        <w:tblW w:w="9035"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07"/>
        <w:gridCol w:w="1807"/>
        <w:gridCol w:w="1807"/>
        <w:gridCol w:w="1807"/>
        <w:gridCol w:w="1807"/>
      </w:tblGrid>
      <w:tr w14:paraId="13BA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4" w:type="dxa"/>
            <w:tcBorders>
              <w:top w:val="single" w:color="000000" w:sz="12" w:space="0"/>
              <w:left w:val="nil"/>
              <w:bottom w:val="nil"/>
              <w:right w:val="nil"/>
            </w:tcBorders>
            <w:tcMar>
              <w:top w:w="60" w:type="dxa"/>
              <w:left w:w="80" w:type="dxa"/>
              <w:bottom w:w="60" w:type="dxa"/>
              <w:right w:w="80" w:type="dxa"/>
            </w:tcMar>
            <w:vAlign w:val="center"/>
          </w:tcPr>
          <w:p w14:paraId="11D787EF">
            <w:pPr>
              <w:keepNext w:val="0"/>
              <w:keepLines w:val="0"/>
              <w:suppressLineNumbers w:val="0"/>
              <w:spacing w:before="0" w:beforeAutospacing="0" w:after="0" w:afterAutospacing="0"/>
              <w:ind w:left="0" w:right="0"/>
              <w:jc w:val="center"/>
              <w:rPr>
                <w:rFonts w:hint="default"/>
              </w:rPr>
            </w:pPr>
          </w:p>
        </w:tc>
        <w:tc>
          <w:tcPr>
            <w:tcW w:w="1134" w:type="dxa"/>
            <w:gridSpan w:val="2"/>
            <w:tcBorders>
              <w:top w:val="single" w:color="000000" w:sz="12" w:space="0"/>
              <w:left w:val="nil"/>
              <w:bottom w:val="single" w:color="000000" w:sz="4" w:space="0"/>
              <w:right w:val="nil"/>
            </w:tcBorders>
            <w:tcMar>
              <w:top w:w="60" w:type="dxa"/>
              <w:left w:w="80" w:type="dxa"/>
              <w:bottom w:w="60" w:type="dxa"/>
              <w:right w:w="80" w:type="dxa"/>
            </w:tcMar>
            <w:vAlign w:val="center"/>
          </w:tcPr>
          <w:p w14:paraId="27A72EAA">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bCs/>
                <w:i w:val="0"/>
                <w:iCs w:val="0"/>
                <w:sz w:val="20"/>
                <w:szCs w:val="20"/>
              </w:rPr>
              <w:t>Full Cohort (n = 24,709)</w:t>
            </w:r>
          </w:p>
        </w:tc>
        <w:tc>
          <w:tcPr>
            <w:tcW w:w="1134" w:type="dxa"/>
            <w:gridSpan w:val="2"/>
            <w:tcBorders>
              <w:top w:val="single" w:color="000000" w:sz="12" w:space="0"/>
              <w:left w:val="nil"/>
              <w:bottom w:val="single" w:color="000000" w:sz="4" w:space="0"/>
              <w:right w:val="nil"/>
            </w:tcBorders>
            <w:tcMar>
              <w:top w:w="60" w:type="dxa"/>
              <w:left w:w="80" w:type="dxa"/>
              <w:bottom w:w="60" w:type="dxa"/>
              <w:right w:w="80" w:type="dxa"/>
            </w:tcMar>
            <w:vAlign w:val="center"/>
          </w:tcPr>
          <w:p w14:paraId="08CD8746">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bCs/>
                <w:i w:val="0"/>
                <w:iCs w:val="0"/>
                <w:sz w:val="20"/>
                <w:szCs w:val="20"/>
              </w:rPr>
              <w:t>OI-Observed Subset (n = 16,944)</w:t>
            </w:r>
          </w:p>
        </w:tc>
      </w:tr>
      <w:tr w14:paraId="4834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4" w:type="dxa"/>
            <w:tcBorders>
              <w:top w:val="nil"/>
              <w:left w:val="nil"/>
              <w:bottom w:val="single" w:color="000000" w:sz="4" w:space="0"/>
              <w:right w:val="nil"/>
            </w:tcBorders>
            <w:tcMar>
              <w:top w:w="60" w:type="dxa"/>
              <w:left w:w="80" w:type="dxa"/>
              <w:bottom w:w="60" w:type="dxa"/>
              <w:right w:w="80" w:type="dxa"/>
            </w:tcMar>
            <w:vAlign w:val="center"/>
          </w:tcPr>
          <w:p w14:paraId="01A9AA70">
            <w:pPr>
              <w:keepNext w:val="0"/>
              <w:keepLines w:val="0"/>
              <w:suppressLineNumbers w:val="0"/>
              <w:spacing w:before="0" w:beforeAutospacing="0" w:after="0" w:afterAutospacing="0"/>
              <w:ind w:left="0" w:right="0"/>
              <w:jc w:val="left"/>
              <w:rPr>
                <w:rFonts w:hint="default"/>
              </w:rPr>
            </w:pPr>
            <w:r>
              <w:rPr>
                <w:rFonts w:hint="default" w:ascii="Times New Roman" w:hAnsi="Times New Roman" w:eastAsia="Times New Roman" w:cs="Times New Roman"/>
                <w:b/>
                <w:bCs/>
                <w:i w:val="0"/>
                <w:iCs w:val="0"/>
                <w:sz w:val="20"/>
                <w:szCs w:val="20"/>
              </w:rPr>
              <w:t>AWRI Quartile</w:t>
            </w:r>
          </w:p>
        </w:tc>
        <w:tc>
          <w:tcPr>
            <w:tcW w:w="1134" w:type="dxa"/>
            <w:tcBorders>
              <w:top w:val="nil"/>
              <w:left w:val="nil"/>
              <w:bottom w:val="single" w:color="000000" w:sz="4" w:space="0"/>
              <w:right w:val="nil"/>
            </w:tcBorders>
            <w:tcMar>
              <w:top w:w="60" w:type="dxa"/>
              <w:left w:w="80" w:type="dxa"/>
              <w:bottom w:w="60" w:type="dxa"/>
              <w:right w:w="80" w:type="dxa"/>
            </w:tcMar>
            <w:vAlign w:val="center"/>
          </w:tcPr>
          <w:p w14:paraId="39BC010D">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bCs/>
                <w:i w:val="0"/>
                <w:iCs w:val="0"/>
                <w:sz w:val="20"/>
                <w:szCs w:val="20"/>
              </w:rPr>
              <w:t>HR (95% CI)</w:t>
            </w:r>
          </w:p>
        </w:tc>
        <w:tc>
          <w:tcPr>
            <w:tcW w:w="1134" w:type="dxa"/>
            <w:tcBorders>
              <w:top w:val="nil"/>
              <w:left w:val="nil"/>
              <w:bottom w:val="single" w:color="000000" w:sz="4" w:space="0"/>
              <w:right w:val="nil"/>
            </w:tcBorders>
            <w:tcMar>
              <w:top w:w="60" w:type="dxa"/>
              <w:left w:w="80" w:type="dxa"/>
              <w:bottom w:w="60" w:type="dxa"/>
              <w:right w:w="80" w:type="dxa"/>
            </w:tcMar>
            <w:vAlign w:val="center"/>
          </w:tcPr>
          <w:p w14:paraId="147C48F5">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bCs/>
                <w:i w:val="0"/>
                <w:iCs w:val="0"/>
                <w:sz w:val="20"/>
                <w:szCs w:val="20"/>
              </w:rPr>
              <w:t>P value</w:t>
            </w:r>
          </w:p>
        </w:tc>
        <w:tc>
          <w:tcPr>
            <w:tcW w:w="1134" w:type="dxa"/>
            <w:tcBorders>
              <w:top w:val="nil"/>
              <w:left w:val="nil"/>
              <w:bottom w:val="single" w:color="000000" w:sz="4" w:space="0"/>
              <w:right w:val="nil"/>
            </w:tcBorders>
            <w:tcMar>
              <w:top w:w="60" w:type="dxa"/>
              <w:left w:w="80" w:type="dxa"/>
              <w:bottom w:w="60" w:type="dxa"/>
              <w:right w:w="80" w:type="dxa"/>
            </w:tcMar>
            <w:vAlign w:val="center"/>
          </w:tcPr>
          <w:p w14:paraId="5F8CB6E3">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bCs/>
                <w:i w:val="0"/>
                <w:iCs w:val="0"/>
                <w:sz w:val="20"/>
                <w:szCs w:val="20"/>
              </w:rPr>
              <w:t>HR (95% CI)</w:t>
            </w:r>
          </w:p>
        </w:tc>
        <w:tc>
          <w:tcPr>
            <w:tcW w:w="1134" w:type="dxa"/>
            <w:tcBorders>
              <w:top w:val="nil"/>
              <w:left w:val="nil"/>
              <w:bottom w:val="single" w:color="000000" w:sz="4" w:space="0"/>
              <w:right w:val="nil"/>
            </w:tcBorders>
            <w:tcMar>
              <w:top w:w="60" w:type="dxa"/>
              <w:left w:w="80" w:type="dxa"/>
              <w:bottom w:w="60" w:type="dxa"/>
              <w:right w:w="80" w:type="dxa"/>
            </w:tcMar>
            <w:vAlign w:val="center"/>
          </w:tcPr>
          <w:p w14:paraId="33B4887C">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bCs/>
                <w:i w:val="0"/>
                <w:iCs w:val="0"/>
                <w:sz w:val="20"/>
                <w:szCs w:val="20"/>
              </w:rPr>
              <w:t>P value</w:t>
            </w:r>
          </w:p>
        </w:tc>
      </w:tr>
      <w:tr w14:paraId="33D0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4" w:type="dxa"/>
            <w:tcBorders>
              <w:top w:val="nil"/>
              <w:left w:val="nil"/>
              <w:bottom w:val="nil"/>
              <w:right w:val="nil"/>
            </w:tcBorders>
            <w:tcMar>
              <w:top w:w="60" w:type="dxa"/>
              <w:left w:w="80" w:type="dxa"/>
              <w:bottom w:w="60" w:type="dxa"/>
              <w:right w:w="80" w:type="dxa"/>
            </w:tcMar>
            <w:vAlign w:val="center"/>
          </w:tcPr>
          <w:p w14:paraId="4C21E465">
            <w:pPr>
              <w:keepNext w:val="0"/>
              <w:keepLines w:val="0"/>
              <w:suppressLineNumbers w:val="0"/>
              <w:spacing w:before="0" w:beforeAutospacing="0" w:after="0" w:afterAutospacing="0"/>
              <w:ind w:left="0" w:right="0"/>
              <w:jc w:val="left"/>
              <w:rPr>
                <w:rFonts w:hint="default"/>
              </w:rPr>
            </w:pPr>
            <w:r>
              <w:rPr>
                <w:rFonts w:hint="default" w:ascii="Times New Roman" w:hAnsi="Times New Roman" w:eastAsia="Times New Roman" w:cs="Times New Roman"/>
                <w:b w:val="0"/>
                <w:bCs w:val="0"/>
                <w:i w:val="0"/>
                <w:iCs w:val="0"/>
                <w:sz w:val="20"/>
                <w:szCs w:val="20"/>
              </w:rPr>
              <w:t>Q1 (Reference)</w:t>
            </w:r>
          </w:p>
        </w:tc>
        <w:tc>
          <w:tcPr>
            <w:tcW w:w="1134" w:type="dxa"/>
            <w:tcBorders>
              <w:top w:val="nil"/>
              <w:left w:val="nil"/>
              <w:bottom w:val="nil"/>
              <w:right w:val="nil"/>
            </w:tcBorders>
            <w:tcMar>
              <w:top w:w="60" w:type="dxa"/>
              <w:left w:w="80" w:type="dxa"/>
              <w:bottom w:w="60" w:type="dxa"/>
              <w:right w:w="80" w:type="dxa"/>
            </w:tcMar>
            <w:vAlign w:val="center"/>
          </w:tcPr>
          <w:p w14:paraId="0CDE5293">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Reference</w:t>
            </w:r>
          </w:p>
        </w:tc>
        <w:tc>
          <w:tcPr>
            <w:tcW w:w="1134" w:type="dxa"/>
            <w:tcBorders>
              <w:top w:val="nil"/>
              <w:left w:val="nil"/>
              <w:bottom w:val="nil"/>
              <w:right w:val="nil"/>
            </w:tcBorders>
            <w:tcMar>
              <w:top w:w="60" w:type="dxa"/>
              <w:left w:w="80" w:type="dxa"/>
              <w:bottom w:w="60" w:type="dxa"/>
              <w:right w:w="80" w:type="dxa"/>
            </w:tcMar>
            <w:vAlign w:val="center"/>
          </w:tcPr>
          <w:p w14:paraId="032480E7">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w:t>
            </w:r>
          </w:p>
        </w:tc>
        <w:tc>
          <w:tcPr>
            <w:tcW w:w="1134" w:type="dxa"/>
            <w:tcBorders>
              <w:top w:val="nil"/>
              <w:left w:val="nil"/>
              <w:bottom w:val="nil"/>
              <w:right w:val="nil"/>
            </w:tcBorders>
            <w:tcMar>
              <w:top w:w="60" w:type="dxa"/>
              <w:left w:w="80" w:type="dxa"/>
              <w:bottom w:w="60" w:type="dxa"/>
              <w:right w:w="80" w:type="dxa"/>
            </w:tcMar>
            <w:vAlign w:val="center"/>
          </w:tcPr>
          <w:p w14:paraId="534955B9">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Reference</w:t>
            </w:r>
          </w:p>
        </w:tc>
        <w:tc>
          <w:tcPr>
            <w:tcW w:w="1134" w:type="dxa"/>
            <w:tcBorders>
              <w:top w:val="nil"/>
              <w:left w:val="nil"/>
              <w:bottom w:val="nil"/>
              <w:right w:val="nil"/>
            </w:tcBorders>
            <w:tcMar>
              <w:top w:w="60" w:type="dxa"/>
              <w:left w:w="80" w:type="dxa"/>
              <w:bottom w:w="60" w:type="dxa"/>
              <w:right w:w="80" w:type="dxa"/>
            </w:tcMar>
            <w:vAlign w:val="center"/>
          </w:tcPr>
          <w:p w14:paraId="4A4A1915">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w:t>
            </w:r>
          </w:p>
        </w:tc>
      </w:tr>
      <w:tr w14:paraId="722F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41C17A19">
            <w:pPr>
              <w:keepNext w:val="0"/>
              <w:keepLines w:val="0"/>
              <w:suppressLineNumbers w:val="0"/>
              <w:spacing w:before="0" w:beforeAutospacing="0" w:after="0" w:afterAutospacing="0"/>
              <w:ind w:left="0" w:right="0"/>
              <w:jc w:val="left"/>
              <w:rPr>
                <w:rFonts w:hint="default"/>
              </w:rPr>
            </w:pPr>
            <w:r>
              <w:rPr>
                <w:rFonts w:hint="default" w:ascii="Times New Roman" w:hAnsi="Times New Roman" w:eastAsia="Times New Roman" w:cs="Times New Roman"/>
                <w:b w:val="0"/>
                <w:bCs w:val="0"/>
                <w:i w:val="0"/>
                <w:iCs w:val="0"/>
                <w:sz w:val="20"/>
                <w:szCs w:val="20"/>
              </w:rPr>
              <w:t>Q2</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55AF442B">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1.13 (1.02–1.25)</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32CDB795">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0.02</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4D3E7B08">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1.10 (0.98–1.24)</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4CD852C7">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0.12</w:t>
            </w:r>
          </w:p>
        </w:tc>
      </w:tr>
      <w:tr w14:paraId="03DD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trPr>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735B8453">
            <w:pPr>
              <w:keepNext w:val="0"/>
              <w:keepLines w:val="0"/>
              <w:suppressLineNumbers w:val="0"/>
              <w:spacing w:before="0" w:beforeAutospacing="0" w:after="0" w:afterAutospacing="0"/>
              <w:ind w:left="0" w:right="0"/>
              <w:jc w:val="left"/>
              <w:rPr>
                <w:rFonts w:hint="default"/>
              </w:rPr>
            </w:pPr>
            <w:r>
              <w:rPr>
                <w:rFonts w:hint="default" w:ascii="Times New Roman" w:hAnsi="Times New Roman" w:eastAsia="Times New Roman" w:cs="Times New Roman"/>
                <w:b w:val="0"/>
                <w:bCs w:val="0"/>
                <w:i w:val="0"/>
                <w:iCs w:val="0"/>
                <w:sz w:val="20"/>
                <w:szCs w:val="20"/>
              </w:rPr>
              <w:t>Q3</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4D3C41FB">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1.22 (1.10–1.35)</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1879A4D1">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&lt; 0.001</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22F6ED83">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1.24 (1.09–1.41)</w:t>
            </w:r>
          </w:p>
        </w:tc>
        <w:tc>
          <w:tcPr>
            <w:tcW w:w="1134" w:type="dxa"/>
            <w:tcBorders>
              <w:top w:val="nil"/>
              <w:left w:val="nil"/>
              <w:bottom w:val="nil"/>
              <w:right w:val="nil"/>
            </w:tcBorders>
            <w:shd w:val="clear" w:color="auto" w:fill="auto"/>
            <w:tcMar>
              <w:top w:w="60" w:type="dxa"/>
              <w:left w:w="80" w:type="dxa"/>
              <w:bottom w:w="60" w:type="dxa"/>
              <w:right w:w="80" w:type="dxa"/>
            </w:tcMar>
            <w:vAlign w:val="center"/>
          </w:tcPr>
          <w:p w14:paraId="32D83250">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0.001</w:t>
            </w:r>
          </w:p>
        </w:tc>
      </w:tr>
      <w:tr w14:paraId="60AA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34" w:type="dxa"/>
            <w:tcBorders>
              <w:top w:val="nil"/>
              <w:left w:val="nil"/>
              <w:bottom w:val="single" w:color="auto" w:sz="12" w:space="0"/>
              <w:right w:val="nil"/>
            </w:tcBorders>
            <w:shd w:val="clear" w:color="auto" w:fill="auto"/>
            <w:tcMar>
              <w:top w:w="60" w:type="dxa"/>
              <w:left w:w="80" w:type="dxa"/>
              <w:bottom w:w="60" w:type="dxa"/>
              <w:right w:w="80" w:type="dxa"/>
            </w:tcMar>
            <w:vAlign w:val="center"/>
          </w:tcPr>
          <w:p w14:paraId="40790B4D">
            <w:pPr>
              <w:keepNext w:val="0"/>
              <w:keepLines w:val="0"/>
              <w:suppressLineNumbers w:val="0"/>
              <w:spacing w:before="0" w:beforeAutospacing="0" w:after="0" w:afterAutospacing="0"/>
              <w:ind w:left="0" w:right="0"/>
              <w:jc w:val="left"/>
              <w:rPr>
                <w:rFonts w:hint="default"/>
              </w:rPr>
            </w:pPr>
            <w:r>
              <w:rPr>
                <w:rFonts w:hint="default" w:ascii="Times New Roman" w:hAnsi="Times New Roman" w:eastAsia="Times New Roman" w:cs="Times New Roman"/>
                <w:b w:val="0"/>
                <w:bCs w:val="0"/>
                <w:i w:val="0"/>
                <w:iCs w:val="0"/>
                <w:sz w:val="20"/>
                <w:szCs w:val="20"/>
              </w:rPr>
              <w:t>Q4</w:t>
            </w:r>
          </w:p>
        </w:tc>
        <w:tc>
          <w:tcPr>
            <w:tcW w:w="1134" w:type="dxa"/>
            <w:tcBorders>
              <w:top w:val="nil"/>
              <w:left w:val="nil"/>
              <w:bottom w:val="single" w:color="auto" w:sz="12" w:space="0"/>
              <w:right w:val="nil"/>
            </w:tcBorders>
            <w:shd w:val="clear" w:color="auto" w:fill="auto"/>
            <w:tcMar>
              <w:top w:w="60" w:type="dxa"/>
              <w:left w:w="80" w:type="dxa"/>
              <w:bottom w:w="60" w:type="dxa"/>
              <w:right w:w="80" w:type="dxa"/>
            </w:tcMar>
            <w:vAlign w:val="center"/>
          </w:tcPr>
          <w:p w14:paraId="1F685AA0">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1.41 (1.27–1.57)</w:t>
            </w:r>
          </w:p>
        </w:tc>
        <w:tc>
          <w:tcPr>
            <w:tcW w:w="1134" w:type="dxa"/>
            <w:tcBorders>
              <w:top w:val="nil"/>
              <w:left w:val="nil"/>
              <w:bottom w:val="single" w:color="auto" w:sz="12" w:space="0"/>
              <w:right w:val="nil"/>
            </w:tcBorders>
            <w:shd w:val="clear" w:color="auto" w:fill="auto"/>
            <w:tcMar>
              <w:top w:w="60" w:type="dxa"/>
              <w:left w:w="80" w:type="dxa"/>
              <w:bottom w:w="60" w:type="dxa"/>
              <w:right w:w="80" w:type="dxa"/>
            </w:tcMar>
            <w:vAlign w:val="center"/>
          </w:tcPr>
          <w:p w14:paraId="1FEC3024">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&lt; 0.001</w:t>
            </w:r>
          </w:p>
        </w:tc>
        <w:tc>
          <w:tcPr>
            <w:tcW w:w="1134" w:type="dxa"/>
            <w:tcBorders>
              <w:top w:val="nil"/>
              <w:left w:val="nil"/>
              <w:bottom w:val="single" w:color="auto" w:sz="12" w:space="0"/>
              <w:right w:val="nil"/>
            </w:tcBorders>
            <w:shd w:val="clear" w:color="auto" w:fill="auto"/>
            <w:tcMar>
              <w:top w:w="60" w:type="dxa"/>
              <w:left w:w="80" w:type="dxa"/>
              <w:bottom w:w="60" w:type="dxa"/>
              <w:right w:w="80" w:type="dxa"/>
            </w:tcMar>
            <w:vAlign w:val="center"/>
          </w:tcPr>
          <w:p w14:paraId="58443F3B">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1.40 (1.23–1.59)</w:t>
            </w:r>
          </w:p>
        </w:tc>
        <w:tc>
          <w:tcPr>
            <w:tcW w:w="1134" w:type="dxa"/>
            <w:tcBorders>
              <w:top w:val="nil"/>
              <w:left w:val="nil"/>
              <w:bottom w:val="single" w:color="auto" w:sz="12" w:space="0"/>
              <w:right w:val="nil"/>
            </w:tcBorders>
            <w:shd w:val="clear" w:color="auto" w:fill="auto"/>
            <w:tcMar>
              <w:top w:w="60" w:type="dxa"/>
              <w:left w:w="80" w:type="dxa"/>
              <w:bottom w:w="60" w:type="dxa"/>
              <w:right w:w="80" w:type="dxa"/>
            </w:tcMar>
            <w:vAlign w:val="center"/>
          </w:tcPr>
          <w:p w14:paraId="02D243D2">
            <w:pPr>
              <w:keepNext w:val="0"/>
              <w:keepLines w:val="0"/>
              <w:suppressLineNumbers w:val="0"/>
              <w:spacing w:before="0" w:beforeAutospacing="0" w:after="0" w:afterAutospacing="0"/>
              <w:ind w:left="0" w:right="0"/>
              <w:jc w:val="center"/>
              <w:rPr>
                <w:rFonts w:hint="default"/>
              </w:rPr>
            </w:pPr>
            <w:r>
              <w:rPr>
                <w:rFonts w:hint="default" w:ascii="Times New Roman" w:hAnsi="Times New Roman" w:eastAsia="Times New Roman" w:cs="Times New Roman"/>
                <w:b w:val="0"/>
                <w:bCs w:val="0"/>
                <w:i w:val="0"/>
                <w:iCs w:val="0"/>
                <w:sz w:val="20"/>
                <w:szCs w:val="20"/>
              </w:rPr>
              <w:t>&lt; 0.001</w:t>
            </w:r>
          </w:p>
        </w:tc>
      </w:tr>
    </w:tbl>
    <w:p w14:paraId="17C7F1B9">
      <w:pPr>
        <w:rPr>
          <w:rFonts w:hint="eastAsia" w:ascii="Times New Roman" w:hAnsi="Times New Roman" w:cs="Times New Roman"/>
          <w:lang w:val="en-US" w:eastAsia="zh-CN"/>
        </w:rPr>
      </w:pPr>
    </w:p>
    <w:p w14:paraId="46BEE662">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Supplementary Table S6. Sensitivity analysis of the association between AWRI quartiles and in-hospital mortality restricted to patients with directly observed oxygenation index values.</w:t>
      </w:r>
    </w:p>
    <w:p w14:paraId="6B844FE2">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Hazard ratios (HR) and 95% confidence intervals (CI) were derived from the fully adjusted Cox proportional hazards model (Model 3) using identical covariate sets in both analyses. The observed-only subset comprised 16,944 patients whose oxygenation index values were directly measured. Q1 served as the reference category.</w:t>
      </w:r>
    </w:p>
    <w:p w14:paraId="5F03716D">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Abbreviations: AWRI, Age-Weighted Red Cell Distribution Width Index; CI, confidence interval; HR, hazard ratio; OI, oxygenation index (PaO₂/FiO₂).</w:t>
      </w:r>
    </w:p>
    <w:tbl>
      <w:tblPr>
        <w:tblStyle w:val="11"/>
        <w:tblW w:w="906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87"/>
        <w:gridCol w:w="2800"/>
        <w:gridCol w:w="4573"/>
      </w:tblGrid>
      <w:tr w14:paraId="2A95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tcBorders>
              <w:top w:val="single" w:color="000000" w:sz="12" w:space="0"/>
              <w:left w:val="nil"/>
              <w:bottom w:val="single" w:color="000000" w:sz="6" w:space="0"/>
              <w:right w:val="nil"/>
            </w:tcBorders>
            <w:tcMar>
              <w:top w:w="60" w:type="dxa"/>
              <w:left w:w="100" w:type="dxa"/>
              <w:bottom w:w="60" w:type="dxa"/>
              <w:right w:w="100" w:type="dxa"/>
            </w:tcMar>
            <w:vAlign w:val="center"/>
          </w:tcPr>
          <w:p w14:paraId="687AD47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Model</w:t>
            </w:r>
          </w:p>
        </w:tc>
        <w:tc>
          <w:tcPr>
            <w:tcW w:w="2800" w:type="dxa"/>
            <w:tcBorders>
              <w:top w:val="single" w:color="000000" w:sz="12" w:space="0"/>
              <w:left w:val="nil"/>
              <w:bottom w:val="single" w:color="000000" w:sz="6" w:space="0"/>
              <w:right w:val="nil"/>
            </w:tcBorders>
            <w:tcMar>
              <w:top w:w="60" w:type="dxa"/>
              <w:left w:w="100" w:type="dxa"/>
              <w:bottom w:w="60" w:type="dxa"/>
              <w:right w:w="100" w:type="dxa"/>
            </w:tcMar>
            <w:vAlign w:val="center"/>
          </w:tcPr>
          <w:p w14:paraId="0A04D662">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Hyperparameter</w:t>
            </w:r>
          </w:p>
        </w:tc>
        <w:tc>
          <w:tcPr>
            <w:tcW w:w="4573" w:type="dxa"/>
            <w:tcBorders>
              <w:top w:val="single" w:color="000000" w:sz="12" w:space="0"/>
              <w:left w:val="nil"/>
              <w:bottom w:val="single" w:color="000000" w:sz="6" w:space="0"/>
              <w:right w:val="nil"/>
            </w:tcBorders>
            <w:tcMar>
              <w:top w:w="60" w:type="dxa"/>
              <w:left w:w="100" w:type="dxa"/>
              <w:bottom w:w="60" w:type="dxa"/>
              <w:right w:w="100" w:type="dxa"/>
            </w:tcMar>
            <w:vAlign w:val="center"/>
          </w:tcPr>
          <w:p w14:paraId="07B36F77">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Candidate values</w:t>
            </w:r>
          </w:p>
        </w:tc>
      </w:tr>
      <w:tr w14:paraId="352C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restart"/>
            <w:tcBorders>
              <w:top w:val="nil"/>
              <w:left w:val="nil"/>
              <w:bottom w:val="nil"/>
              <w:right w:val="nil"/>
            </w:tcBorders>
            <w:tcMar>
              <w:top w:w="60" w:type="dxa"/>
              <w:left w:w="100" w:type="dxa"/>
              <w:bottom w:w="60" w:type="dxa"/>
              <w:right w:w="100" w:type="dxa"/>
            </w:tcMar>
            <w:vAlign w:val="center"/>
          </w:tcPr>
          <w:p w14:paraId="3000B00A">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Logistic Regression</w:t>
            </w:r>
          </w:p>
        </w:tc>
        <w:tc>
          <w:tcPr>
            <w:tcW w:w="2800" w:type="dxa"/>
            <w:tcBorders>
              <w:top w:val="nil"/>
              <w:left w:val="nil"/>
              <w:bottom w:val="nil"/>
              <w:right w:val="nil"/>
            </w:tcBorders>
            <w:tcMar>
              <w:top w:w="60" w:type="dxa"/>
              <w:left w:w="100" w:type="dxa"/>
              <w:bottom w:w="60" w:type="dxa"/>
              <w:right w:w="100" w:type="dxa"/>
            </w:tcMar>
            <w:vAlign w:val="center"/>
          </w:tcPr>
          <w:p w14:paraId="26605EB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C</w:t>
            </w:r>
          </w:p>
        </w:tc>
        <w:tc>
          <w:tcPr>
            <w:tcW w:w="4573" w:type="dxa"/>
            <w:tcBorders>
              <w:top w:val="nil"/>
              <w:left w:val="nil"/>
              <w:bottom w:val="nil"/>
              <w:right w:val="nil"/>
            </w:tcBorders>
            <w:tcMar>
              <w:top w:w="60" w:type="dxa"/>
              <w:left w:w="100" w:type="dxa"/>
              <w:bottom w:w="60" w:type="dxa"/>
              <w:right w:w="100" w:type="dxa"/>
            </w:tcMar>
            <w:vAlign w:val="center"/>
          </w:tcPr>
          <w:p w14:paraId="20F57863">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0.1, 1, 10</w:t>
            </w:r>
          </w:p>
        </w:tc>
      </w:tr>
      <w:tr w14:paraId="527D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1769FF6D">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70BB18EC">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penalty</w:t>
            </w:r>
          </w:p>
        </w:tc>
        <w:tc>
          <w:tcPr>
            <w:tcW w:w="4573" w:type="dxa"/>
            <w:tcBorders>
              <w:top w:val="nil"/>
              <w:left w:val="nil"/>
              <w:bottom w:val="nil"/>
              <w:right w:val="nil"/>
            </w:tcBorders>
            <w:tcMar>
              <w:top w:w="60" w:type="dxa"/>
              <w:left w:w="100" w:type="dxa"/>
              <w:bottom w:w="60" w:type="dxa"/>
              <w:right w:w="100" w:type="dxa"/>
            </w:tcMar>
            <w:vAlign w:val="center"/>
          </w:tcPr>
          <w:p w14:paraId="71C8F91C">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l2</w:t>
            </w:r>
          </w:p>
        </w:tc>
      </w:tr>
      <w:tr w14:paraId="4E6C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1EAB02DE">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5756E3DF">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solver</w:t>
            </w:r>
          </w:p>
        </w:tc>
        <w:tc>
          <w:tcPr>
            <w:tcW w:w="4573" w:type="dxa"/>
            <w:tcBorders>
              <w:top w:val="nil"/>
              <w:left w:val="nil"/>
              <w:bottom w:val="nil"/>
              <w:right w:val="nil"/>
            </w:tcBorders>
            <w:tcMar>
              <w:top w:w="60" w:type="dxa"/>
              <w:left w:w="100" w:type="dxa"/>
              <w:bottom w:w="60" w:type="dxa"/>
              <w:right w:w="100" w:type="dxa"/>
            </w:tcMar>
            <w:vAlign w:val="center"/>
          </w:tcPr>
          <w:p w14:paraId="36FE51C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lbfgs, saga</w:t>
            </w:r>
          </w:p>
        </w:tc>
      </w:tr>
      <w:tr w14:paraId="7E44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251F2AE9">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single" w:color="000000" w:sz="6" w:space="0"/>
              <w:right w:val="nil"/>
            </w:tcBorders>
            <w:tcMar>
              <w:top w:w="60" w:type="dxa"/>
              <w:left w:w="100" w:type="dxa"/>
              <w:bottom w:w="60" w:type="dxa"/>
              <w:right w:w="100" w:type="dxa"/>
            </w:tcMar>
            <w:vAlign w:val="center"/>
          </w:tcPr>
          <w:p w14:paraId="562FB227">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class_weight</w:t>
            </w:r>
          </w:p>
        </w:tc>
        <w:tc>
          <w:tcPr>
            <w:tcW w:w="4573" w:type="dxa"/>
            <w:tcBorders>
              <w:top w:val="nil"/>
              <w:left w:val="nil"/>
              <w:bottom w:val="single" w:color="000000" w:sz="6" w:space="0"/>
              <w:right w:val="nil"/>
            </w:tcBorders>
            <w:tcMar>
              <w:top w:w="60" w:type="dxa"/>
              <w:left w:w="100" w:type="dxa"/>
              <w:bottom w:w="60" w:type="dxa"/>
              <w:right w:w="100" w:type="dxa"/>
            </w:tcMar>
            <w:vAlign w:val="center"/>
          </w:tcPr>
          <w:p w14:paraId="31E745D7">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balanced, None</w:t>
            </w:r>
          </w:p>
        </w:tc>
      </w:tr>
      <w:tr w14:paraId="51D3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restart"/>
            <w:tcBorders>
              <w:top w:val="nil"/>
              <w:left w:val="nil"/>
              <w:bottom w:val="nil"/>
              <w:right w:val="nil"/>
            </w:tcBorders>
            <w:tcMar>
              <w:top w:w="60" w:type="dxa"/>
              <w:left w:w="100" w:type="dxa"/>
              <w:bottom w:w="60" w:type="dxa"/>
              <w:right w:w="100" w:type="dxa"/>
            </w:tcMar>
            <w:vAlign w:val="center"/>
          </w:tcPr>
          <w:p w14:paraId="4656D4B2">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Random Forest</w:t>
            </w:r>
          </w:p>
        </w:tc>
        <w:tc>
          <w:tcPr>
            <w:tcW w:w="2800" w:type="dxa"/>
            <w:tcBorders>
              <w:top w:val="nil"/>
              <w:left w:val="nil"/>
              <w:bottom w:val="nil"/>
              <w:right w:val="nil"/>
            </w:tcBorders>
            <w:tcMar>
              <w:top w:w="60" w:type="dxa"/>
              <w:left w:w="100" w:type="dxa"/>
              <w:bottom w:w="60" w:type="dxa"/>
              <w:right w:w="100" w:type="dxa"/>
            </w:tcMar>
            <w:vAlign w:val="center"/>
          </w:tcPr>
          <w:p w14:paraId="6AC10EC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n_estimators</w:t>
            </w:r>
          </w:p>
        </w:tc>
        <w:tc>
          <w:tcPr>
            <w:tcW w:w="4573" w:type="dxa"/>
            <w:tcBorders>
              <w:top w:val="nil"/>
              <w:left w:val="nil"/>
              <w:bottom w:val="nil"/>
              <w:right w:val="nil"/>
            </w:tcBorders>
            <w:tcMar>
              <w:top w:w="60" w:type="dxa"/>
              <w:left w:w="100" w:type="dxa"/>
              <w:bottom w:w="60" w:type="dxa"/>
              <w:right w:w="100" w:type="dxa"/>
            </w:tcMar>
            <w:vAlign w:val="center"/>
          </w:tcPr>
          <w:p w14:paraId="3C8EF65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50, 100</w:t>
            </w:r>
          </w:p>
        </w:tc>
      </w:tr>
      <w:tr w14:paraId="6712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27F25C45">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2B5DA7E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max_depth</w:t>
            </w:r>
          </w:p>
        </w:tc>
        <w:tc>
          <w:tcPr>
            <w:tcW w:w="4573" w:type="dxa"/>
            <w:tcBorders>
              <w:top w:val="nil"/>
              <w:left w:val="nil"/>
              <w:bottom w:val="nil"/>
              <w:right w:val="nil"/>
            </w:tcBorders>
            <w:tcMar>
              <w:top w:w="60" w:type="dxa"/>
              <w:left w:w="100" w:type="dxa"/>
              <w:bottom w:w="60" w:type="dxa"/>
              <w:right w:w="100" w:type="dxa"/>
            </w:tcMar>
            <w:vAlign w:val="center"/>
          </w:tcPr>
          <w:p w14:paraId="39A1D69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5, 10, 15</w:t>
            </w:r>
          </w:p>
        </w:tc>
      </w:tr>
      <w:tr w14:paraId="690B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13D9D5A9">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0E7F97F3">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min_samples_split</w:t>
            </w:r>
          </w:p>
        </w:tc>
        <w:tc>
          <w:tcPr>
            <w:tcW w:w="4573" w:type="dxa"/>
            <w:tcBorders>
              <w:top w:val="nil"/>
              <w:left w:val="nil"/>
              <w:bottom w:val="nil"/>
              <w:right w:val="nil"/>
            </w:tcBorders>
            <w:tcMar>
              <w:top w:w="60" w:type="dxa"/>
              <w:left w:w="100" w:type="dxa"/>
              <w:bottom w:w="60" w:type="dxa"/>
              <w:right w:w="100" w:type="dxa"/>
            </w:tcMar>
            <w:vAlign w:val="center"/>
          </w:tcPr>
          <w:p w14:paraId="0B46C31D">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5, 10, 20</w:t>
            </w:r>
          </w:p>
        </w:tc>
      </w:tr>
      <w:tr w14:paraId="1C12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10B6B601">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79D421E7">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min_samples_leaf</w:t>
            </w:r>
          </w:p>
        </w:tc>
        <w:tc>
          <w:tcPr>
            <w:tcW w:w="4573" w:type="dxa"/>
            <w:tcBorders>
              <w:top w:val="nil"/>
              <w:left w:val="nil"/>
              <w:bottom w:val="nil"/>
              <w:right w:val="nil"/>
            </w:tcBorders>
            <w:tcMar>
              <w:top w:w="60" w:type="dxa"/>
              <w:left w:w="100" w:type="dxa"/>
              <w:bottom w:w="60" w:type="dxa"/>
              <w:right w:w="100" w:type="dxa"/>
            </w:tcMar>
            <w:vAlign w:val="center"/>
          </w:tcPr>
          <w:p w14:paraId="69BE2CD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2, 5, 10</w:t>
            </w:r>
          </w:p>
        </w:tc>
      </w:tr>
      <w:tr w14:paraId="37CE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3EF15BA0">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45AF80B0">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max_features</w:t>
            </w:r>
          </w:p>
        </w:tc>
        <w:tc>
          <w:tcPr>
            <w:tcW w:w="4573" w:type="dxa"/>
            <w:tcBorders>
              <w:top w:val="nil"/>
              <w:left w:val="nil"/>
              <w:bottom w:val="nil"/>
              <w:right w:val="nil"/>
            </w:tcBorders>
            <w:tcMar>
              <w:top w:w="60" w:type="dxa"/>
              <w:left w:w="100" w:type="dxa"/>
              <w:bottom w:w="60" w:type="dxa"/>
              <w:right w:w="100" w:type="dxa"/>
            </w:tcMar>
            <w:vAlign w:val="center"/>
          </w:tcPr>
          <w:p w14:paraId="51D3826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sqrt, 0.5</w:t>
            </w:r>
          </w:p>
        </w:tc>
      </w:tr>
      <w:tr w14:paraId="620D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2CFD8367">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single" w:color="000000" w:sz="6" w:space="0"/>
              <w:right w:val="nil"/>
            </w:tcBorders>
            <w:tcMar>
              <w:top w:w="60" w:type="dxa"/>
              <w:left w:w="100" w:type="dxa"/>
              <w:bottom w:w="60" w:type="dxa"/>
              <w:right w:w="100" w:type="dxa"/>
            </w:tcMar>
            <w:vAlign w:val="center"/>
          </w:tcPr>
          <w:p w14:paraId="0BCE75ED">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class_weight</w:t>
            </w:r>
          </w:p>
        </w:tc>
        <w:tc>
          <w:tcPr>
            <w:tcW w:w="4573" w:type="dxa"/>
            <w:tcBorders>
              <w:top w:val="nil"/>
              <w:left w:val="nil"/>
              <w:bottom w:val="single" w:color="000000" w:sz="6" w:space="0"/>
              <w:right w:val="nil"/>
            </w:tcBorders>
            <w:tcMar>
              <w:top w:w="60" w:type="dxa"/>
              <w:left w:w="100" w:type="dxa"/>
              <w:bottom w:w="60" w:type="dxa"/>
              <w:right w:w="100" w:type="dxa"/>
            </w:tcMar>
            <w:vAlign w:val="center"/>
          </w:tcPr>
          <w:p w14:paraId="5AD25FB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balanced, balanced_subsample, None</w:t>
            </w:r>
          </w:p>
        </w:tc>
      </w:tr>
      <w:tr w14:paraId="037D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restart"/>
            <w:tcBorders>
              <w:top w:val="nil"/>
              <w:left w:val="nil"/>
              <w:bottom w:val="nil"/>
              <w:right w:val="nil"/>
            </w:tcBorders>
            <w:tcMar>
              <w:top w:w="60" w:type="dxa"/>
              <w:left w:w="100" w:type="dxa"/>
              <w:bottom w:w="60" w:type="dxa"/>
              <w:right w:w="100" w:type="dxa"/>
            </w:tcMar>
            <w:vAlign w:val="center"/>
          </w:tcPr>
          <w:p w14:paraId="395A191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XGBoost</w:t>
            </w:r>
          </w:p>
        </w:tc>
        <w:tc>
          <w:tcPr>
            <w:tcW w:w="2800" w:type="dxa"/>
            <w:tcBorders>
              <w:top w:val="nil"/>
              <w:left w:val="nil"/>
              <w:bottom w:val="nil"/>
              <w:right w:val="nil"/>
            </w:tcBorders>
            <w:tcMar>
              <w:top w:w="60" w:type="dxa"/>
              <w:left w:w="100" w:type="dxa"/>
              <w:bottom w:w="60" w:type="dxa"/>
              <w:right w:w="100" w:type="dxa"/>
            </w:tcMar>
            <w:vAlign w:val="center"/>
          </w:tcPr>
          <w:p w14:paraId="046A939B">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learning_rate</w:t>
            </w:r>
          </w:p>
        </w:tc>
        <w:tc>
          <w:tcPr>
            <w:tcW w:w="4573" w:type="dxa"/>
            <w:tcBorders>
              <w:top w:val="nil"/>
              <w:left w:val="nil"/>
              <w:bottom w:val="nil"/>
              <w:right w:val="nil"/>
            </w:tcBorders>
            <w:tcMar>
              <w:top w:w="60" w:type="dxa"/>
              <w:left w:w="100" w:type="dxa"/>
              <w:bottom w:w="60" w:type="dxa"/>
              <w:right w:w="100" w:type="dxa"/>
            </w:tcMar>
            <w:vAlign w:val="center"/>
          </w:tcPr>
          <w:p w14:paraId="301B9B81">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0.01, 0.1, 0.3</w:t>
            </w:r>
          </w:p>
        </w:tc>
      </w:tr>
      <w:tr w14:paraId="4787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52DA984E">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424F8A4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max_depth</w:t>
            </w:r>
          </w:p>
        </w:tc>
        <w:tc>
          <w:tcPr>
            <w:tcW w:w="4573" w:type="dxa"/>
            <w:tcBorders>
              <w:top w:val="nil"/>
              <w:left w:val="nil"/>
              <w:bottom w:val="nil"/>
              <w:right w:val="nil"/>
            </w:tcBorders>
            <w:tcMar>
              <w:top w:w="60" w:type="dxa"/>
              <w:left w:w="100" w:type="dxa"/>
              <w:bottom w:w="60" w:type="dxa"/>
              <w:right w:w="100" w:type="dxa"/>
            </w:tcMar>
            <w:vAlign w:val="center"/>
          </w:tcPr>
          <w:p w14:paraId="19B121F8">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3, 5, 7</w:t>
            </w:r>
          </w:p>
        </w:tc>
      </w:tr>
      <w:tr w14:paraId="7C79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31BCBBB5">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7D3D38B2">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n_estimators</w:t>
            </w:r>
          </w:p>
        </w:tc>
        <w:tc>
          <w:tcPr>
            <w:tcW w:w="4573" w:type="dxa"/>
            <w:tcBorders>
              <w:top w:val="nil"/>
              <w:left w:val="nil"/>
              <w:bottom w:val="nil"/>
              <w:right w:val="nil"/>
            </w:tcBorders>
            <w:tcMar>
              <w:top w:w="60" w:type="dxa"/>
              <w:left w:w="100" w:type="dxa"/>
              <w:bottom w:w="60" w:type="dxa"/>
              <w:right w:w="100" w:type="dxa"/>
            </w:tcMar>
            <w:vAlign w:val="center"/>
          </w:tcPr>
          <w:p w14:paraId="2580ADD6">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100, 200</w:t>
            </w:r>
          </w:p>
        </w:tc>
      </w:tr>
      <w:tr w14:paraId="0834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2D49F0FA">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single" w:color="000000" w:sz="6" w:space="0"/>
              <w:right w:val="nil"/>
            </w:tcBorders>
            <w:tcMar>
              <w:top w:w="60" w:type="dxa"/>
              <w:left w:w="100" w:type="dxa"/>
              <w:bottom w:w="60" w:type="dxa"/>
              <w:right w:w="100" w:type="dxa"/>
            </w:tcMar>
            <w:vAlign w:val="center"/>
          </w:tcPr>
          <w:p w14:paraId="5DFB0E03">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scale_pos_weight</w:t>
            </w:r>
          </w:p>
        </w:tc>
        <w:tc>
          <w:tcPr>
            <w:tcW w:w="4573" w:type="dxa"/>
            <w:tcBorders>
              <w:top w:val="nil"/>
              <w:left w:val="nil"/>
              <w:bottom w:val="single" w:color="000000" w:sz="6" w:space="0"/>
              <w:right w:val="nil"/>
            </w:tcBorders>
            <w:tcMar>
              <w:top w:w="60" w:type="dxa"/>
              <w:left w:w="100" w:type="dxa"/>
              <w:bottom w:w="60" w:type="dxa"/>
              <w:right w:w="100" w:type="dxa"/>
            </w:tcMar>
            <w:vAlign w:val="center"/>
          </w:tcPr>
          <w:p w14:paraId="7A1B4D3D">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1, 5, 10</w:t>
            </w:r>
          </w:p>
        </w:tc>
      </w:tr>
      <w:tr w14:paraId="435A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restart"/>
            <w:tcBorders>
              <w:top w:val="nil"/>
              <w:left w:val="nil"/>
              <w:bottom w:val="nil"/>
              <w:right w:val="nil"/>
            </w:tcBorders>
            <w:tcMar>
              <w:top w:w="60" w:type="dxa"/>
              <w:left w:w="100" w:type="dxa"/>
              <w:bottom w:w="60" w:type="dxa"/>
              <w:right w:w="100" w:type="dxa"/>
            </w:tcMar>
            <w:vAlign w:val="center"/>
          </w:tcPr>
          <w:p w14:paraId="36CBA49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LightGBM</w:t>
            </w:r>
          </w:p>
        </w:tc>
        <w:tc>
          <w:tcPr>
            <w:tcW w:w="2800" w:type="dxa"/>
            <w:tcBorders>
              <w:top w:val="nil"/>
              <w:left w:val="nil"/>
              <w:bottom w:val="nil"/>
              <w:right w:val="nil"/>
            </w:tcBorders>
            <w:tcMar>
              <w:top w:w="60" w:type="dxa"/>
              <w:left w:w="100" w:type="dxa"/>
              <w:bottom w:w="60" w:type="dxa"/>
              <w:right w:w="100" w:type="dxa"/>
            </w:tcMar>
            <w:vAlign w:val="center"/>
          </w:tcPr>
          <w:p w14:paraId="24A470E9">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learning_rate</w:t>
            </w:r>
          </w:p>
        </w:tc>
        <w:tc>
          <w:tcPr>
            <w:tcW w:w="4573" w:type="dxa"/>
            <w:tcBorders>
              <w:top w:val="nil"/>
              <w:left w:val="nil"/>
              <w:bottom w:val="nil"/>
              <w:right w:val="nil"/>
            </w:tcBorders>
            <w:tcMar>
              <w:top w:w="60" w:type="dxa"/>
              <w:left w:w="100" w:type="dxa"/>
              <w:bottom w:w="60" w:type="dxa"/>
              <w:right w:w="100" w:type="dxa"/>
            </w:tcMar>
            <w:vAlign w:val="center"/>
          </w:tcPr>
          <w:p w14:paraId="50023F2E">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0.01, 0.1, 0.3</w:t>
            </w:r>
          </w:p>
        </w:tc>
      </w:tr>
      <w:tr w14:paraId="7B75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18C409B3">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132D2944">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num_leaves</w:t>
            </w:r>
          </w:p>
        </w:tc>
        <w:tc>
          <w:tcPr>
            <w:tcW w:w="4573" w:type="dxa"/>
            <w:tcBorders>
              <w:top w:val="nil"/>
              <w:left w:val="nil"/>
              <w:bottom w:val="nil"/>
              <w:right w:val="nil"/>
            </w:tcBorders>
            <w:tcMar>
              <w:top w:w="60" w:type="dxa"/>
              <w:left w:w="100" w:type="dxa"/>
              <w:bottom w:w="60" w:type="dxa"/>
              <w:right w:w="100" w:type="dxa"/>
            </w:tcMar>
            <w:vAlign w:val="center"/>
          </w:tcPr>
          <w:p w14:paraId="1C2F65E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10, 31, 50, 100</w:t>
            </w:r>
          </w:p>
        </w:tc>
      </w:tr>
      <w:tr w14:paraId="062C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25DC435D">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05397019">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n_estimators</w:t>
            </w:r>
          </w:p>
        </w:tc>
        <w:tc>
          <w:tcPr>
            <w:tcW w:w="4573" w:type="dxa"/>
            <w:tcBorders>
              <w:top w:val="nil"/>
              <w:left w:val="nil"/>
              <w:bottom w:val="nil"/>
              <w:right w:val="nil"/>
            </w:tcBorders>
            <w:tcMar>
              <w:top w:w="60" w:type="dxa"/>
              <w:left w:w="100" w:type="dxa"/>
              <w:bottom w:w="60" w:type="dxa"/>
              <w:right w:w="100" w:type="dxa"/>
            </w:tcMar>
            <w:vAlign w:val="center"/>
          </w:tcPr>
          <w:p w14:paraId="1FD2F2BE">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100, 150</w:t>
            </w:r>
          </w:p>
        </w:tc>
      </w:tr>
      <w:tr w14:paraId="68E3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7477A069">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nil"/>
              <w:right w:val="nil"/>
            </w:tcBorders>
            <w:tcMar>
              <w:top w:w="60" w:type="dxa"/>
              <w:left w:w="100" w:type="dxa"/>
              <w:bottom w:w="60" w:type="dxa"/>
              <w:right w:w="100" w:type="dxa"/>
            </w:tcMar>
            <w:vAlign w:val="center"/>
          </w:tcPr>
          <w:p w14:paraId="63152DD2">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boosting_type</w:t>
            </w:r>
          </w:p>
        </w:tc>
        <w:tc>
          <w:tcPr>
            <w:tcW w:w="4573" w:type="dxa"/>
            <w:tcBorders>
              <w:top w:val="nil"/>
              <w:left w:val="nil"/>
              <w:bottom w:val="nil"/>
              <w:right w:val="nil"/>
            </w:tcBorders>
            <w:tcMar>
              <w:top w:w="60" w:type="dxa"/>
              <w:left w:w="100" w:type="dxa"/>
              <w:bottom w:w="60" w:type="dxa"/>
              <w:right w:w="100" w:type="dxa"/>
            </w:tcMar>
            <w:vAlign w:val="center"/>
          </w:tcPr>
          <w:p w14:paraId="0118702E">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gbdt, dart</w:t>
            </w:r>
          </w:p>
        </w:tc>
      </w:tr>
      <w:tr w14:paraId="3959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nil"/>
              <w:left w:val="nil"/>
              <w:bottom w:val="nil"/>
              <w:right w:val="nil"/>
            </w:tcBorders>
            <w:vAlign w:val="center"/>
          </w:tcPr>
          <w:p w14:paraId="6599258F">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single" w:color="000000" w:sz="6" w:space="0"/>
              <w:right w:val="nil"/>
            </w:tcBorders>
            <w:tcMar>
              <w:top w:w="60" w:type="dxa"/>
              <w:left w:w="100" w:type="dxa"/>
              <w:bottom w:w="60" w:type="dxa"/>
              <w:right w:w="100" w:type="dxa"/>
            </w:tcMar>
            <w:vAlign w:val="center"/>
          </w:tcPr>
          <w:p w14:paraId="4B56D4C3">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class_weight</w:t>
            </w:r>
          </w:p>
        </w:tc>
        <w:tc>
          <w:tcPr>
            <w:tcW w:w="4573" w:type="dxa"/>
            <w:tcBorders>
              <w:top w:val="nil"/>
              <w:left w:val="nil"/>
              <w:bottom w:val="single" w:color="000000" w:sz="6" w:space="0"/>
              <w:right w:val="nil"/>
            </w:tcBorders>
            <w:tcMar>
              <w:top w:w="60" w:type="dxa"/>
              <w:left w:w="100" w:type="dxa"/>
              <w:bottom w:w="60" w:type="dxa"/>
              <w:right w:w="100" w:type="dxa"/>
            </w:tcMar>
            <w:vAlign w:val="center"/>
          </w:tcPr>
          <w:p w14:paraId="765B9540">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balanced, None</w:t>
            </w:r>
          </w:p>
        </w:tc>
      </w:tr>
      <w:tr w14:paraId="667A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restart"/>
            <w:tcBorders>
              <w:top w:val="nil"/>
              <w:left w:val="nil"/>
              <w:bottom w:val="single" w:color="auto" w:sz="12" w:space="0"/>
              <w:right w:val="nil"/>
            </w:tcBorders>
            <w:tcMar>
              <w:top w:w="60" w:type="dxa"/>
              <w:left w:w="100" w:type="dxa"/>
              <w:bottom w:w="60" w:type="dxa"/>
              <w:right w:w="100" w:type="dxa"/>
            </w:tcMar>
            <w:vAlign w:val="center"/>
          </w:tcPr>
          <w:p w14:paraId="2D0A8C24">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bCs/>
                <w:i w:val="0"/>
                <w:iCs w:val="0"/>
                <w:sz w:val="20"/>
                <w:szCs w:val="20"/>
              </w:rPr>
              <w:t>Gaussian Naive Bayes</w:t>
            </w:r>
          </w:p>
        </w:tc>
        <w:tc>
          <w:tcPr>
            <w:tcW w:w="2800" w:type="dxa"/>
            <w:tcBorders>
              <w:top w:val="nil"/>
              <w:left w:val="nil"/>
              <w:bottom w:val="nil"/>
              <w:right w:val="nil"/>
            </w:tcBorders>
            <w:tcMar>
              <w:top w:w="60" w:type="dxa"/>
              <w:left w:w="100" w:type="dxa"/>
              <w:bottom w:w="60" w:type="dxa"/>
              <w:right w:w="100" w:type="dxa"/>
            </w:tcMar>
            <w:vAlign w:val="center"/>
          </w:tcPr>
          <w:p w14:paraId="1903C771">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var_smoothing</w:t>
            </w:r>
          </w:p>
        </w:tc>
        <w:tc>
          <w:tcPr>
            <w:tcW w:w="4573" w:type="dxa"/>
            <w:tcBorders>
              <w:top w:val="nil"/>
              <w:left w:val="nil"/>
              <w:bottom w:val="nil"/>
              <w:right w:val="nil"/>
            </w:tcBorders>
            <w:tcMar>
              <w:top w:w="60" w:type="dxa"/>
              <w:left w:w="100" w:type="dxa"/>
              <w:bottom w:w="60" w:type="dxa"/>
              <w:right w:w="100" w:type="dxa"/>
            </w:tcMar>
            <w:vAlign w:val="center"/>
          </w:tcPr>
          <w:p w14:paraId="31F630AF">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1×10⁻¹², 1×10⁻¹¹, …, 1×10⁻³ (log-spaced, 10 values)</w:t>
            </w:r>
          </w:p>
        </w:tc>
      </w:tr>
      <w:tr w14:paraId="17E4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87" w:type="dxa"/>
            <w:vMerge w:val="continue"/>
            <w:tcBorders>
              <w:top w:val="single" w:color="auto" w:sz="12" w:space="0"/>
              <w:left w:val="nil"/>
              <w:bottom w:val="single" w:color="auto" w:sz="12" w:space="0"/>
              <w:right w:val="nil"/>
            </w:tcBorders>
            <w:vAlign w:val="center"/>
          </w:tcPr>
          <w:p w14:paraId="46518641">
            <w:pPr>
              <w:keepNext w:val="0"/>
              <w:keepLines w:val="0"/>
              <w:suppressLineNumbers w:val="0"/>
              <w:spacing w:before="0" w:beforeAutospacing="0" w:after="0" w:afterAutospacing="0"/>
              <w:ind w:left="0" w:right="0"/>
              <w:jc w:val="center"/>
              <w:rPr>
                <w:rFonts w:hint="default" w:ascii="Times New Roman" w:hAnsi="Times New Roman" w:cs="Times New Roman"/>
              </w:rPr>
            </w:pPr>
          </w:p>
        </w:tc>
        <w:tc>
          <w:tcPr>
            <w:tcW w:w="2800" w:type="dxa"/>
            <w:tcBorders>
              <w:top w:val="nil"/>
              <w:left w:val="nil"/>
              <w:bottom w:val="single" w:color="000000" w:sz="12" w:space="0"/>
              <w:right w:val="nil"/>
            </w:tcBorders>
            <w:tcMar>
              <w:top w:w="60" w:type="dxa"/>
              <w:left w:w="100" w:type="dxa"/>
              <w:bottom w:w="60" w:type="dxa"/>
              <w:right w:w="100" w:type="dxa"/>
            </w:tcMar>
            <w:vAlign w:val="center"/>
          </w:tcPr>
          <w:p w14:paraId="62936D57">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Courier New" w:cs="Times New Roman"/>
                <w:b w:val="0"/>
                <w:bCs w:val="0"/>
                <w:i w:val="0"/>
                <w:iCs w:val="0"/>
                <w:sz w:val="20"/>
                <w:szCs w:val="20"/>
              </w:rPr>
              <w:t>priors</w:t>
            </w:r>
          </w:p>
        </w:tc>
        <w:tc>
          <w:tcPr>
            <w:tcW w:w="4573" w:type="dxa"/>
            <w:tcBorders>
              <w:top w:val="nil"/>
              <w:left w:val="nil"/>
              <w:bottom w:val="single" w:color="000000" w:sz="12" w:space="0"/>
              <w:right w:val="nil"/>
            </w:tcBorders>
            <w:tcMar>
              <w:top w:w="60" w:type="dxa"/>
              <w:left w:w="100" w:type="dxa"/>
              <w:bottom w:w="60" w:type="dxa"/>
              <w:right w:w="100" w:type="dxa"/>
            </w:tcMar>
            <w:vAlign w:val="center"/>
          </w:tcPr>
          <w:p w14:paraId="0F48F2BC">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Times New Roman" w:cs="Times New Roman"/>
                <w:b w:val="0"/>
                <w:bCs w:val="0"/>
                <w:i w:val="0"/>
                <w:iCs w:val="0"/>
                <w:sz w:val="20"/>
                <w:szCs w:val="20"/>
              </w:rPr>
              <w:t>None, [0.80, 0.20], [0.75, 0.25], [0.70, 0.30]</w:t>
            </w:r>
          </w:p>
        </w:tc>
      </w:tr>
    </w:tbl>
    <w:p w14:paraId="39F9F11F">
      <w:pPr>
        <w:spacing w:line="360" w:lineRule="auto"/>
        <w:rPr>
          <w:rFonts w:hint="eastAsia" w:ascii="Times New Roman" w:hAnsi="Times New Roman" w:cs="Times New Roman"/>
          <w:lang w:val="en-US" w:eastAsia="zh-CN"/>
        </w:rPr>
      </w:pPr>
    </w:p>
    <w:p w14:paraId="63CFFC7E">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Supplementary Table S7. Candidate hyperparameter search spaces for the five machine learning models.</w:t>
      </w:r>
    </w:p>
    <w:p w14:paraId="26110EE1">
      <w:pPr>
        <w:spacing w:line="360" w:lineRule="auto"/>
        <w:rPr>
          <w:rFonts w:hint="default" w:ascii="Times New Roman" w:hAnsi="Times New Roman" w:cs="Times New Roman"/>
          <w:lang w:val="en-US" w:eastAsia="zh-CN"/>
        </w:rPr>
      </w:pPr>
      <w:r>
        <w:rPr>
          <w:rFonts w:hint="eastAsia" w:ascii="Times New Roman" w:hAnsi="Times New Roman" w:cs="Times New Roman"/>
          <w:lang w:val="en-US" w:eastAsia="zh-CN"/>
        </w:rPr>
        <w:t>All models were optimised using grid search over the candidate ranges listed below. Model selection within each fold was based on AUC on the held-out validation set. Random seed was fixed at 42 throughout to ensure full reproducibility. AUC, area under the receiver operating characteristic curve. All hyperparameter searches were conducted using scikit-learn 1.2.2 (Python 3.11.7) with GridSearchCV and 5-fold stratified cross-validation.</w:t>
      </w:r>
    </w:p>
    <w:p w14:paraId="63B6ED2A">
      <w:pPr>
        <w:spacing w:line="360" w:lineRule="exact"/>
        <w:jc w:val="center"/>
        <w:rPr>
          <w:rFonts w:hint="eastAsia" w:ascii="Times New Roman" w:hAnsi="Times New Roman" w:eastAsia="楷体"/>
          <w:b w:val="0"/>
          <w:sz w:val="21"/>
          <w:szCs w:val="21"/>
          <w:lang w:eastAsia="zh-CN"/>
        </w:rPr>
      </w:pPr>
    </w:p>
    <w:p w14:paraId="5A1F0F89">
      <w:pPr>
        <w:spacing w:line="360" w:lineRule="exact"/>
        <w:jc w:val="center"/>
        <w:rPr>
          <w:rFonts w:hint="eastAsia" w:ascii="Times New Roman" w:hAnsi="Times New Roman" w:eastAsia="楷体"/>
          <w:b w:val="0"/>
          <w:sz w:val="21"/>
          <w:szCs w:val="21"/>
          <w:lang w:eastAsia="zh-CN"/>
        </w:rPr>
      </w:pPr>
    </w:p>
    <w:p w14:paraId="1F5C52E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color w:val="000000"/>
          <w:sz w:val="28"/>
          <w:szCs w:val="28"/>
          <w:lang w:val="en-US" w:eastAsia="zh-CN"/>
        </w:rPr>
      </w:pPr>
    </w:p>
    <w:p w14:paraId="244E792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color w:val="000000"/>
          <w:sz w:val="28"/>
          <w:szCs w:val="28"/>
          <w:lang w:val="en-US" w:eastAsia="zh-CN"/>
        </w:rPr>
      </w:pPr>
    </w:p>
    <w:p w14:paraId="20E301B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color w:val="000000"/>
          <w:sz w:val="28"/>
          <w:szCs w:val="28"/>
          <w:lang w:val="en-US" w:eastAsia="zh-CN"/>
        </w:rPr>
      </w:pPr>
    </w:p>
    <w:p w14:paraId="03FDF0B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color w:val="000000"/>
          <w:sz w:val="28"/>
          <w:szCs w:val="28"/>
          <w:lang w:val="en-US" w:eastAsia="zh-CN"/>
        </w:rPr>
      </w:pPr>
    </w:p>
    <w:p w14:paraId="3DB32ED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color w:val="000000"/>
          <w:sz w:val="28"/>
          <w:szCs w:val="28"/>
          <w:lang w:val="en-US" w:eastAsia="zh-CN"/>
        </w:rPr>
      </w:pPr>
    </w:p>
    <w:tbl>
      <w:tblPr>
        <w:tblStyle w:val="11"/>
        <w:tblW w:w="4931" w:type="pct"/>
        <w:tblInd w:w="59" w:type="dxa"/>
        <w:tblBorders>
          <w:top w:val="single" w:color="1565C0" w:sz="2" w:space="0"/>
          <w:left w:val="none" w:color="auto" w:sz="0" w:space="0"/>
          <w:bottom w:val="single" w:color="B8C4CC" w:sz="2" w:space="0"/>
          <w:right w:val="none" w:color="auto" w:sz="0" w:space="0"/>
          <w:insideH w:val="none" w:color="auto" w:sz="0" w:space="0"/>
          <w:insideV w:val="none" w:color="auto" w:sz="0" w:space="0"/>
        </w:tblBorders>
        <w:tblLayout w:type="fixed"/>
        <w:tblCellMar>
          <w:top w:w="0" w:type="dxa"/>
          <w:left w:w="10" w:type="dxa"/>
          <w:bottom w:w="0" w:type="dxa"/>
          <w:right w:w="10" w:type="dxa"/>
        </w:tblCellMar>
      </w:tblPr>
      <w:tblGrid>
        <w:gridCol w:w="1605"/>
        <w:gridCol w:w="889"/>
        <w:gridCol w:w="3671"/>
        <w:gridCol w:w="1920"/>
        <w:gridCol w:w="1019"/>
      </w:tblGrid>
      <w:tr w14:paraId="5315C4C7">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blHeader/>
        </w:trPr>
        <w:tc>
          <w:tcPr>
            <w:tcW w:w="1605" w:type="dxa"/>
            <w:tcBorders>
              <w:top w:val="single" w:color="000000" w:themeColor="text1" w:sz="12" w:space="0"/>
              <w:bottom w:val="nil"/>
            </w:tcBorders>
            <w:shd w:val="clear" w:color="auto" w:fill="auto"/>
            <w:tcMar>
              <w:top w:w="72" w:type="dxa"/>
              <w:left w:w="80" w:type="dxa"/>
              <w:bottom w:w="72" w:type="dxa"/>
              <w:right w:w="80" w:type="dxa"/>
            </w:tcMar>
            <w:vAlign w:val="center"/>
          </w:tcPr>
          <w:p w14:paraId="74529652">
            <w:pPr>
              <w:keepNext w:val="0"/>
              <w:keepLines w:val="0"/>
              <w:suppressLineNumbers w:val="0"/>
              <w:snapToGrid w:val="0"/>
              <w:spacing w:before="0" w:beforeAutospacing="0" w:after="0" w:afterAutospacing="0"/>
              <w:ind w:left="0" w:right="0"/>
              <w:jc w:val="both"/>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Section / Topic</w:t>
            </w:r>
          </w:p>
        </w:tc>
        <w:tc>
          <w:tcPr>
            <w:tcW w:w="889" w:type="dxa"/>
            <w:tcBorders>
              <w:top w:val="single" w:color="000000" w:themeColor="text1" w:sz="12" w:space="0"/>
              <w:bottom w:val="nil"/>
            </w:tcBorders>
            <w:shd w:val="clear" w:color="auto" w:fill="auto"/>
            <w:tcMar>
              <w:top w:w="72" w:type="dxa"/>
              <w:left w:w="80" w:type="dxa"/>
              <w:bottom w:w="72" w:type="dxa"/>
              <w:right w:w="80" w:type="dxa"/>
            </w:tcMar>
            <w:vAlign w:val="center"/>
          </w:tcPr>
          <w:p w14:paraId="7D016F04">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Item</w:t>
            </w:r>
          </w:p>
        </w:tc>
        <w:tc>
          <w:tcPr>
            <w:tcW w:w="3671" w:type="dxa"/>
            <w:tcBorders>
              <w:top w:val="single" w:color="000000" w:themeColor="text1" w:sz="12" w:space="0"/>
              <w:bottom w:val="nil"/>
            </w:tcBorders>
            <w:shd w:val="clear" w:color="auto" w:fill="auto"/>
            <w:tcMar>
              <w:top w:w="72" w:type="dxa"/>
              <w:left w:w="80" w:type="dxa"/>
              <w:bottom w:w="72" w:type="dxa"/>
              <w:right w:w="80" w:type="dxa"/>
            </w:tcMar>
            <w:vAlign w:val="center"/>
          </w:tcPr>
          <w:p w14:paraId="5CB8270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Checklist Item</w:t>
            </w:r>
          </w:p>
        </w:tc>
        <w:tc>
          <w:tcPr>
            <w:tcW w:w="1920" w:type="dxa"/>
            <w:tcBorders>
              <w:top w:val="single" w:color="000000" w:themeColor="text1" w:sz="12" w:space="0"/>
              <w:bottom w:val="nil"/>
            </w:tcBorders>
            <w:shd w:val="clear" w:color="auto" w:fill="auto"/>
            <w:tcMar>
              <w:top w:w="72" w:type="dxa"/>
              <w:left w:w="80" w:type="dxa"/>
              <w:bottom w:w="72" w:type="dxa"/>
              <w:right w:w="80" w:type="dxa"/>
            </w:tcMar>
            <w:vAlign w:val="center"/>
          </w:tcPr>
          <w:p w14:paraId="54AF68FC">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Location in Manuscript</w:t>
            </w:r>
          </w:p>
        </w:tc>
        <w:tc>
          <w:tcPr>
            <w:tcW w:w="1019" w:type="dxa"/>
            <w:tcBorders>
              <w:top w:val="single" w:color="000000" w:themeColor="text1" w:sz="12" w:space="0"/>
              <w:bottom w:val="nil"/>
            </w:tcBorders>
            <w:shd w:val="clear" w:color="auto" w:fill="auto"/>
            <w:tcMar>
              <w:top w:w="72" w:type="dxa"/>
              <w:left w:w="80" w:type="dxa"/>
              <w:bottom w:w="72" w:type="dxa"/>
              <w:right w:w="80" w:type="dxa"/>
            </w:tcMar>
            <w:vAlign w:val="center"/>
          </w:tcPr>
          <w:p w14:paraId="78DB9782">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Reported</w:t>
            </w:r>
          </w:p>
        </w:tc>
      </w:tr>
      <w:tr w14:paraId="287DD1AA">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9104" w:type="dxa"/>
            <w:gridSpan w:val="5"/>
            <w:tcBorders>
              <w:top w:val="nil"/>
              <w:tl2br w:val="nil"/>
              <w:tr2bl w:val="nil"/>
            </w:tcBorders>
            <w:shd w:val="clear" w:color="auto" w:fill="auto"/>
            <w:tcMar>
              <w:top w:w="72" w:type="dxa"/>
              <w:left w:w="96" w:type="dxa"/>
              <w:bottom w:w="72" w:type="dxa"/>
              <w:right w:w="96" w:type="dxa"/>
            </w:tcMar>
          </w:tcPr>
          <w:p w14:paraId="08F7BB41">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TITLE AND ABSTRACT</w:t>
            </w:r>
          </w:p>
        </w:tc>
      </w:tr>
      <w:tr w14:paraId="2932DE39">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1E630036">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Title</w:t>
            </w:r>
          </w:p>
        </w:tc>
        <w:tc>
          <w:tcPr>
            <w:tcW w:w="889" w:type="dxa"/>
            <w:tcBorders>
              <w:tl2br w:val="nil"/>
              <w:tr2bl w:val="nil"/>
            </w:tcBorders>
            <w:shd w:val="clear" w:color="auto" w:fill="auto"/>
            <w:tcMar>
              <w:top w:w="50" w:type="dxa"/>
              <w:left w:w="80" w:type="dxa"/>
              <w:bottom w:w="50" w:type="dxa"/>
              <w:right w:w="80" w:type="dxa"/>
            </w:tcMar>
            <w:vAlign w:val="top"/>
          </w:tcPr>
          <w:p w14:paraId="2B8BCE50">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w:t>
            </w:r>
          </w:p>
        </w:tc>
        <w:tc>
          <w:tcPr>
            <w:tcW w:w="3671" w:type="dxa"/>
            <w:tcBorders>
              <w:tl2br w:val="nil"/>
              <w:tr2bl w:val="nil"/>
            </w:tcBorders>
            <w:shd w:val="clear" w:color="auto" w:fill="auto"/>
            <w:tcMar>
              <w:top w:w="50" w:type="dxa"/>
              <w:left w:w="80" w:type="dxa"/>
              <w:bottom w:w="50" w:type="dxa"/>
              <w:right w:w="80" w:type="dxa"/>
            </w:tcMar>
            <w:vAlign w:val="top"/>
          </w:tcPr>
          <w:p w14:paraId="1B1A24E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Identify the study as developing and/or validating a prediction model, specifying the predicted outcome (in-hospital mortality) and target population (ICU patients with ARF).</w:t>
            </w:r>
          </w:p>
        </w:tc>
        <w:tc>
          <w:tcPr>
            <w:tcW w:w="1920" w:type="dxa"/>
            <w:tcBorders>
              <w:tl2br w:val="nil"/>
              <w:tr2bl w:val="nil"/>
            </w:tcBorders>
            <w:shd w:val="clear" w:color="auto" w:fill="auto"/>
            <w:tcMar>
              <w:top w:w="50" w:type="dxa"/>
              <w:left w:w="80" w:type="dxa"/>
              <w:bottom w:w="50" w:type="dxa"/>
              <w:right w:w="80" w:type="dxa"/>
            </w:tcMar>
            <w:vAlign w:val="top"/>
          </w:tcPr>
          <w:p w14:paraId="29A402F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Title page</w:t>
            </w:r>
          </w:p>
        </w:tc>
        <w:tc>
          <w:tcPr>
            <w:tcW w:w="1019" w:type="dxa"/>
            <w:tcBorders>
              <w:tl2br w:val="nil"/>
              <w:tr2bl w:val="nil"/>
            </w:tcBorders>
            <w:shd w:val="clear" w:color="auto" w:fill="auto"/>
            <w:tcMar>
              <w:top w:w="50" w:type="dxa"/>
              <w:left w:w="80" w:type="dxa"/>
              <w:bottom w:w="50" w:type="dxa"/>
              <w:right w:w="80" w:type="dxa"/>
            </w:tcMar>
            <w:vAlign w:val="center"/>
          </w:tcPr>
          <w:p w14:paraId="3357B63B">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43AC74FE">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7A492814">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Abstract</w:t>
            </w:r>
          </w:p>
        </w:tc>
        <w:tc>
          <w:tcPr>
            <w:tcW w:w="889" w:type="dxa"/>
            <w:tcBorders>
              <w:tl2br w:val="nil"/>
              <w:tr2bl w:val="nil"/>
            </w:tcBorders>
            <w:shd w:val="clear" w:color="auto" w:fill="auto"/>
            <w:tcMar>
              <w:top w:w="50" w:type="dxa"/>
              <w:left w:w="80" w:type="dxa"/>
              <w:bottom w:w="50" w:type="dxa"/>
              <w:right w:w="80" w:type="dxa"/>
            </w:tcMar>
            <w:vAlign w:val="top"/>
          </w:tcPr>
          <w:p w14:paraId="30AF9BAB">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2a</w:t>
            </w:r>
          </w:p>
        </w:tc>
        <w:tc>
          <w:tcPr>
            <w:tcW w:w="3671" w:type="dxa"/>
            <w:tcBorders>
              <w:tl2br w:val="nil"/>
              <w:tr2bl w:val="nil"/>
            </w:tcBorders>
            <w:shd w:val="clear" w:color="auto" w:fill="auto"/>
            <w:tcMar>
              <w:top w:w="50" w:type="dxa"/>
              <w:left w:w="80" w:type="dxa"/>
              <w:bottom w:w="50" w:type="dxa"/>
              <w:right w:w="80" w:type="dxa"/>
            </w:tcMar>
            <w:vAlign w:val="top"/>
          </w:tcPr>
          <w:p w14:paraId="54590D5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Structured summary including design, setting, sample size, predictors, outcome, statistical methods, results, and conclusions.</w:t>
            </w:r>
          </w:p>
        </w:tc>
        <w:tc>
          <w:tcPr>
            <w:tcW w:w="1920" w:type="dxa"/>
            <w:tcBorders>
              <w:tl2br w:val="nil"/>
              <w:tr2bl w:val="nil"/>
            </w:tcBorders>
            <w:shd w:val="clear" w:color="auto" w:fill="auto"/>
            <w:tcMar>
              <w:top w:w="50" w:type="dxa"/>
              <w:left w:w="80" w:type="dxa"/>
              <w:bottom w:w="50" w:type="dxa"/>
              <w:right w:w="80" w:type="dxa"/>
            </w:tcMar>
            <w:vAlign w:val="top"/>
          </w:tcPr>
          <w:p w14:paraId="6973DF7E">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Abstract (all sections)</w:t>
            </w:r>
          </w:p>
        </w:tc>
        <w:tc>
          <w:tcPr>
            <w:tcW w:w="1019" w:type="dxa"/>
            <w:tcBorders>
              <w:tl2br w:val="nil"/>
              <w:tr2bl w:val="nil"/>
            </w:tcBorders>
            <w:shd w:val="clear" w:color="auto" w:fill="auto"/>
            <w:tcMar>
              <w:top w:w="50" w:type="dxa"/>
              <w:left w:w="80" w:type="dxa"/>
              <w:bottom w:w="50" w:type="dxa"/>
              <w:right w:w="80" w:type="dxa"/>
            </w:tcMar>
            <w:vAlign w:val="center"/>
          </w:tcPr>
          <w:p w14:paraId="68C0717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6B2581CC">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5B4003A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Abstract (AI)</w:t>
            </w:r>
          </w:p>
        </w:tc>
        <w:tc>
          <w:tcPr>
            <w:tcW w:w="889" w:type="dxa"/>
            <w:tcBorders>
              <w:tl2br w:val="nil"/>
              <w:tr2bl w:val="nil"/>
            </w:tcBorders>
            <w:shd w:val="clear" w:color="auto" w:fill="auto"/>
            <w:tcMar>
              <w:top w:w="50" w:type="dxa"/>
              <w:left w:w="80" w:type="dxa"/>
              <w:bottom w:w="50" w:type="dxa"/>
              <w:right w:w="80" w:type="dxa"/>
            </w:tcMar>
            <w:vAlign w:val="top"/>
          </w:tcPr>
          <w:p w14:paraId="266473D4">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2b</w:t>
            </w:r>
          </w:p>
        </w:tc>
        <w:tc>
          <w:tcPr>
            <w:tcW w:w="3671" w:type="dxa"/>
            <w:tcBorders>
              <w:tl2br w:val="nil"/>
              <w:tr2bl w:val="nil"/>
            </w:tcBorders>
            <w:shd w:val="clear" w:color="auto" w:fill="auto"/>
            <w:tcMar>
              <w:top w:w="50" w:type="dxa"/>
              <w:left w:w="80" w:type="dxa"/>
              <w:bottom w:w="50" w:type="dxa"/>
              <w:right w:w="80" w:type="dxa"/>
            </w:tcMar>
            <w:vAlign w:val="top"/>
          </w:tcPr>
          <w:p w14:paraId="1293EC4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Model type stated in abstract ("five machine learning algorithms with SHAP-based interpretability"); specific algorithm names and software versions specified in main-text Methods.</w:t>
            </w:r>
          </w:p>
        </w:tc>
        <w:tc>
          <w:tcPr>
            <w:tcW w:w="1920" w:type="dxa"/>
            <w:tcBorders>
              <w:tl2br w:val="nil"/>
              <w:tr2bl w:val="nil"/>
            </w:tcBorders>
            <w:shd w:val="clear" w:color="auto" w:fill="auto"/>
            <w:tcMar>
              <w:top w:w="50" w:type="dxa"/>
              <w:left w:w="80" w:type="dxa"/>
              <w:bottom w:w="50" w:type="dxa"/>
              <w:right w:w="80" w:type="dxa"/>
            </w:tcMar>
            <w:vAlign w:val="top"/>
          </w:tcPr>
          <w:p w14:paraId="31C4F454">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Abstract — Methods; Methods: Statistical Software</w:t>
            </w:r>
          </w:p>
        </w:tc>
        <w:tc>
          <w:tcPr>
            <w:tcW w:w="1019" w:type="dxa"/>
            <w:tcBorders>
              <w:tl2br w:val="nil"/>
              <w:tr2bl w:val="nil"/>
            </w:tcBorders>
            <w:shd w:val="clear" w:color="auto" w:fill="auto"/>
            <w:tcMar>
              <w:top w:w="50" w:type="dxa"/>
              <w:left w:w="80" w:type="dxa"/>
              <w:bottom w:w="50" w:type="dxa"/>
              <w:right w:w="80" w:type="dxa"/>
            </w:tcMar>
            <w:vAlign w:val="center"/>
          </w:tcPr>
          <w:p w14:paraId="35FFE8E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429A1700">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9104" w:type="dxa"/>
            <w:gridSpan w:val="5"/>
            <w:tcBorders>
              <w:tl2br w:val="nil"/>
              <w:tr2bl w:val="nil"/>
            </w:tcBorders>
            <w:shd w:val="clear" w:color="auto" w:fill="auto"/>
            <w:tcMar>
              <w:top w:w="72" w:type="dxa"/>
              <w:left w:w="96" w:type="dxa"/>
              <w:bottom w:w="72" w:type="dxa"/>
              <w:right w:w="96" w:type="dxa"/>
            </w:tcMar>
          </w:tcPr>
          <w:p w14:paraId="50B2550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INTRODUCTION</w:t>
            </w:r>
          </w:p>
        </w:tc>
      </w:tr>
      <w:tr w14:paraId="773D60B7">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4AE6A37F">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Background &amp; objectives</w:t>
            </w:r>
          </w:p>
        </w:tc>
        <w:tc>
          <w:tcPr>
            <w:tcW w:w="889" w:type="dxa"/>
            <w:tcBorders>
              <w:tl2br w:val="nil"/>
              <w:tr2bl w:val="nil"/>
            </w:tcBorders>
            <w:shd w:val="clear" w:color="auto" w:fill="auto"/>
            <w:tcMar>
              <w:top w:w="50" w:type="dxa"/>
              <w:left w:w="80" w:type="dxa"/>
              <w:bottom w:w="50" w:type="dxa"/>
              <w:right w:w="80" w:type="dxa"/>
            </w:tcMar>
            <w:vAlign w:val="top"/>
          </w:tcPr>
          <w:p w14:paraId="7C771DB6">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3a</w:t>
            </w:r>
          </w:p>
        </w:tc>
        <w:tc>
          <w:tcPr>
            <w:tcW w:w="3671" w:type="dxa"/>
            <w:tcBorders>
              <w:tl2br w:val="nil"/>
              <w:tr2bl w:val="nil"/>
            </w:tcBorders>
            <w:shd w:val="clear" w:color="auto" w:fill="auto"/>
            <w:tcMar>
              <w:top w:w="50" w:type="dxa"/>
              <w:left w:w="80" w:type="dxa"/>
              <w:bottom w:w="50" w:type="dxa"/>
              <w:right w:w="80" w:type="dxa"/>
            </w:tcMar>
            <w:vAlign w:val="top"/>
          </w:tcPr>
          <w:p w14:paraId="5140619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Medical context (prognostic prediction in ARF), existing RDW evidence, and rationale for age-weighting (age-related hematopoietic changes; limitations of conventional RDW) described.</w:t>
            </w:r>
          </w:p>
        </w:tc>
        <w:tc>
          <w:tcPr>
            <w:tcW w:w="1920" w:type="dxa"/>
            <w:tcBorders>
              <w:tl2br w:val="nil"/>
              <w:tr2bl w:val="nil"/>
            </w:tcBorders>
            <w:shd w:val="clear" w:color="auto" w:fill="auto"/>
            <w:tcMar>
              <w:top w:w="50" w:type="dxa"/>
              <w:left w:w="80" w:type="dxa"/>
              <w:bottom w:w="50" w:type="dxa"/>
              <w:right w:w="80" w:type="dxa"/>
            </w:tcMar>
            <w:vAlign w:val="top"/>
          </w:tcPr>
          <w:p w14:paraId="3EE43F3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Introduction, paragraphs 1–5</w:t>
            </w:r>
          </w:p>
        </w:tc>
        <w:tc>
          <w:tcPr>
            <w:tcW w:w="1019" w:type="dxa"/>
            <w:tcBorders>
              <w:tl2br w:val="nil"/>
              <w:tr2bl w:val="nil"/>
            </w:tcBorders>
            <w:shd w:val="clear" w:color="auto" w:fill="auto"/>
            <w:tcMar>
              <w:top w:w="50" w:type="dxa"/>
              <w:left w:w="80" w:type="dxa"/>
              <w:bottom w:w="50" w:type="dxa"/>
              <w:right w:w="80" w:type="dxa"/>
            </w:tcMar>
            <w:vAlign w:val="center"/>
          </w:tcPr>
          <w:p w14:paraId="31E36C4A">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61D99A84">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1CA48E7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Background &amp; objectives</w:t>
            </w:r>
          </w:p>
        </w:tc>
        <w:tc>
          <w:tcPr>
            <w:tcW w:w="889" w:type="dxa"/>
            <w:tcBorders>
              <w:tl2br w:val="nil"/>
              <w:tr2bl w:val="nil"/>
            </w:tcBorders>
            <w:shd w:val="clear" w:color="auto" w:fill="auto"/>
            <w:tcMar>
              <w:top w:w="50" w:type="dxa"/>
              <w:left w:w="80" w:type="dxa"/>
              <w:bottom w:w="50" w:type="dxa"/>
              <w:right w:w="80" w:type="dxa"/>
            </w:tcMar>
            <w:vAlign w:val="top"/>
          </w:tcPr>
          <w:p w14:paraId="224E0B25">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3b</w:t>
            </w:r>
          </w:p>
        </w:tc>
        <w:tc>
          <w:tcPr>
            <w:tcW w:w="3671" w:type="dxa"/>
            <w:tcBorders>
              <w:tl2br w:val="nil"/>
              <w:tr2bl w:val="nil"/>
            </w:tcBorders>
            <w:shd w:val="clear" w:color="auto" w:fill="auto"/>
            <w:tcMar>
              <w:top w:w="50" w:type="dxa"/>
              <w:left w:w="80" w:type="dxa"/>
              <w:bottom w:w="50" w:type="dxa"/>
              <w:right w:w="80" w:type="dxa"/>
            </w:tcMar>
            <w:vAlign w:val="top"/>
          </w:tcPr>
          <w:p w14:paraId="3546F2FA">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Three objectives stated: (1) Cox regression validation of AWRI; (2) RCS nonlinear characterisation; (3) ML/SHAP importance quantification.</w:t>
            </w:r>
          </w:p>
        </w:tc>
        <w:tc>
          <w:tcPr>
            <w:tcW w:w="1920" w:type="dxa"/>
            <w:tcBorders>
              <w:tl2br w:val="nil"/>
              <w:tr2bl w:val="nil"/>
            </w:tcBorders>
            <w:shd w:val="clear" w:color="auto" w:fill="auto"/>
            <w:tcMar>
              <w:top w:w="50" w:type="dxa"/>
              <w:left w:w="80" w:type="dxa"/>
              <w:bottom w:w="50" w:type="dxa"/>
              <w:right w:w="80" w:type="dxa"/>
            </w:tcMar>
            <w:vAlign w:val="top"/>
          </w:tcPr>
          <w:p w14:paraId="55B47F3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Introduction, final paragraph</w:t>
            </w:r>
          </w:p>
        </w:tc>
        <w:tc>
          <w:tcPr>
            <w:tcW w:w="1019" w:type="dxa"/>
            <w:tcBorders>
              <w:tl2br w:val="nil"/>
              <w:tr2bl w:val="nil"/>
            </w:tcBorders>
            <w:shd w:val="clear" w:color="auto" w:fill="auto"/>
            <w:tcMar>
              <w:top w:w="50" w:type="dxa"/>
              <w:left w:w="80" w:type="dxa"/>
              <w:bottom w:w="50" w:type="dxa"/>
              <w:right w:w="80" w:type="dxa"/>
            </w:tcMar>
            <w:vAlign w:val="center"/>
          </w:tcPr>
          <w:p w14:paraId="771D9AD4">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1EA4DFED">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9104" w:type="dxa"/>
            <w:gridSpan w:val="5"/>
            <w:tcBorders>
              <w:tl2br w:val="nil"/>
              <w:tr2bl w:val="nil"/>
            </w:tcBorders>
            <w:shd w:val="clear" w:color="auto" w:fill="auto"/>
            <w:tcMar>
              <w:top w:w="72" w:type="dxa"/>
              <w:left w:w="96" w:type="dxa"/>
              <w:bottom w:w="72" w:type="dxa"/>
              <w:right w:w="96" w:type="dxa"/>
            </w:tcMar>
          </w:tcPr>
          <w:p w14:paraId="22345F4F">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METHODS</w:t>
            </w:r>
          </w:p>
        </w:tc>
      </w:tr>
      <w:tr w14:paraId="17470489">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B41D0CF">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Source of data</w:t>
            </w:r>
          </w:p>
        </w:tc>
        <w:tc>
          <w:tcPr>
            <w:tcW w:w="889" w:type="dxa"/>
            <w:tcBorders>
              <w:tl2br w:val="nil"/>
              <w:tr2bl w:val="nil"/>
            </w:tcBorders>
            <w:shd w:val="clear" w:color="auto" w:fill="auto"/>
            <w:tcMar>
              <w:top w:w="50" w:type="dxa"/>
              <w:left w:w="80" w:type="dxa"/>
              <w:bottom w:w="50" w:type="dxa"/>
              <w:right w:w="80" w:type="dxa"/>
            </w:tcMar>
            <w:vAlign w:val="top"/>
          </w:tcPr>
          <w:p w14:paraId="68689A39">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4a</w:t>
            </w:r>
          </w:p>
        </w:tc>
        <w:tc>
          <w:tcPr>
            <w:tcW w:w="3671" w:type="dxa"/>
            <w:tcBorders>
              <w:tl2br w:val="nil"/>
              <w:tr2bl w:val="nil"/>
            </w:tcBorders>
            <w:shd w:val="clear" w:color="auto" w:fill="auto"/>
            <w:tcMar>
              <w:top w:w="50" w:type="dxa"/>
              <w:left w:w="80" w:type="dxa"/>
              <w:bottom w:w="50" w:type="dxa"/>
              <w:right w:w="80" w:type="dxa"/>
            </w:tcMar>
            <w:vAlign w:val="top"/>
          </w:tcPr>
          <w:p w14:paraId="69330901">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Study design (retrospective cohort) and data source (eICU Collaborative Research Database, 2014–2015, 208 US hospitals) described.</w:t>
            </w:r>
          </w:p>
        </w:tc>
        <w:tc>
          <w:tcPr>
            <w:tcW w:w="1920" w:type="dxa"/>
            <w:tcBorders>
              <w:tl2br w:val="nil"/>
              <w:tr2bl w:val="nil"/>
            </w:tcBorders>
            <w:shd w:val="clear" w:color="auto" w:fill="auto"/>
            <w:tcMar>
              <w:top w:w="50" w:type="dxa"/>
              <w:left w:w="80" w:type="dxa"/>
              <w:bottom w:w="50" w:type="dxa"/>
              <w:right w:w="80" w:type="dxa"/>
            </w:tcMar>
            <w:vAlign w:val="top"/>
          </w:tcPr>
          <w:p w14:paraId="3493EFF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Study Design and Data Sources</w:t>
            </w:r>
          </w:p>
        </w:tc>
        <w:tc>
          <w:tcPr>
            <w:tcW w:w="1019" w:type="dxa"/>
            <w:tcBorders>
              <w:tl2br w:val="nil"/>
              <w:tr2bl w:val="nil"/>
            </w:tcBorders>
            <w:shd w:val="clear" w:color="auto" w:fill="auto"/>
            <w:tcMar>
              <w:top w:w="50" w:type="dxa"/>
              <w:left w:w="80" w:type="dxa"/>
              <w:bottom w:w="50" w:type="dxa"/>
              <w:right w:w="80" w:type="dxa"/>
            </w:tcMar>
            <w:vAlign w:val="center"/>
          </w:tcPr>
          <w:p w14:paraId="66EA5AC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78B4C49B">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6E550DA8">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Source of data</w:t>
            </w:r>
          </w:p>
        </w:tc>
        <w:tc>
          <w:tcPr>
            <w:tcW w:w="889" w:type="dxa"/>
            <w:tcBorders>
              <w:tl2br w:val="nil"/>
              <w:tr2bl w:val="nil"/>
            </w:tcBorders>
            <w:shd w:val="clear" w:color="auto" w:fill="auto"/>
            <w:tcMar>
              <w:top w:w="50" w:type="dxa"/>
              <w:left w:w="80" w:type="dxa"/>
              <w:bottom w:w="50" w:type="dxa"/>
              <w:right w:w="80" w:type="dxa"/>
            </w:tcMar>
            <w:vAlign w:val="top"/>
          </w:tcPr>
          <w:p w14:paraId="474E719E">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4b</w:t>
            </w:r>
          </w:p>
        </w:tc>
        <w:tc>
          <w:tcPr>
            <w:tcW w:w="3671" w:type="dxa"/>
            <w:tcBorders>
              <w:tl2br w:val="nil"/>
              <w:tr2bl w:val="nil"/>
            </w:tcBorders>
            <w:shd w:val="clear" w:color="auto" w:fill="auto"/>
            <w:tcMar>
              <w:top w:w="50" w:type="dxa"/>
              <w:left w:w="80" w:type="dxa"/>
              <w:bottom w:w="50" w:type="dxa"/>
              <w:right w:w="80" w:type="dxa"/>
            </w:tcMar>
            <w:vAlign w:val="top"/>
          </w:tcPr>
          <w:p w14:paraId="29199B0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Setting (multi-centre US ICUs, 2014–2015) described; temporal and geographic generalisability limitations acknowledged.</w:t>
            </w:r>
          </w:p>
        </w:tc>
        <w:tc>
          <w:tcPr>
            <w:tcW w:w="1920" w:type="dxa"/>
            <w:tcBorders>
              <w:tl2br w:val="nil"/>
              <w:tr2bl w:val="nil"/>
            </w:tcBorders>
            <w:shd w:val="clear" w:color="auto" w:fill="auto"/>
            <w:tcMar>
              <w:top w:w="50" w:type="dxa"/>
              <w:left w:w="80" w:type="dxa"/>
              <w:bottom w:w="50" w:type="dxa"/>
              <w:right w:w="80" w:type="dxa"/>
            </w:tcMar>
            <w:vAlign w:val="top"/>
          </w:tcPr>
          <w:p w14:paraId="73F86BD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Study Design; Limitations</w:t>
            </w:r>
          </w:p>
        </w:tc>
        <w:tc>
          <w:tcPr>
            <w:tcW w:w="1019" w:type="dxa"/>
            <w:tcBorders>
              <w:tl2br w:val="nil"/>
              <w:tr2bl w:val="nil"/>
            </w:tcBorders>
            <w:shd w:val="clear" w:color="auto" w:fill="auto"/>
            <w:tcMar>
              <w:top w:w="50" w:type="dxa"/>
              <w:left w:w="80" w:type="dxa"/>
              <w:bottom w:w="50" w:type="dxa"/>
              <w:right w:w="80" w:type="dxa"/>
            </w:tcMar>
            <w:vAlign w:val="center"/>
          </w:tcPr>
          <w:p w14:paraId="6F500E1B">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0CA59901">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22AE6AE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Participants</w:t>
            </w:r>
          </w:p>
        </w:tc>
        <w:tc>
          <w:tcPr>
            <w:tcW w:w="889" w:type="dxa"/>
            <w:tcBorders>
              <w:tl2br w:val="nil"/>
              <w:tr2bl w:val="nil"/>
            </w:tcBorders>
            <w:shd w:val="clear" w:color="auto" w:fill="auto"/>
            <w:tcMar>
              <w:top w:w="50" w:type="dxa"/>
              <w:left w:w="80" w:type="dxa"/>
              <w:bottom w:w="50" w:type="dxa"/>
              <w:right w:w="80" w:type="dxa"/>
            </w:tcMar>
            <w:vAlign w:val="top"/>
          </w:tcPr>
          <w:p w14:paraId="6FF6E52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5a</w:t>
            </w:r>
          </w:p>
        </w:tc>
        <w:tc>
          <w:tcPr>
            <w:tcW w:w="3671" w:type="dxa"/>
            <w:tcBorders>
              <w:tl2br w:val="nil"/>
              <w:tr2bl w:val="nil"/>
            </w:tcBorders>
            <w:shd w:val="clear" w:color="auto" w:fill="auto"/>
            <w:tcMar>
              <w:top w:w="50" w:type="dxa"/>
              <w:left w:w="80" w:type="dxa"/>
              <w:bottom w:w="50" w:type="dxa"/>
              <w:right w:w="80" w:type="dxa"/>
            </w:tcMar>
            <w:vAlign w:val="top"/>
          </w:tcPr>
          <w:p w14:paraId="37B33B6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Observational retrospective cohort; sequential eligibility screening with documented exclusion steps; flow diagram provided.</w:t>
            </w:r>
          </w:p>
        </w:tc>
        <w:tc>
          <w:tcPr>
            <w:tcW w:w="1920" w:type="dxa"/>
            <w:tcBorders>
              <w:tl2br w:val="nil"/>
              <w:tr2bl w:val="nil"/>
            </w:tcBorders>
            <w:shd w:val="clear" w:color="auto" w:fill="auto"/>
            <w:tcMar>
              <w:top w:w="50" w:type="dxa"/>
              <w:left w:w="80" w:type="dxa"/>
              <w:bottom w:w="50" w:type="dxa"/>
              <w:right w:w="80" w:type="dxa"/>
            </w:tcMar>
            <w:vAlign w:val="top"/>
          </w:tcPr>
          <w:p w14:paraId="6094574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Study Population; Figure 1</w:t>
            </w:r>
          </w:p>
        </w:tc>
        <w:tc>
          <w:tcPr>
            <w:tcW w:w="1019" w:type="dxa"/>
            <w:tcBorders>
              <w:tl2br w:val="nil"/>
              <w:tr2bl w:val="nil"/>
            </w:tcBorders>
            <w:shd w:val="clear" w:color="auto" w:fill="auto"/>
            <w:tcMar>
              <w:top w:w="50" w:type="dxa"/>
              <w:left w:w="80" w:type="dxa"/>
              <w:bottom w:w="50" w:type="dxa"/>
              <w:right w:w="80" w:type="dxa"/>
            </w:tcMar>
            <w:vAlign w:val="center"/>
          </w:tcPr>
          <w:p w14:paraId="544F8D8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64A14180">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3D5AE2E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Participants</w:t>
            </w:r>
          </w:p>
        </w:tc>
        <w:tc>
          <w:tcPr>
            <w:tcW w:w="889" w:type="dxa"/>
            <w:tcBorders>
              <w:tl2br w:val="nil"/>
              <w:tr2bl w:val="nil"/>
            </w:tcBorders>
            <w:shd w:val="clear" w:color="auto" w:fill="auto"/>
            <w:tcMar>
              <w:top w:w="50" w:type="dxa"/>
              <w:left w:w="80" w:type="dxa"/>
              <w:bottom w:w="50" w:type="dxa"/>
              <w:right w:w="80" w:type="dxa"/>
            </w:tcMar>
            <w:vAlign w:val="top"/>
          </w:tcPr>
          <w:p w14:paraId="13E818B5">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5b</w:t>
            </w:r>
          </w:p>
        </w:tc>
        <w:tc>
          <w:tcPr>
            <w:tcW w:w="3671" w:type="dxa"/>
            <w:tcBorders>
              <w:tl2br w:val="nil"/>
              <w:tr2bl w:val="nil"/>
            </w:tcBorders>
            <w:shd w:val="clear" w:color="auto" w:fill="auto"/>
            <w:tcMar>
              <w:top w:w="50" w:type="dxa"/>
              <w:left w:w="80" w:type="dxa"/>
              <w:bottom w:w="50" w:type="dxa"/>
              <w:right w:w="80" w:type="dxa"/>
            </w:tcMar>
            <w:vAlign w:val="top"/>
          </w:tcPr>
          <w:p w14:paraId="4315B11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Inclusion (age ≥18, ARF diagnosis, ICU stay &gt;48 h, RDW within 24 h) and exclusion criteria (haematologic malignancy, transfusion history) fully specified.</w:t>
            </w:r>
          </w:p>
        </w:tc>
        <w:tc>
          <w:tcPr>
            <w:tcW w:w="1920" w:type="dxa"/>
            <w:tcBorders>
              <w:tl2br w:val="nil"/>
              <w:tr2bl w:val="nil"/>
            </w:tcBorders>
            <w:shd w:val="clear" w:color="auto" w:fill="auto"/>
            <w:tcMar>
              <w:top w:w="50" w:type="dxa"/>
              <w:left w:w="80" w:type="dxa"/>
              <w:bottom w:w="50" w:type="dxa"/>
              <w:right w:w="80" w:type="dxa"/>
            </w:tcMar>
            <w:vAlign w:val="top"/>
          </w:tcPr>
          <w:p w14:paraId="760F24AC">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Study Population</w:t>
            </w:r>
          </w:p>
        </w:tc>
        <w:tc>
          <w:tcPr>
            <w:tcW w:w="1019" w:type="dxa"/>
            <w:tcBorders>
              <w:tl2br w:val="nil"/>
              <w:tr2bl w:val="nil"/>
            </w:tcBorders>
            <w:shd w:val="clear" w:color="auto" w:fill="auto"/>
            <w:tcMar>
              <w:top w:w="50" w:type="dxa"/>
              <w:left w:w="80" w:type="dxa"/>
              <w:bottom w:w="50" w:type="dxa"/>
              <w:right w:w="80" w:type="dxa"/>
            </w:tcMar>
            <w:vAlign w:val="center"/>
          </w:tcPr>
          <w:p w14:paraId="4C651339">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223B744A">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CD23B21">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Outcome</w:t>
            </w:r>
          </w:p>
        </w:tc>
        <w:tc>
          <w:tcPr>
            <w:tcW w:w="889" w:type="dxa"/>
            <w:tcBorders>
              <w:tl2br w:val="nil"/>
              <w:tr2bl w:val="nil"/>
            </w:tcBorders>
            <w:shd w:val="clear" w:color="auto" w:fill="auto"/>
            <w:tcMar>
              <w:top w:w="50" w:type="dxa"/>
              <w:left w:w="80" w:type="dxa"/>
              <w:bottom w:w="50" w:type="dxa"/>
              <w:right w:w="80" w:type="dxa"/>
            </w:tcMar>
            <w:vAlign w:val="top"/>
          </w:tcPr>
          <w:p w14:paraId="4B39B6F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6a</w:t>
            </w:r>
          </w:p>
        </w:tc>
        <w:tc>
          <w:tcPr>
            <w:tcW w:w="3671" w:type="dxa"/>
            <w:tcBorders>
              <w:tl2br w:val="nil"/>
              <w:tr2bl w:val="nil"/>
            </w:tcBorders>
            <w:shd w:val="clear" w:color="auto" w:fill="auto"/>
            <w:tcMar>
              <w:top w:w="50" w:type="dxa"/>
              <w:left w:w="80" w:type="dxa"/>
              <w:bottom w:w="50" w:type="dxa"/>
              <w:right w:w="80" w:type="dxa"/>
            </w:tcMar>
            <w:vAlign w:val="top"/>
          </w:tcPr>
          <w:p w14:paraId="6A6808C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Primary outcome (all-cause in-hospital mortality) defined with time origin (ICU admission), event endpoint (in-hospital death), and censoring (discharge alive).</w:t>
            </w:r>
          </w:p>
        </w:tc>
        <w:tc>
          <w:tcPr>
            <w:tcW w:w="1920" w:type="dxa"/>
            <w:tcBorders>
              <w:tl2br w:val="nil"/>
              <w:tr2bl w:val="nil"/>
            </w:tcBorders>
            <w:shd w:val="clear" w:color="auto" w:fill="auto"/>
            <w:tcMar>
              <w:top w:w="50" w:type="dxa"/>
              <w:left w:w="80" w:type="dxa"/>
              <w:bottom w:w="50" w:type="dxa"/>
              <w:right w:w="80" w:type="dxa"/>
            </w:tcMar>
            <w:vAlign w:val="top"/>
          </w:tcPr>
          <w:p w14:paraId="54B222CA">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Descriptive Analysis and Survival Analysis</w:t>
            </w:r>
          </w:p>
        </w:tc>
        <w:tc>
          <w:tcPr>
            <w:tcW w:w="1019" w:type="dxa"/>
            <w:tcBorders>
              <w:tl2br w:val="nil"/>
              <w:tr2bl w:val="nil"/>
            </w:tcBorders>
            <w:shd w:val="clear" w:color="auto" w:fill="auto"/>
            <w:tcMar>
              <w:top w:w="50" w:type="dxa"/>
              <w:left w:w="80" w:type="dxa"/>
              <w:bottom w:w="50" w:type="dxa"/>
              <w:right w:w="80" w:type="dxa"/>
            </w:tcMar>
            <w:vAlign w:val="center"/>
          </w:tcPr>
          <w:p w14:paraId="61C7F34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71E3D003">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37D1068E">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Outcome</w:t>
            </w:r>
          </w:p>
        </w:tc>
        <w:tc>
          <w:tcPr>
            <w:tcW w:w="889" w:type="dxa"/>
            <w:tcBorders>
              <w:tl2br w:val="nil"/>
              <w:tr2bl w:val="nil"/>
            </w:tcBorders>
            <w:shd w:val="clear" w:color="auto" w:fill="auto"/>
            <w:tcMar>
              <w:top w:w="50" w:type="dxa"/>
              <w:left w:w="80" w:type="dxa"/>
              <w:bottom w:w="50" w:type="dxa"/>
              <w:right w:w="80" w:type="dxa"/>
            </w:tcMar>
            <w:vAlign w:val="top"/>
          </w:tcPr>
          <w:p w14:paraId="28C39DF1">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6b</w:t>
            </w:r>
          </w:p>
        </w:tc>
        <w:tc>
          <w:tcPr>
            <w:tcW w:w="3671" w:type="dxa"/>
            <w:tcBorders>
              <w:tl2br w:val="nil"/>
              <w:tr2bl w:val="nil"/>
            </w:tcBorders>
            <w:shd w:val="clear" w:color="auto" w:fill="auto"/>
            <w:tcMar>
              <w:top w:w="50" w:type="dxa"/>
              <w:left w:w="80" w:type="dxa"/>
              <w:bottom w:w="50" w:type="dxa"/>
              <w:right w:w="80" w:type="dxa"/>
            </w:tcMar>
            <w:vAlign w:val="top"/>
          </w:tcPr>
          <w:p w14:paraId="2AEE2A6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Outcome extracted from electronic database (not subject to observer bias); RDW measured within 24 h of admission, preceding outcome ascertainment.</w:t>
            </w:r>
          </w:p>
        </w:tc>
        <w:tc>
          <w:tcPr>
            <w:tcW w:w="1920" w:type="dxa"/>
            <w:tcBorders>
              <w:tl2br w:val="nil"/>
              <w:tr2bl w:val="nil"/>
            </w:tcBorders>
            <w:shd w:val="clear" w:color="auto" w:fill="auto"/>
            <w:tcMar>
              <w:top w:w="50" w:type="dxa"/>
              <w:left w:w="80" w:type="dxa"/>
              <w:bottom w:w="50" w:type="dxa"/>
              <w:right w:w="80" w:type="dxa"/>
            </w:tcMar>
            <w:vAlign w:val="top"/>
          </w:tcPr>
          <w:p w14:paraId="0919394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Study Design; Inclusion Criteria</w:t>
            </w:r>
          </w:p>
        </w:tc>
        <w:tc>
          <w:tcPr>
            <w:tcW w:w="1019" w:type="dxa"/>
            <w:tcBorders>
              <w:tl2br w:val="nil"/>
              <w:tr2bl w:val="nil"/>
            </w:tcBorders>
            <w:shd w:val="clear" w:color="auto" w:fill="auto"/>
            <w:tcMar>
              <w:top w:w="50" w:type="dxa"/>
              <w:left w:w="80" w:type="dxa"/>
              <w:bottom w:w="50" w:type="dxa"/>
              <w:right w:w="80" w:type="dxa"/>
            </w:tcMar>
            <w:vAlign w:val="center"/>
          </w:tcPr>
          <w:p w14:paraId="03EE77B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02508CFE">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BBB715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Predictors</w:t>
            </w:r>
          </w:p>
        </w:tc>
        <w:tc>
          <w:tcPr>
            <w:tcW w:w="889" w:type="dxa"/>
            <w:tcBorders>
              <w:tl2br w:val="nil"/>
              <w:tr2bl w:val="nil"/>
            </w:tcBorders>
            <w:shd w:val="clear" w:color="auto" w:fill="auto"/>
            <w:tcMar>
              <w:top w:w="50" w:type="dxa"/>
              <w:left w:w="80" w:type="dxa"/>
              <w:bottom w:w="50" w:type="dxa"/>
              <w:right w:w="80" w:type="dxa"/>
            </w:tcMar>
            <w:vAlign w:val="top"/>
          </w:tcPr>
          <w:p w14:paraId="5A4184EB">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7a</w:t>
            </w:r>
          </w:p>
        </w:tc>
        <w:tc>
          <w:tcPr>
            <w:tcW w:w="3671" w:type="dxa"/>
            <w:tcBorders>
              <w:tl2br w:val="nil"/>
              <w:tr2bl w:val="nil"/>
            </w:tcBorders>
            <w:shd w:val="clear" w:color="auto" w:fill="auto"/>
            <w:tcMar>
              <w:top w:w="50" w:type="dxa"/>
              <w:left w:w="80" w:type="dxa"/>
              <w:bottom w:w="50" w:type="dxa"/>
              <w:right w:w="80" w:type="dxa"/>
            </w:tcMar>
            <w:vAlign w:val="top"/>
          </w:tcPr>
          <w:p w14:paraId="32E98268">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AWRI defined as RDW × (1 + age/100); all 17 ML predictors measured at ICU admission or within 24 h. Full variable list in Supplementary Figure S4B.</w:t>
            </w:r>
          </w:p>
        </w:tc>
        <w:tc>
          <w:tcPr>
            <w:tcW w:w="1920" w:type="dxa"/>
            <w:tcBorders>
              <w:tl2br w:val="nil"/>
              <w:tr2bl w:val="nil"/>
            </w:tcBorders>
            <w:shd w:val="clear" w:color="auto" w:fill="auto"/>
            <w:tcMar>
              <w:top w:w="50" w:type="dxa"/>
              <w:left w:w="80" w:type="dxa"/>
              <w:bottom w:w="50" w:type="dxa"/>
              <w:right w:w="80" w:type="dxa"/>
            </w:tcMar>
            <w:vAlign w:val="top"/>
          </w:tcPr>
          <w:p w14:paraId="1729553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Variable Collection; AWRI Construction; Suppl. Fig. S4B</w:t>
            </w:r>
          </w:p>
        </w:tc>
        <w:tc>
          <w:tcPr>
            <w:tcW w:w="1019" w:type="dxa"/>
            <w:tcBorders>
              <w:tl2br w:val="nil"/>
              <w:tr2bl w:val="nil"/>
            </w:tcBorders>
            <w:shd w:val="clear" w:color="auto" w:fill="auto"/>
            <w:tcMar>
              <w:top w:w="50" w:type="dxa"/>
              <w:left w:w="80" w:type="dxa"/>
              <w:bottom w:w="50" w:type="dxa"/>
              <w:right w:w="80" w:type="dxa"/>
            </w:tcMar>
            <w:vAlign w:val="center"/>
          </w:tcPr>
          <w:p w14:paraId="36E50E1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22DB4C8E">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6D4F69B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Predictors (AI)</w:t>
            </w:r>
          </w:p>
        </w:tc>
        <w:tc>
          <w:tcPr>
            <w:tcW w:w="889" w:type="dxa"/>
            <w:tcBorders>
              <w:tl2br w:val="nil"/>
              <w:tr2bl w:val="nil"/>
            </w:tcBorders>
            <w:shd w:val="clear" w:color="auto" w:fill="auto"/>
            <w:tcMar>
              <w:top w:w="50" w:type="dxa"/>
              <w:left w:w="80" w:type="dxa"/>
              <w:bottom w:w="50" w:type="dxa"/>
              <w:right w:w="80" w:type="dxa"/>
            </w:tcMar>
            <w:vAlign w:val="top"/>
          </w:tcPr>
          <w:p w14:paraId="0C4E7AF2">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7b</w:t>
            </w:r>
          </w:p>
        </w:tc>
        <w:tc>
          <w:tcPr>
            <w:tcW w:w="3671" w:type="dxa"/>
            <w:tcBorders>
              <w:tl2br w:val="nil"/>
              <w:tr2bl w:val="nil"/>
            </w:tcBorders>
            <w:shd w:val="clear" w:color="auto" w:fill="auto"/>
            <w:tcMar>
              <w:top w:w="50" w:type="dxa"/>
              <w:left w:w="80" w:type="dxa"/>
              <w:bottom w:w="50" w:type="dxa"/>
              <w:right w:w="80" w:type="dxa"/>
            </w:tcMar>
            <w:vAlign w:val="top"/>
          </w:tcPr>
          <w:p w14:paraId="64DEDE3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Two-stage feature engineering: (1) pairwise correlation filtering (r &gt; 0.50); (2) ensemble importance ranking across RF, LightGBM, and XGBoost yielding 17 final features.</w:t>
            </w:r>
          </w:p>
        </w:tc>
        <w:tc>
          <w:tcPr>
            <w:tcW w:w="1920" w:type="dxa"/>
            <w:tcBorders>
              <w:tl2br w:val="nil"/>
              <w:tr2bl w:val="nil"/>
            </w:tcBorders>
            <w:shd w:val="clear" w:color="auto" w:fill="auto"/>
            <w:tcMar>
              <w:top w:w="50" w:type="dxa"/>
              <w:left w:w="80" w:type="dxa"/>
              <w:bottom w:w="50" w:type="dxa"/>
              <w:right w:w="80" w:type="dxa"/>
            </w:tcMar>
            <w:vAlign w:val="top"/>
          </w:tcPr>
          <w:p w14:paraId="65BBF61E">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ML Modelling; Supplementary Methods S3</w:t>
            </w:r>
          </w:p>
        </w:tc>
        <w:tc>
          <w:tcPr>
            <w:tcW w:w="1019" w:type="dxa"/>
            <w:tcBorders>
              <w:tl2br w:val="nil"/>
              <w:tr2bl w:val="nil"/>
            </w:tcBorders>
            <w:shd w:val="clear" w:color="auto" w:fill="auto"/>
            <w:tcMar>
              <w:top w:w="50" w:type="dxa"/>
              <w:left w:w="80" w:type="dxa"/>
              <w:bottom w:w="50" w:type="dxa"/>
              <w:right w:w="80" w:type="dxa"/>
            </w:tcMar>
            <w:vAlign w:val="center"/>
          </w:tcPr>
          <w:p w14:paraId="74EB475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62EA2799">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74D6F321">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Sample size</w:t>
            </w:r>
          </w:p>
        </w:tc>
        <w:tc>
          <w:tcPr>
            <w:tcW w:w="889" w:type="dxa"/>
            <w:tcBorders>
              <w:tl2br w:val="nil"/>
              <w:tr2bl w:val="nil"/>
            </w:tcBorders>
            <w:shd w:val="clear" w:color="auto" w:fill="auto"/>
            <w:tcMar>
              <w:top w:w="50" w:type="dxa"/>
              <w:left w:w="80" w:type="dxa"/>
              <w:bottom w:w="50" w:type="dxa"/>
              <w:right w:w="80" w:type="dxa"/>
            </w:tcMar>
            <w:vAlign w:val="top"/>
          </w:tcPr>
          <w:p w14:paraId="5D08F4C6">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8</w:t>
            </w:r>
          </w:p>
        </w:tc>
        <w:tc>
          <w:tcPr>
            <w:tcW w:w="3671" w:type="dxa"/>
            <w:tcBorders>
              <w:tl2br w:val="nil"/>
              <w:tr2bl w:val="nil"/>
            </w:tcBorders>
            <w:shd w:val="clear" w:color="auto" w:fill="auto"/>
            <w:tcMar>
              <w:top w:w="50" w:type="dxa"/>
              <w:left w:w="80" w:type="dxa"/>
              <w:bottom w:w="50" w:type="dxa"/>
              <w:right w:w="80" w:type="dxa"/>
            </w:tcMar>
            <w:vAlign w:val="top"/>
          </w:tcPr>
          <w:p w14:paraId="638B19D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No formal sample size calculation; all eligible patients included (n = 24,709), consistent with secondary database analysis.</w:t>
            </w:r>
          </w:p>
        </w:tc>
        <w:tc>
          <w:tcPr>
            <w:tcW w:w="1920" w:type="dxa"/>
            <w:tcBorders>
              <w:tl2br w:val="nil"/>
              <w:tr2bl w:val="nil"/>
            </w:tcBorders>
            <w:shd w:val="clear" w:color="auto" w:fill="auto"/>
            <w:tcMar>
              <w:top w:w="50" w:type="dxa"/>
              <w:left w:w="80" w:type="dxa"/>
              <w:bottom w:w="50" w:type="dxa"/>
              <w:right w:w="80" w:type="dxa"/>
            </w:tcMar>
            <w:vAlign w:val="top"/>
          </w:tcPr>
          <w:p w14:paraId="53C7BF8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Study Population; Results: Study Population</w:t>
            </w:r>
          </w:p>
        </w:tc>
        <w:tc>
          <w:tcPr>
            <w:tcW w:w="1019" w:type="dxa"/>
            <w:tcBorders>
              <w:tl2br w:val="nil"/>
              <w:tr2bl w:val="nil"/>
            </w:tcBorders>
            <w:shd w:val="clear" w:color="auto" w:fill="auto"/>
            <w:tcMar>
              <w:top w:w="50" w:type="dxa"/>
              <w:left w:w="80" w:type="dxa"/>
              <w:bottom w:w="50" w:type="dxa"/>
              <w:right w:w="80" w:type="dxa"/>
            </w:tcMar>
            <w:vAlign w:val="center"/>
          </w:tcPr>
          <w:p w14:paraId="7B12294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33AA9AF2">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6C83B9B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Missing data</w:t>
            </w:r>
          </w:p>
        </w:tc>
        <w:tc>
          <w:tcPr>
            <w:tcW w:w="889" w:type="dxa"/>
            <w:tcBorders>
              <w:tl2br w:val="nil"/>
              <w:tr2bl w:val="nil"/>
            </w:tcBorders>
            <w:shd w:val="clear" w:color="auto" w:fill="auto"/>
            <w:tcMar>
              <w:top w:w="50" w:type="dxa"/>
              <w:left w:w="80" w:type="dxa"/>
              <w:bottom w:w="50" w:type="dxa"/>
              <w:right w:w="80" w:type="dxa"/>
            </w:tcMar>
            <w:vAlign w:val="top"/>
          </w:tcPr>
          <w:p w14:paraId="654F9CBA">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9</w:t>
            </w:r>
          </w:p>
        </w:tc>
        <w:tc>
          <w:tcPr>
            <w:tcW w:w="3671" w:type="dxa"/>
            <w:tcBorders>
              <w:tl2br w:val="nil"/>
              <w:tr2bl w:val="nil"/>
            </w:tcBorders>
            <w:shd w:val="clear" w:color="auto" w:fill="auto"/>
            <w:tcMar>
              <w:top w:w="50" w:type="dxa"/>
              <w:left w:w="80" w:type="dxa"/>
              <w:bottom w:w="50" w:type="dxa"/>
              <w:right w:w="80" w:type="dxa"/>
            </w:tcMar>
            <w:vAlign w:val="top"/>
          </w:tcPr>
          <w:p w14:paraId="754A944A">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Variables &gt;40% missing excluded (albumin, 45.5%); continuous variables imputed by random forest-based multiple imputation; categorical variables by mode imputation. KDE validation performed.</w:t>
            </w:r>
          </w:p>
        </w:tc>
        <w:tc>
          <w:tcPr>
            <w:tcW w:w="1920" w:type="dxa"/>
            <w:tcBorders>
              <w:tl2br w:val="nil"/>
              <w:tr2bl w:val="nil"/>
            </w:tcBorders>
            <w:shd w:val="clear" w:color="auto" w:fill="auto"/>
            <w:tcMar>
              <w:top w:w="50" w:type="dxa"/>
              <w:left w:w="80" w:type="dxa"/>
              <w:bottom w:w="50" w:type="dxa"/>
              <w:right w:w="80" w:type="dxa"/>
            </w:tcMar>
            <w:vAlign w:val="top"/>
          </w:tcPr>
          <w:p w14:paraId="14D2CA24">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Clinical Data Collection; Suppl. Table S1; Suppl. Fig. S1</w:t>
            </w:r>
          </w:p>
        </w:tc>
        <w:tc>
          <w:tcPr>
            <w:tcW w:w="1019" w:type="dxa"/>
            <w:tcBorders>
              <w:tl2br w:val="nil"/>
              <w:tr2bl w:val="nil"/>
            </w:tcBorders>
            <w:shd w:val="clear" w:color="auto" w:fill="auto"/>
            <w:tcMar>
              <w:top w:w="50" w:type="dxa"/>
              <w:left w:w="80" w:type="dxa"/>
              <w:bottom w:w="50" w:type="dxa"/>
              <w:right w:w="80" w:type="dxa"/>
            </w:tcMar>
            <w:vAlign w:val="center"/>
          </w:tcPr>
          <w:p w14:paraId="1CA1478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5FD0E12C">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04D197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Analysis: predictors</w:t>
            </w:r>
          </w:p>
        </w:tc>
        <w:tc>
          <w:tcPr>
            <w:tcW w:w="889" w:type="dxa"/>
            <w:tcBorders>
              <w:tl2br w:val="nil"/>
              <w:tr2bl w:val="nil"/>
            </w:tcBorders>
            <w:shd w:val="clear" w:color="auto" w:fill="auto"/>
            <w:tcMar>
              <w:top w:w="50" w:type="dxa"/>
              <w:left w:w="80" w:type="dxa"/>
              <w:bottom w:w="50" w:type="dxa"/>
              <w:right w:w="80" w:type="dxa"/>
            </w:tcMar>
            <w:vAlign w:val="top"/>
          </w:tcPr>
          <w:p w14:paraId="32A8EB1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10a</w:t>
            </w:r>
          </w:p>
        </w:tc>
        <w:tc>
          <w:tcPr>
            <w:tcW w:w="3671" w:type="dxa"/>
            <w:tcBorders>
              <w:tl2br w:val="nil"/>
              <w:tr2bl w:val="nil"/>
            </w:tcBorders>
            <w:shd w:val="clear" w:color="auto" w:fill="auto"/>
            <w:tcMar>
              <w:top w:w="50" w:type="dxa"/>
              <w:left w:w="80" w:type="dxa"/>
              <w:bottom w:w="50" w:type="dxa"/>
              <w:right w:w="80" w:type="dxa"/>
            </w:tcMar>
            <w:vAlign w:val="top"/>
          </w:tcPr>
          <w:p w14:paraId="5DD71E4A">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AWRI as quartiles in Cox models; continuous in ML models. Nonlinear patterns explored via RCS (4 knots: 5th, 35th, 65th, 95th percentiles).</w:t>
            </w:r>
          </w:p>
        </w:tc>
        <w:tc>
          <w:tcPr>
            <w:tcW w:w="1920" w:type="dxa"/>
            <w:tcBorders>
              <w:tl2br w:val="nil"/>
              <w:tr2bl w:val="nil"/>
            </w:tcBorders>
            <w:shd w:val="clear" w:color="auto" w:fill="auto"/>
            <w:tcMar>
              <w:top w:w="50" w:type="dxa"/>
              <w:left w:w="80" w:type="dxa"/>
              <w:bottom w:w="50" w:type="dxa"/>
              <w:right w:w="80" w:type="dxa"/>
            </w:tcMar>
            <w:vAlign w:val="top"/>
          </w:tcPr>
          <w:p w14:paraId="06263D02">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Cox Regression; Non-linear Relationship Exploration</w:t>
            </w:r>
          </w:p>
        </w:tc>
        <w:tc>
          <w:tcPr>
            <w:tcW w:w="1019" w:type="dxa"/>
            <w:tcBorders>
              <w:tl2br w:val="nil"/>
              <w:tr2bl w:val="nil"/>
            </w:tcBorders>
            <w:shd w:val="clear" w:color="auto" w:fill="auto"/>
            <w:tcMar>
              <w:top w:w="50" w:type="dxa"/>
              <w:left w:w="80" w:type="dxa"/>
              <w:bottom w:w="50" w:type="dxa"/>
              <w:right w:w="80" w:type="dxa"/>
            </w:tcMar>
            <w:vAlign w:val="center"/>
          </w:tcPr>
          <w:p w14:paraId="6954290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0DE26E8C">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41CD434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Analysis: model building</w:t>
            </w:r>
          </w:p>
        </w:tc>
        <w:tc>
          <w:tcPr>
            <w:tcW w:w="889" w:type="dxa"/>
            <w:tcBorders>
              <w:tl2br w:val="nil"/>
              <w:tr2bl w:val="nil"/>
            </w:tcBorders>
            <w:shd w:val="clear" w:color="auto" w:fill="auto"/>
            <w:tcMar>
              <w:top w:w="50" w:type="dxa"/>
              <w:left w:w="80" w:type="dxa"/>
              <w:bottom w:w="50" w:type="dxa"/>
              <w:right w:w="80" w:type="dxa"/>
            </w:tcMar>
            <w:vAlign w:val="top"/>
          </w:tcPr>
          <w:p w14:paraId="2BD5DBE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10b</w:t>
            </w:r>
          </w:p>
        </w:tc>
        <w:tc>
          <w:tcPr>
            <w:tcW w:w="3671" w:type="dxa"/>
            <w:tcBorders>
              <w:tl2br w:val="nil"/>
              <w:tr2bl w:val="nil"/>
            </w:tcBorders>
            <w:shd w:val="clear" w:color="auto" w:fill="auto"/>
            <w:tcMar>
              <w:top w:w="50" w:type="dxa"/>
              <w:left w:w="80" w:type="dxa"/>
              <w:bottom w:w="50" w:type="dxa"/>
              <w:right w:w="80" w:type="dxa"/>
            </w:tcMar>
            <w:vAlign w:val="top"/>
          </w:tcPr>
          <w:p w14:paraId="5D8024B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Three progressively adjusted Cox models; five ML algorithms; 70:30 stratified split; 5-fold CV hyperparameter optimisation (search spaces in Suppl. Table S7); class weight balancing.</w:t>
            </w:r>
          </w:p>
        </w:tc>
        <w:tc>
          <w:tcPr>
            <w:tcW w:w="1920" w:type="dxa"/>
            <w:tcBorders>
              <w:tl2br w:val="nil"/>
              <w:tr2bl w:val="nil"/>
            </w:tcBorders>
            <w:shd w:val="clear" w:color="auto" w:fill="auto"/>
            <w:tcMar>
              <w:top w:w="50" w:type="dxa"/>
              <w:left w:w="80" w:type="dxa"/>
              <w:bottom w:w="50" w:type="dxa"/>
              <w:right w:w="80" w:type="dxa"/>
            </w:tcMar>
            <w:vAlign w:val="top"/>
          </w:tcPr>
          <w:p w14:paraId="0B0B344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Cox Regression; ML Modelling; Suppl. Table S7</w:t>
            </w:r>
          </w:p>
        </w:tc>
        <w:tc>
          <w:tcPr>
            <w:tcW w:w="1019" w:type="dxa"/>
            <w:tcBorders>
              <w:tl2br w:val="nil"/>
              <w:tr2bl w:val="nil"/>
            </w:tcBorders>
            <w:shd w:val="clear" w:color="auto" w:fill="auto"/>
            <w:tcMar>
              <w:top w:w="50" w:type="dxa"/>
              <w:left w:w="80" w:type="dxa"/>
              <w:bottom w:w="50" w:type="dxa"/>
              <w:right w:w="80" w:type="dxa"/>
            </w:tcMar>
            <w:vAlign w:val="center"/>
          </w:tcPr>
          <w:p w14:paraId="20DA742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511BC847">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704B20C6">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Analysis: algorithm (AI)</w:t>
            </w:r>
          </w:p>
        </w:tc>
        <w:tc>
          <w:tcPr>
            <w:tcW w:w="889" w:type="dxa"/>
            <w:tcBorders>
              <w:tl2br w:val="nil"/>
              <w:tr2bl w:val="nil"/>
            </w:tcBorders>
            <w:shd w:val="clear" w:color="auto" w:fill="auto"/>
            <w:tcMar>
              <w:top w:w="50" w:type="dxa"/>
              <w:left w:w="80" w:type="dxa"/>
              <w:bottom w:w="50" w:type="dxa"/>
              <w:right w:w="80" w:type="dxa"/>
            </w:tcMar>
            <w:vAlign w:val="top"/>
          </w:tcPr>
          <w:p w14:paraId="47CD91BB">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10b-AI</w:t>
            </w:r>
          </w:p>
        </w:tc>
        <w:tc>
          <w:tcPr>
            <w:tcW w:w="3671" w:type="dxa"/>
            <w:tcBorders>
              <w:tl2br w:val="nil"/>
              <w:tr2bl w:val="nil"/>
            </w:tcBorders>
            <w:shd w:val="clear" w:color="auto" w:fill="auto"/>
            <w:tcMar>
              <w:top w:w="50" w:type="dxa"/>
              <w:left w:w="80" w:type="dxa"/>
              <w:bottom w:w="50" w:type="dxa"/>
              <w:right w:w="80" w:type="dxa"/>
            </w:tcMar>
            <w:vAlign w:val="top"/>
          </w:tcPr>
          <w:p w14:paraId="07DFAD56">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Algorithms and versions specified: scikit-learn 1.2.2 (Logistic Regression, Random Forest, Gaussian Naive Bayes), XGBoost, LightGBM; shap v0.48.0; R survival package.</w:t>
            </w:r>
          </w:p>
        </w:tc>
        <w:tc>
          <w:tcPr>
            <w:tcW w:w="1920" w:type="dxa"/>
            <w:tcBorders>
              <w:tl2br w:val="nil"/>
              <w:tr2bl w:val="nil"/>
            </w:tcBorders>
            <w:shd w:val="clear" w:color="auto" w:fill="auto"/>
            <w:tcMar>
              <w:top w:w="50" w:type="dxa"/>
              <w:left w:w="80" w:type="dxa"/>
              <w:bottom w:w="50" w:type="dxa"/>
              <w:right w:w="80" w:type="dxa"/>
            </w:tcMar>
            <w:vAlign w:val="top"/>
          </w:tcPr>
          <w:p w14:paraId="324CE79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ML Modelling; Statistical Software</w:t>
            </w:r>
          </w:p>
        </w:tc>
        <w:tc>
          <w:tcPr>
            <w:tcW w:w="1019" w:type="dxa"/>
            <w:tcBorders>
              <w:tl2br w:val="nil"/>
              <w:tr2bl w:val="nil"/>
            </w:tcBorders>
            <w:shd w:val="clear" w:color="auto" w:fill="auto"/>
            <w:tcMar>
              <w:top w:w="50" w:type="dxa"/>
              <w:left w:w="80" w:type="dxa"/>
              <w:bottom w:w="50" w:type="dxa"/>
              <w:right w:w="80" w:type="dxa"/>
            </w:tcMar>
            <w:vAlign w:val="center"/>
          </w:tcPr>
          <w:p w14:paraId="3E698C0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4B01AF15">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75B2D7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Analysis: performance measures</w:t>
            </w:r>
          </w:p>
        </w:tc>
        <w:tc>
          <w:tcPr>
            <w:tcW w:w="889" w:type="dxa"/>
            <w:tcBorders>
              <w:tl2br w:val="nil"/>
              <w:tr2bl w:val="nil"/>
            </w:tcBorders>
            <w:shd w:val="clear" w:color="auto" w:fill="auto"/>
            <w:tcMar>
              <w:top w:w="50" w:type="dxa"/>
              <w:left w:w="80" w:type="dxa"/>
              <w:bottom w:w="50" w:type="dxa"/>
              <w:right w:w="80" w:type="dxa"/>
            </w:tcMar>
            <w:vAlign w:val="top"/>
          </w:tcPr>
          <w:p w14:paraId="42894CE4">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10c</w:t>
            </w:r>
          </w:p>
        </w:tc>
        <w:tc>
          <w:tcPr>
            <w:tcW w:w="3671" w:type="dxa"/>
            <w:tcBorders>
              <w:tl2br w:val="nil"/>
              <w:tr2bl w:val="nil"/>
            </w:tcBorders>
            <w:shd w:val="clear" w:color="auto" w:fill="auto"/>
            <w:tcMar>
              <w:top w:w="50" w:type="dxa"/>
              <w:left w:w="80" w:type="dxa"/>
              <w:bottom w:w="50" w:type="dxa"/>
              <w:right w:w="80" w:type="dxa"/>
            </w:tcMar>
            <w:vAlign w:val="top"/>
          </w:tcPr>
          <w:p w14:paraId="3673E65E">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 xml:space="preserve">Discrimination metrics specified: AUC (primary), sensitivity, specificity, precision, F1-score, C-statistic; DeLong test for AUC comparison; bootstrap CIs (n = 1,000). </w:t>
            </w:r>
          </w:p>
        </w:tc>
        <w:tc>
          <w:tcPr>
            <w:tcW w:w="1920" w:type="dxa"/>
            <w:tcBorders>
              <w:tl2br w:val="nil"/>
              <w:tr2bl w:val="nil"/>
            </w:tcBorders>
            <w:shd w:val="clear" w:color="auto" w:fill="auto"/>
            <w:tcMar>
              <w:top w:w="50" w:type="dxa"/>
              <w:left w:w="80" w:type="dxa"/>
              <w:bottom w:w="50" w:type="dxa"/>
              <w:right w:w="80" w:type="dxa"/>
            </w:tcMar>
            <w:vAlign w:val="top"/>
          </w:tcPr>
          <w:p w14:paraId="7A182B8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Cox Regression; ML Modelling</w:t>
            </w:r>
          </w:p>
        </w:tc>
        <w:tc>
          <w:tcPr>
            <w:tcW w:w="1019" w:type="dxa"/>
            <w:tcBorders>
              <w:tl2br w:val="nil"/>
              <w:tr2bl w:val="nil"/>
            </w:tcBorders>
            <w:shd w:val="clear" w:color="auto" w:fill="auto"/>
            <w:tcMar>
              <w:top w:w="50" w:type="dxa"/>
              <w:left w:w="80" w:type="dxa"/>
              <w:bottom w:w="50" w:type="dxa"/>
              <w:right w:w="80" w:type="dxa"/>
            </w:tcMar>
            <w:vAlign w:val="center"/>
          </w:tcPr>
          <w:p w14:paraId="2730C558">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7415E90C">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589AB1A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Analysis: overfitting (AI)</w:t>
            </w:r>
          </w:p>
        </w:tc>
        <w:tc>
          <w:tcPr>
            <w:tcW w:w="889" w:type="dxa"/>
            <w:tcBorders>
              <w:tl2br w:val="nil"/>
              <w:tr2bl w:val="nil"/>
            </w:tcBorders>
            <w:shd w:val="clear" w:color="auto" w:fill="auto"/>
            <w:tcMar>
              <w:top w:w="50" w:type="dxa"/>
              <w:left w:w="80" w:type="dxa"/>
              <w:bottom w:w="50" w:type="dxa"/>
              <w:right w:w="80" w:type="dxa"/>
            </w:tcMar>
            <w:vAlign w:val="top"/>
          </w:tcPr>
          <w:p w14:paraId="2E96A15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10c-AI</w:t>
            </w:r>
          </w:p>
        </w:tc>
        <w:tc>
          <w:tcPr>
            <w:tcW w:w="3671" w:type="dxa"/>
            <w:tcBorders>
              <w:tl2br w:val="nil"/>
              <w:tr2bl w:val="nil"/>
            </w:tcBorders>
            <w:shd w:val="clear" w:color="auto" w:fill="auto"/>
            <w:tcMar>
              <w:top w:w="50" w:type="dxa"/>
              <w:left w:w="80" w:type="dxa"/>
              <w:bottom w:w="50" w:type="dxa"/>
              <w:right w:w="80" w:type="dxa"/>
            </w:tcMar>
            <w:vAlign w:val="top"/>
          </w:tcPr>
          <w:p w14:paraId="24D147DF">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Overfitting assessed via 5-fold CV, training-to-test AUC gap for all five models, and SHAP importance stability across training and held-out test sets.</w:t>
            </w:r>
          </w:p>
        </w:tc>
        <w:tc>
          <w:tcPr>
            <w:tcW w:w="1920" w:type="dxa"/>
            <w:tcBorders>
              <w:tl2br w:val="nil"/>
              <w:tr2bl w:val="nil"/>
            </w:tcBorders>
            <w:shd w:val="clear" w:color="auto" w:fill="auto"/>
            <w:tcMar>
              <w:top w:w="50" w:type="dxa"/>
              <w:left w:w="80" w:type="dxa"/>
              <w:bottom w:w="50" w:type="dxa"/>
              <w:right w:w="80" w:type="dxa"/>
            </w:tcMar>
            <w:vAlign w:val="top"/>
          </w:tcPr>
          <w:p w14:paraId="583B8E3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ML Modelling; Results: ML Model Performance</w:t>
            </w:r>
          </w:p>
        </w:tc>
        <w:tc>
          <w:tcPr>
            <w:tcW w:w="1019" w:type="dxa"/>
            <w:tcBorders>
              <w:tl2br w:val="nil"/>
              <w:tr2bl w:val="nil"/>
            </w:tcBorders>
            <w:shd w:val="clear" w:color="auto" w:fill="auto"/>
            <w:tcMar>
              <w:top w:w="50" w:type="dxa"/>
              <w:left w:w="80" w:type="dxa"/>
              <w:bottom w:w="50" w:type="dxa"/>
              <w:right w:w="80" w:type="dxa"/>
            </w:tcMar>
            <w:vAlign w:val="center"/>
          </w:tcPr>
          <w:p w14:paraId="1D1FB46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06557085">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74A4ADCC">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Analysis: interpretability (AI)</w:t>
            </w:r>
          </w:p>
        </w:tc>
        <w:tc>
          <w:tcPr>
            <w:tcW w:w="889" w:type="dxa"/>
            <w:tcBorders>
              <w:tl2br w:val="nil"/>
              <w:tr2bl w:val="nil"/>
            </w:tcBorders>
            <w:shd w:val="clear" w:color="auto" w:fill="auto"/>
            <w:tcMar>
              <w:top w:w="50" w:type="dxa"/>
              <w:left w:w="80" w:type="dxa"/>
              <w:bottom w:w="50" w:type="dxa"/>
              <w:right w:w="80" w:type="dxa"/>
            </w:tcMar>
            <w:vAlign w:val="top"/>
          </w:tcPr>
          <w:p w14:paraId="1412A03B">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10d</w:t>
            </w:r>
          </w:p>
        </w:tc>
        <w:tc>
          <w:tcPr>
            <w:tcW w:w="3671" w:type="dxa"/>
            <w:tcBorders>
              <w:tl2br w:val="nil"/>
              <w:tr2bl w:val="nil"/>
            </w:tcBorders>
            <w:shd w:val="clear" w:color="auto" w:fill="auto"/>
            <w:tcMar>
              <w:top w:w="50" w:type="dxa"/>
              <w:left w:w="80" w:type="dxa"/>
              <w:bottom w:w="50" w:type="dxa"/>
              <w:right w:w="80" w:type="dxa"/>
            </w:tcMar>
            <w:vAlign w:val="top"/>
          </w:tcPr>
          <w:p w14:paraId="1BA91AF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SHAP via TreeExplainer (exact Shapley decomposition); global importance as mean |SHAP|; dependence plots for nonlinear AWRI patterns; replicated on training and test sets.</w:t>
            </w:r>
          </w:p>
        </w:tc>
        <w:tc>
          <w:tcPr>
            <w:tcW w:w="1920" w:type="dxa"/>
            <w:tcBorders>
              <w:tl2br w:val="nil"/>
              <w:tr2bl w:val="nil"/>
            </w:tcBorders>
            <w:shd w:val="clear" w:color="auto" w:fill="auto"/>
            <w:tcMar>
              <w:top w:w="50" w:type="dxa"/>
              <w:left w:w="80" w:type="dxa"/>
              <w:bottom w:w="50" w:type="dxa"/>
              <w:right w:w="80" w:type="dxa"/>
            </w:tcMar>
            <w:vAlign w:val="top"/>
          </w:tcPr>
          <w:p w14:paraId="734580F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ML Modelling; Supplementary Methods S3</w:t>
            </w:r>
          </w:p>
        </w:tc>
        <w:tc>
          <w:tcPr>
            <w:tcW w:w="1019" w:type="dxa"/>
            <w:tcBorders>
              <w:tl2br w:val="nil"/>
              <w:tr2bl w:val="nil"/>
            </w:tcBorders>
            <w:shd w:val="clear" w:color="auto" w:fill="auto"/>
            <w:tcMar>
              <w:top w:w="50" w:type="dxa"/>
              <w:left w:w="80" w:type="dxa"/>
              <w:bottom w:w="50" w:type="dxa"/>
              <w:right w:w="80" w:type="dxa"/>
            </w:tcMar>
            <w:vAlign w:val="center"/>
          </w:tcPr>
          <w:p w14:paraId="6F7D3A43">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43EC4613">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7C4E9DE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Development vs. validation</w:t>
            </w:r>
          </w:p>
        </w:tc>
        <w:tc>
          <w:tcPr>
            <w:tcW w:w="889" w:type="dxa"/>
            <w:tcBorders>
              <w:tl2br w:val="nil"/>
              <w:tr2bl w:val="nil"/>
            </w:tcBorders>
            <w:shd w:val="clear" w:color="auto" w:fill="auto"/>
            <w:tcMar>
              <w:top w:w="50" w:type="dxa"/>
              <w:left w:w="80" w:type="dxa"/>
              <w:bottom w:w="50" w:type="dxa"/>
              <w:right w:w="80" w:type="dxa"/>
            </w:tcMar>
            <w:vAlign w:val="top"/>
          </w:tcPr>
          <w:p w14:paraId="42B3858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11</w:t>
            </w:r>
          </w:p>
        </w:tc>
        <w:tc>
          <w:tcPr>
            <w:tcW w:w="3671" w:type="dxa"/>
            <w:tcBorders>
              <w:tl2br w:val="nil"/>
              <w:tr2bl w:val="nil"/>
            </w:tcBorders>
            <w:shd w:val="clear" w:color="auto" w:fill="auto"/>
            <w:tcMar>
              <w:top w:w="50" w:type="dxa"/>
              <w:left w:w="80" w:type="dxa"/>
              <w:bottom w:w="50" w:type="dxa"/>
              <w:right w:w="80" w:type="dxa"/>
            </w:tcMar>
            <w:vAlign w:val="top"/>
          </w:tcPr>
          <w:p w14:paraId="5B59F33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Development only; internal validation via 70:30 stratified split (training n = 17,296; test n = 7,413). No external validation; acknowledged as limitation.</w:t>
            </w:r>
          </w:p>
        </w:tc>
        <w:tc>
          <w:tcPr>
            <w:tcW w:w="1920" w:type="dxa"/>
            <w:tcBorders>
              <w:tl2br w:val="nil"/>
              <w:tr2bl w:val="nil"/>
            </w:tcBorders>
            <w:shd w:val="clear" w:color="auto" w:fill="auto"/>
            <w:tcMar>
              <w:top w:w="50" w:type="dxa"/>
              <w:left w:w="80" w:type="dxa"/>
              <w:bottom w:w="50" w:type="dxa"/>
              <w:right w:w="80" w:type="dxa"/>
            </w:tcMar>
            <w:vAlign w:val="top"/>
          </w:tcPr>
          <w:p w14:paraId="3025420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Methods: ML Modelling; Limitations</w:t>
            </w:r>
          </w:p>
        </w:tc>
        <w:tc>
          <w:tcPr>
            <w:tcW w:w="1019" w:type="dxa"/>
            <w:tcBorders>
              <w:tl2br w:val="nil"/>
              <w:tr2bl w:val="nil"/>
            </w:tcBorders>
            <w:shd w:val="clear" w:color="auto" w:fill="auto"/>
            <w:tcMar>
              <w:top w:w="50" w:type="dxa"/>
              <w:left w:w="80" w:type="dxa"/>
              <w:bottom w:w="50" w:type="dxa"/>
              <w:right w:w="80" w:type="dxa"/>
            </w:tcMar>
            <w:vAlign w:val="center"/>
          </w:tcPr>
          <w:p w14:paraId="353EDA7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192CB00D">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9104" w:type="dxa"/>
            <w:gridSpan w:val="5"/>
            <w:tcBorders>
              <w:tl2br w:val="nil"/>
              <w:tr2bl w:val="nil"/>
            </w:tcBorders>
            <w:shd w:val="clear" w:color="auto" w:fill="auto"/>
            <w:tcMar>
              <w:top w:w="72" w:type="dxa"/>
              <w:left w:w="96" w:type="dxa"/>
              <w:bottom w:w="72" w:type="dxa"/>
              <w:right w:w="96" w:type="dxa"/>
            </w:tcMar>
          </w:tcPr>
          <w:p w14:paraId="1C56521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RESULTS</w:t>
            </w:r>
          </w:p>
        </w:tc>
      </w:tr>
      <w:tr w14:paraId="61FD9465">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594F1646">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Participants</w:t>
            </w:r>
          </w:p>
        </w:tc>
        <w:tc>
          <w:tcPr>
            <w:tcW w:w="889" w:type="dxa"/>
            <w:tcBorders>
              <w:tl2br w:val="nil"/>
              <w:tr2bl w:val="nil"/>
            </w:tcBorders>
            <w:shd w:val="clear" w:color="auto" w:fill="auto"/>
            <w:tcMar>
              <w:top w:w="50" w:type="dxa"/>
              <w:left w:w="80" w:type="dxa"/>
              <w:bottom w:w="50" w:type="dxa"/>
              <w:right w:w="80" w:type="dxa"/>
            </w:tcMar>
            <w:vAlign w:val="top"/>
          </w:tcPr>
          <w:p w14:paraId="58254004">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12</w:t>
            </w:r>
          </w:p>
        </w:tc>
        <w:tc>
          <w:tcPr>
            <w:tcW w:w="3671" w:type="dxa"/>
            <w:tcBorders>
              <w:tl2br w:val="nil"/>
              <w:tr2bl w:val="nil"/>
            </w:tcBorders>
            <w:shd w:val="clear" w:color="auto" w:fill="auto"/>
            <w:tcMar>
              <w:top w:w="50" w:type="dxa"/>
              <w:left w:w="80" w:type="dxa"/>
              <w:bottom w:w="50" w:type="dxa"/>
              <w:right w:w="80" w:type="dxa"/>
            </w:tcMar>
            <w:vAlign w:val="top"/>
          </w:tcPr>
          <w:p w14:paraId="480B49A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Participant counts at each exclusion step with reasons; final cohort n = 24,709; in-hospital mortality 18.8% (4,658 events); flow diagram provided.</w:t>
            </w:r>
          </w:p>
        </w:tc>
        <w:tc>
          <w:tcPr>
            <w:tcW w:w="1920" w:type="dxa"/>
            <w:tcBorders>
              <w:tl2br w:val="nil"/>
              <w:tr2bl w:val="nil"/>
            </w:tcBorders>
            <w:shd w:val="clear" w:color="auto" w:fill="auto"/>
            <w:tcMar>
              <w:top w:w="50" w:type="dxa"/>
              <w:left w:w="80" w:type="dxa"/>
              <w:bottom w:w="50" w:type="dxa"/>
              <w:right w:w="80" w:type="dxa"/>
            </w:tcMar>
            <w:vAlign w:val="top"/>
          </w:tcPr>
          <w:p w14:paraId="425A16C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Results: Study Population; Figure 1</w:t>
            </w:r>
          </w:p>
        </w:tc>
        <w:tc>
          <w:tcPr>
            <w:tcW w:w="1019" w:type="dxa"/>
            <w:tcBorders>
              <w:tl2br w:val="nil"/>
              <w:tr2bl w:val="nil"/>
            </w:tcBorders>
            <w:shd w:val="clear" w:color="auto" w:fill="auto"/>
            <w:tcMar>
              <w:top w:w="50" w:type="dxa"/>
              <w:left w:w="80" w:type="dxa"/>
              <w:bottom w:w="50" w:type="dxa"/>
              <w:right w:w="80" w:type="dxa"/>
            </w:tcMar>
            <w:vAlign w:val="center"/>
          </w:tcPr>
          <w:p w14:paraId="74BFE2A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58EBD7C8">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6E39459">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Participant characteristics</w:t>
            </w:r>
          </w:p>
        </w:tc>
        <w:tc>
          <w:tcPr>
            <w:tcW w:w="889" w:type="dxa"/>
            <w:tcBorders>
              <w:tl2br w:val="nil"/>
              <w:tr2bl w:val="nil"/>
            </w:tcBorders>
            <w:shd w:val="clear" w:color="auto" w:fill="auto"/>
            <w:tcMar>
              <w:top w:w="50" w:type="dxa"/>
              <w:left w:w="80" w:type="dxa"/>
              <w:bottom w:w="50" w:type="dxa"/>
              <w:right w:w="80" w:type="dxa"/>
            </w:tcMar>
            <w:vAlign w:val="top"/>
          </w:tcPr>
          <w:p w14:paraId="3DB0CD90">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13a</w:t>
            </w:r>
          </w:p>
        </w:tc>
        <w:tc>
          <w:tcPr>
            <w:tcW w:w="3671" w:type="dxa"/>
            <w:tcBorders>
              <w:tl2br w:val="nil"/>
              <w:tr2bl w:val="nil"/>
            </w:tcBorders>
            <w:shd w:val="clear" w:color="auto" w:fill="auto"/>
            <w:tcMar>
              <w:top w:w="50" w:type="dxa"/>
              <w:left w:w="80" w:type="dxa"/>
              <w:bottom w:w="50" w:type="dxa"/>
              <w:right w:w="80" w:type="dxa"/>
            </w:tcMar>
            <w:vAlign w:val="top"/>
          </w:tcPr>
          <w:p w14:paraId="681BC06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Baseline characteristics by AWRI quartile (Q1–Q4): demographics, physiological parameters, comorbidities, laboratory indices, treatment interventions, and outcomes.</w:t>
            </w:r>
          </w:p>
        </w:tc>
        <w:tc>
          <w:tcPr>
            <w:tcW w:w="1920" w:type="dxa"/>
            <w:tcBorders>
              <w:tl2br w:val="nil"/>
              <w:tr2bl w:val="nil"/>
            </w:tcBorders>
            <w:shd w:val="clear" w:color="auto" w:fill="auto"/>
            <w:tcMar>
              <w:top w:w="50" w:type="dxa"/>
              <w:left w:w="80" w:type="dxa"/>
              <w:bottom w:w="50" w:type="dxa"/>
              <w:right w:w="80" w:type="dxa"/>
            </w:tcMar>
            <w:vAlign w:val="top"/>
          </w:tcPr>
          <w:p w14:paraId="0EE0A298">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Results: AWRI Risk Stratification; Table 1</w:t>
            </w:r>
          </w:p>
        </w:tc>
        <w:tc>
          <w:tcPr>
            <w:tcW w:w="1019" w:type="dxa"/>
            <w:tcBorders>
              <w:tl2br w:val="nil"/>
              <w:tr2bl w:val="nil"/>
            </w:tcBorders>
            <w:shd w:val="clear" w:color="auto" w:fill="auto"/>
            <w:tcMar>
              <w:top w:w="50" w:type="dxa"/>
              <w:left w:w="80" w:type="dxa"/>
              <w:bottom w:w="50" w:type="dxa"/>
              <w:right w:w="80" w:type="dxa"/>
            </w:tcMar>
            <w:vAlign w:val="center"/>
          </w:tcPr>
          <w:p w14:paraId="29CF3CFA">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000BA317">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417CBFAA">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Participant characteristics</w:t>
            </w:r>
          </w:p>
        </w:tc>
        <w:tc>
          <w:tcPr>
            <w:tcW w:w="889" w:type="dxa"/>
            <w:tcBorders>
              <w:tl2br w:val="nil"/>
              <w:tr2bl w:val="nil"/>
            </w:tcBorders>
            <w:shd w:val="clear" w:color="auto" w:fill="auto"/>
            <w:tcMar>
              <w:top w:w="50" w:type="dxa"/>
              <w:left w:w="80" w:type="dxa"/>
              <w:bottom w:w="50" w:type="dxa"/>
              <w:right w:w="80" w:type="dxa"/>
            </w:tcMar>
            <w:vAlign w:val="top"/>
          </w:tcPr>
          <w:p w14:paraId="08C44DF2">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13b</w:t>
            </w:r>
          </w:p>
        </w:tc>
        <w:tc>
          <w:tcPr>
            <w:tcW w:w="3671" w:type="dxa"/>
            <w:tcBorders>
              <w:tl2br w:val="nil"/>
              <w:tr2bl w:val="nil"/>
            </w:tcBorders>
            <w:shd w:val="clear" w:color="auto" w:fill="auto"/>
            <w:tcMar>
              <w:top w:w="50" w:type="dxa"/>
              <w:left w:w="80" w:type="dxa"/>
              <w:bottom w:w="50" w:type="dxa"/>
              <w:right w:w="80" w:type="dxa"/>
            </w:tcMar>
            <w:vAlign w:val="top"/>
          </w:tcPr>
          <w:p w14:paraId="0AAF494C">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Between-quartile comparisons reported (Kruskal-Wallis; chi-square); all P-values, medians, and IQRs in Table 1.</w:t>
            </w:r>
          </w:p>
        </w:tc>
        <w:tc>
          <w:tcPr>
            <w:tcW w:w="1920" w:type="dxa"/>
            <w:tcBorders>
              <w:tl2br w:val="nil"/>
              <w:tr2bl w:val="nil"/>
            </w:tcBorders>
            <w:shd w:val="clear" w:color="auto" w:fill="auto"/>
            <w:tcMar>
              <w:top w:w="50" w:type="dxa"/>
              <w:left w:w="80" w:type="dxa"/>
              <w:bottom w:w="50" w:type="dxa"/>
              <w:right w:w="80" w:type="dxa"/>
            </w:tcMar>
            <w:vAlign w:val="top"/>
          </w:tcPr>
          <w:p w14:paraId="78CEA60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Table 1; Results: AWRI Risk Stratification</w:t>
            </w:r>
          </w:p>
        </w:tc>
        <w:tc>
          <w:tcPr>
            <w:tcW w:w="1019" w:type="dxa"/>
            <w:tcBorders>
              <w:tl2br w:val="nil"/>
              <w:tr2bl w:val="nil"/>
            </w:tcBorders>
            <w:shd w:val="clear" w:color="auto" w:fill="auto"/>
            <w:tcMar>
              <w:top w:w="50" w:type="dxa"/>
              <w:left w:w="80" w:type="dxa"/>
              <w:bottom w:w="50" w:type="dxa"/>
              <w:right w:w="80" w:type="dxa"/>
            </w:tcMar>
            <w:vAlign w:val="center"/>
          </w:tcPr>
          <w:p w14:paraId="63BC8663">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30260CA4">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4B0B5F9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Model performance</w:t>
            </w:r>
          </w:p>
        </w:tc>
        <w:tc>
          <w:tcPr>
            <w:tcW w:w="889" w:type="dxa"/>
            <w:tcBorders>
              <w:tl2br w:val="nil"/>
              <w:tr2bl w:val="nil"/>
            </w:tcBorders>
            <w:shd w:val="clear" w:color="auto" w:fill="auto"/>
            <w:tcMar>
              <w:top w:w="50" w:type="dxa"/>
              <w:left w:w="80" w:type="dxa"/>
              <w:bottom w:w="50" w:type="dxa"/>
              <w:right w:w="80" w:type="dxa"/>
            </w:tcMar>
            <w:vAlign w:val="top"/>
          </w:tcPr>
          <w:p w14:paraId="59A3244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14a</w:t>
            </w:r>
          </w:p>
        </w:tc>
        <w:tc>
          <w:tcPr>
            <w:tcW w:w="3671" w:type="dxa"/>
            <w:tcBorders>
              <w:tl2br w:val="nil"/>
              <w:tr2bl w:val="nil"/>
            </w:tcBorders>
            <w:shd w:val="clear" w:color="auto" w:fill="auto"/>
            <w:tcMar>
              <w:top w:w="50" w:type="dxa"/>
              <w:left w:w="80" w:type="dxa"/>
              <w:bottom w:w="50" w:type="dxa"/>
              <w:right w:w="80" w:type="dxa"/>
            </w:tcMar>
            <w:vAlign w:val="top"/>
          </w:tcPr>
          <w:p w14:paraId="1B808A8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AUC with 95% CI for all five ML models and APACHE IV (training and test sets); sensitivity, specificity, precision, F1 in Figure 5. Adjusted HRs with 95% CI for three Cox models in Table 2.</w:t>
            </w:r>
          </w:p>
        </w:tc>
        <w:tc>
          <w:tcPr>
            <w:tcW w:w="1920" w:type="dxa"/>
            <w:tcBorders>
              <w:tl2br w:val="nil"/>
              <w:tr2bl w:val="nil"/>
            </w:tcBorders>
            <w:shd w:val="clear" w:color="auto" w:fill="auto"/>
            <w:tcMar>
              <w:top w:w="50" w:type="dxa"/>
              <w:left w:w="80" w:type="dxa"/>
              <w:bottom w:w="50" w:type="dxa"/>
              <w:right w:w="80" w:type="dxa"/>
            </w:tcMar>
            <w:vAlign w:val="top"/>
          </w:tcPr>
          <w:p w14:paraId="24CA40C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Results: ML Model Performance; Table 2; Figure 5</w:t>
            </w:r>
          </w:p>
        </w:tc>
        <w:tc>
          <w:tcPr>
            <w:tcW w:w="1019" w:type="dxa"/>
            <w:tcBorders>
              <w:tl2br w:val="nil"/>
              <w:tr2bl w:val="nil"/>
            </w:tcBorders>
            <w:shd w:val="clear" w:color="auto" w:fill="auto"/>
            <w:tcMar>
              <w:top w:w="50" w:type="dxa"/>
              <w:left w:w="80" w:type="dxa"/>
              <w:bottom w:w="50" w:type="dxa"/>
              <w:right w:w="80" w:type="dxa"/>
            </w:tcMar>
            <w:vAlign w:val="center"/>
          </w:tcPr>
          <w:p w14:paraId="28A86E0E">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4FA04D63">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4B70D916">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Model performance (AI): interpretability</w:t>
            </w:r>
          </w:p>
        </w:tc>
        <w:tc>
          <w:tcPr>
            <w:tcW w:w="889" w:type="dxa"/>
            <w:tcBorders>
              <w:tl2br w:val="nil"/>
              <w:tr2bl w:val="nil"/>
            </w:tcBorders>
            <w:shd w:val="clear" w:color="auto" w:fill="auto"/>
            <w:tcMar>
              <w:top w:w="50" w:type="dxa"/>
              <w:left w:w="80" w:type="dxa"/>
              <w:bottom w:w="50" w:type="dxa"/>
              <w:right w:w="80" w:type="dxa"/>
            </w:tcMar>
            <w:vAlign w:val="top"/>
          </w:tcPr>
          <w:p w14:paraId="0DA6C8B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14b</w:t>
            </w:r>
          </w:p>
        </w:tc>
        <w:tc>
          <w:tcPr>
            <w:tcW w:w="3671" w:type="dxa"/>
            <w:tcBorders>
              <w:tl2br w:val="nil"/>
              <w:tr2bl w:val="nil"/>
            </w:tcBorders>
            <w:shd w:val="clear" w:color="auto" w:fill="auto"/>
            <w:tcMar>
              <w:top w:w="50" w:type="dxa"/>
              <w:left w:w="80" w:type="dxa"/>
              <w:bottom w:w="50" w:type="dxa"/>
              <w:right w:w="80" w:type="dxa"/>
            </w:tcMar>
            <w:vAlign w:val="top"/>
          </w:tcPr>
          <w:p w14:paraId="00689084">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SHAP importance rankings (training/test; Figure 6A–B); SHAP dependence plots showing four-stage AWRI pattern (Figure 6E–F); ablation analysis: Model A (AUC 0.748), B (0.737), C (0.722) in Suppl. Table S5.</w:t>
            </w:r>
          </w:p>
        </w:tc>
        <w:tc>
          <w:tcPr>
            <w:tcW w:w="1920" w:type="dxa"/>
            <w:tcBorders>
              <w:tl2br w:val="nil"/>
              <w:tr2bl w:val="nil"/>
            </w:tcBorders>
            <w:shd w:val="clear" w:color="auto" w:fill="auto"/>
            <w:tcMar>
              <w:top w:w="50" w:type="dxa"/>
              <w:left w:w="80" w:type="dxa"/>
              <w:bottom w:w="50" w:type="dxa"/>
              <w:right w:w="80" w:type="dxa"/>
            </w:tcMar>
            <w:vAlign w:val="top"/>
          </w:tcPr>
          <w:p w14:paraId="6F853E12">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Results: ML Model Performance; Figure 6; Suppl. Table S5</w:t>
            </w:r>
          </w:p>
        </w:tc>
        <w:tc>
          <w:tcPr>
            <w:tcW w:w="1019" w:type="dxa"/>
            <w:tcBorders>
              <w:tl2br w:val="nil"/>
              <w:tr2bl w:val="nil"/>
            </w:tcBorders>
            <w:shd w:val="clear" w:color="auto" w:fill="auto"/>
            <w:tcMar>
              <w:top w:w="50" w:type="dxa"/>
              <w:left w:w="80" w:type="dxa"/>
              <w:bottom w:w="50" w:type="dxa"/>
              <w:right w:w="80" w:type="dxa"/>
            </w:tcMar>
            <w:vAlign w:val="center"/>
          </w:tcPr>
          <w:p w14:paraId="50E8E8EE">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3C9556E8">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0F91BF1B">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Other analyses</w:t>
            </w:r>
          </w:p>
        </w:tc>
        <w:tc>
          <w:tcPr>
            <w:tcW w:w="889" w:type="dxa"/>
            <w:tcBorders>
              <w:tl2br w:val="nil"/>
              <w:tr2bl w:val="nil"/>
            </w:tcBorders>
            <w:shd w:val="clear" w:color="auto" w:fill="auto"/>
            <w:tcMar>
              <w:top w:w="50" w:type="dxa"/>
              <w:left w:w="80" w:type="dxa"/>
              <w:bottom w:w="50" w:type="dxa"/>
              <w:right w:w="80" w:type="dxa"/>
            </w:tcMar>
            <w:vAlign w:val="top"/>
          </w:tcPr>
          <w:p w14:paraId="3CC3463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15</w:t>
            </w:r>
          </w:p>
        </w:tc>
        <w:tc>
          <w:tcPr>
            <w:tcW w:w="3671" w:type="dxa"/>
            <w:tcBorders>
              <w:tl2br w:val="nil"/>
              <w:tr2bl w:val="nil"/>
            </w:tcBorders>
            <w:shd w:val="clear" w:color="auto" w:fill="auto"/>
            <w:tcMar>
              <w:top w:w="50" w:type="dxa"/>
              <w:left w:w="80" w:type="dxa"/>
              <w:bottom w:w="50" w:type="dxa"/>
              <w:right w:w="80" w:type="dxa"/>
            </w:tcMar>
            <w:vAlign w:val="top"/>
          </w:tcPr>
          <w:p w14:paraId="6CC8DCB8">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Subgroup analyses (age, sex, sepsis, ICU LOS, ventilation) with interaction testing; RCS threshold analysis (AWRI ≤16.3%: HR 0.453; ≥27%: HR 1.31); sensitivity analyses (early death exclusion, measurement bias, hematologic index comparison).</w:t>
            </w:r>
          </w:p>
        </w:tc>
        <w:tc>
          <w:tcPr>
            <w:tcW w:w="1920" w:type="dxa"/>
            <w:tcBorders>
              <w:tl2br w:val="nil"/>
              <w:tr2bl w:val="nil"/>
            </w:tcBorders>
            <w:shd w:val="clear" w:color="auto" w:fill="auto"/>
            <w:tcMar>
              <w:top w:w="50" w:type="dxa"/>
              <w:left w:w="80" w:type="dxa"/>
              <w:bottom w:w="50" w:type="dxa"/>
              <w:right w:w="80" w:type="dxa"/>
            </w:tcMar>
            <w:vAlign w:val="top"/>
          </w:tcPr>
          <w:p w14:paraId="6B2BA6B2">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Results: Subgroup Effects; Non-linear Analysis; Figures 3–4; Suppl. Tables S4, S6</w:t>
            </w:r>
          </w:p>
        </w:tc>
        <w:tc>
          <w:tcPr>
            <w:tcW w:w="1019" w:type="dxa"/>
            <w:tcBorders>
              <w:tl2br w:val="nil"/>
              <w:tr2bl w:val="nil"/>
            </w:tcBorders>
            <w:shd w:val="clear" w:color="auto" w:fill="auto"/>
            <w:tcMar>
              <w:top w:w="50" w:type="dxa"/>
              <w:left w:w="80" w:type="dxa"/>
              <w:bottom w:w="50" w:type="dxa"/>
              <w:right w:w="80" w:type="dxa"/>
            </w:tcMar>
            <w:vAlign w:val="center"/>
          </w:tcPr>
          <w:p w14:paraId="7EB1E6DE">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649C6DAB">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9104" w:type="dxa"/>
            <w:gridSpan w:val="5"/>
            <w:tcBorders>
              <w:tl2br w:val="nil"/>
              <w:tr2bl w:val="nil"/>
            </w:tcBorders>
            <w:shd w:val="clear" w:color="auto" w:fill="auto"/>
            <w:tcMar>
              <w:top w:w="72" w:type="dxa"/>
              <w:left w:w="96" w:type="dxa"/>
              <w:bottom w:w="72" w:type="dxa"/>
              <w:right w:w="96" w:type="dxa"/>
            </w:tcMar>
          </w:tcPr>
          <w:p w14:paraId="786F2496">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DISCUSSION</w:t>
            </w:r>
          </w:p>
        </w:tc>
      </w:tr>
      <w:tr w14:paraId="1DAA54C2">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5800C74C">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Limitations</w:t>
            </w:r>
          </w:p>
        </w:tc>
        <w:tc>
          <w:tcPr>
            <w:tcW w:w="889" w:type="dxa"/>
            <w:tcBorders>
              <w:tl2br w:val="nil"/>
              <w:tr2bl w:val="nil"/>
            </w:tcBorders>
            <w:shd w:val="clear" w:color="auto" w:fill="auto"/>
            <w:tcMar>
              <w:top w:w="50" w:type="dxa"/>
              <w:left w:w="80" w:type="dxa"/>
              <w:bottom w:w="50" w:type="dxa"/>
              <w:right w:w="80" w:type="dxa"/>
            </w:tcMar>
            <w:vAlign w:val="top"/>
          </w:tcPr>
          <w:p w14:paraId="79C50B59">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16</w:t>
            </w:r>
          </w:p>
        </w:tc>
        <w:tc>
          <w:tcPr>
            <w:tcW w:w="3671" w:type="dxa"/>
            <w:tcBorders>
              <w:tl2br w:val="nil"/>
              <w:tr2bl w:val="nil"/>
            </w:tcBorders>
            <w:shd w:val="clear" w:color="auto" w:fill="auto"/>
            <w:tcMar>
              <w:top w:w="50" w:type="dxa"/>
              <w:left w:w="80" w:type="dxa"/>
              <w:bottom w:w="50" w:type="dxa"/>
              <w:right w:w="80" w:type="dxa"/>
            </w:tcMar>
            <w:vAlign w:val="top"/>
          </w:tcPr>
          <w:p w14:paraId="728FB6D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Limitations: retrospective design; single eICU database; US cohort 2014–2015; albumin excluded (45.5% missing); moderate standalone AUC (0.608); no external validation; calibration not assessed.</w:t>
            </w:r>
          </w:p>
        </w:tc>
        <w:tc>
          <w:tcPr>
            <w:tcW w:w="1920" w:type="dxa"/>
            <w:tcBorders>
              <w:tl2br w:val="nil"/>
              <w:tr2bl w:val="nil"/>
            </w:tcBorders>
            <w:shd w:val="clear" w:color="auto" w:fill="auto"/>
            <w:tcMar>
              <w:top w:w="50" w:type="dxa"/>
              <w:left w:w="80" w:type="dxa"/>
              <w:bottom w:w="50" w:type="dxa"/>
              <w:right w:w="80" w:type="dxa"/>
            </w:tcMar>
            <w:vAlign w:val="top"/>
          </w:tcPr>
          <w:p w14:paraId="631D265F">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Limitations section</w:t>
            </w:r>
          </w:p>
        </w:tc>
        <w:tc>
          <w:tcPr>
            <w:tcW w:w="1019" w:type="dxa"/>
            <w:tcBorders>
              <w:tl2br w:val="nil"/>
              <w:tr2bl w:val="nil"/>
            </w:tcBorders>
            <w:shd w:val="clear" w:color="auto" w:fill="auto"/>
            <w:tcMar>
              <w:top w:w="50" w:type="dxa"/>
              <w:left w:w="80" w:type="dxa"/>
              <w:bottom w:w="50" w:type="dxa"/>
              <w:right w:w="80" w:type="dxa"/>
            </w:tcMar>
            <w:vAlign w:val="center"/>
          </w:tcPr>
          <w:p w14:paraId="178E9F35">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63C704ED">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17D0BB9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Interpretation</w:t>
            </w:r>
          </w:p>
        </w:tc>
        <w:tc>
          <w:tcPr>
            <w:tcW w:w="889" w:type="dxa"/>
            <w:tcBorders>
              <w:tl2br w:val="nil"/>
              <w:tr2bl w:val="nil"/>
            </w:tcBorders>
            <w:shd w:val="clear" w:color="auto" w:fill="auto"/>
            <w:tcMar>
              <w:top w:w="50" w:type="dxa"/>
              <w:left w:w="80" w:type="dxa"/>
              <w:bottom w:w="50" w:type="dxa"/>
              <w:right w:w="80" w:type="dxa"/>
            </w:tcMar>
            <w:vAlign w:val="top"/>
          </w:tcPr>
          <w:p w14:paraId="7011708E">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17</w:t>
            </w:r>
          </w:p>
        </w:tc>
        <w:tc>
          <w:tcPr>
            <w:tcW w:w="3671" w:type="dxa"/>
            <w:tcBorders>
              <w:tl2br w:val="nil"/>
              <w:tr2bl w:val="nil"/>
            </w:tcBorders>
            <w:shd w:val="clear" w:color="auto" w:fill="auto"/>
            <w:tcMar>
              <w:top w:w="50" w:type="dxa"/>
              <w:left w:w="80" w:type="dxa"/>
              <w:bottom w:w="50" w:type="dxa"/>
              <w:right w:w="80" w:type="dxa"/>
            </w:tcMar>
            <w:vAlign w:val="top"/>
          </w:tcPr>
          <w:p w14:paraId="039C3D0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AWRI independently predicts in-hospital mortality; four-stage nonlinear pattern confirmed by RCS and SHAP; highest SHAP importance among 17 variables; XGBoost outperforms APACHE IV (AUC 0.748 vs 0.670, P&lt;0.001).</w:t>
            </w:r>
          </w:p>
        </w:tc>
        <w:tc>
          <w:tcPr>
            <w:tcW w:w="1920" w:type="dxa"/>
            <w:tcBorders>
              <w:tl2br w:val="nil"/>
              <w:tr2bl w:val="nil"/>
            </w:tcBorders>
            <w:shd w:val="clear" w:color="auto" w:fill="auto"/>
            <w:tcMar>
              <w:top w:w="50" w:type="dxa"/>
              <w:left w:w="80" w:type="dxa"/>
              <w:bottom w:w="50" w:type="dxa"/>
              <w:right w:w="80" w:type="dxa"/>
            </w:tcMar>
            <w:vAlign w:val="top"/>
          </w:tcPr>
          <w:p w14:paraId="6059B07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Discussion (all paragraphs)</w:t>
            </w:r>
          </w:p>
        </w:tc>
        <w:tc>
          <w:tcPr>
            <w:tcW w:w="1019" w:type="dxa"/>
            <w:tcBorders>
              <w:tl2br w:val="nil"/>
              <w:tr2bl w:val="nil"/>
            </w:tcBorders>
            <w:shd w:val="clear" w:color="auto" w:fill="auto"/>
            <w:tcMar>
              <w:top w:w="50" w:type="dxa"/>
              <w:left w:w="80" w:type="dxa"/>
              <w:bottom w:w="50" w:type="dxa"/>
              <w:right w:w="80" w:type="dxa"/>
            </w:tcMar>
            <w:vAlign w:val="center"/>
          </w:tcPr>
          <w:p w14:paraId="700A053C">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7DE87EC0">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4B70B8B5">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Implications</w:t>
            </w:r>
          </w:p>
        </w:tc>
        <w:tc>
          <w:tcPr>
            <w:tcW w:w="889" w:type="dxa"/>
            <w:tcBorders>
              <w:tl2br w:val="nil"/>
              <w:tr2bl w:val="nil"/>
            </w:tcBorders>
            <w:shd w:val="clear" w:color="auto" w:fill="auto"/>
            <w:tcMar>
              <w:top w:w="50" w:type="dxa"/>
              <w:left w:w="80" w:type="dxa"/>
              <w:bottom w:w="50" w:type="dxa"/>
              <w:right w:w="80" w:type="dxa"/>
            </w:tcMar>
            <w:vAlign w:val="top"/>
          </w:tcPr>
          <w:p w14:paraId="382320DC">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18</w:t>
            </w:r>
          </w:p>
        </w:tc>
        <w:tc>
          <w:tcPr>
            <w:tcW w:w="3671" w:type="dxa"/>
            <w:tcBorders>
              <w:tl2br w:val="nil"/>
              <w:tr2bl w:val="nil"/>
            </w:tcBorders>
            <w:shd w:val="clear" w:color="auto" w:fill="auto"/>
            <w:tcMar>
              <w:top w:w="50" w:type="dxa"/>
              <w:left w:w="80" w:type="dxa"/>
              <w:bottom w:w="50" w:type="dxa"/>
              <w:right w:w="80" w:type="dxa"/>
            </w:tcMar>
            <w:vAlign w:val="top"/>
          </w:tcPr>
          <w:p w14:paraId="3423B3C4">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Clinical utility at two levels: composite ML model (AUC 0.748) and individual bedside biomarker (AUC 0.608). Threshold structure (≤16.3%, 16.3–27%, 27–40%, &gt;40%) requires prospective validation before clinical adoption.</w:t>
            </w:r>
          </w:p>
        </w:tc>
        <w:tc>
          <w:tcPr>
            <w:tcW w:w="1920" w:type="dxa"/>
            <w:tcBorders>
              <w:tl2br w:val="nil"/>
              <w:tr2bl w:val="nil"/>
            </w:tcBorders>
            <w:shd w:val="clear" w:color="auto" w:fill="auto"/>
            <w:tcMar>
              <w:top w:w="50" w:type="dxa"/>
              <w:left w:w="80" w:type="dxa"/>
              <w:bottom w:w="50" w:type="dxa"/>
              <w:right w:w="80" w:type="dxa"/>
            </w:tcMar>
            <w:vAlign w:val="top"/>
          </w:tcPr>
          <w:p w14:paraId="1FEA0777">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Discussion; Conclusion</w:t>
            </w:r>
          </w:p>
        </w:tc>
        <w:tc>
          <w:tcPr>
            <w:tcW w:w="1019" w:type="dxa"/>
            <w:tcBorders>
              <w:tl2br w:val="nil"/>
              <w:tr2bl w:val="nil"/>
            </w:tcBorders>
            <w:shd w:val="clear" w:color="auto" w:fill="auto"/>
            <w:tcMar>
              <w:top w:w="50" w:type="dxa"/>
              <w:left w:w="80" w:type="dxa"/>
              <w:bottom w:w="50" w:type="dxa"/>
              <w:right w:w="80" w:type="dxa"/>
            </w:tcMar>
            <w:vAlign w:val="center"/>
          </w:tcPr>
          <w:p w14:paraId="7BE388F7">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14362752">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9104" w:type="dxa"/>
            <w:gridSpan w:val="5"/>
            <w:tcBorders>
              <w:tl2br w:val="nil"/>
              <w:tr2bl w:val="nil"/>
            </w:tcBorders>
            <w:shd w:val="clear" w:color="auto" w:fill="auto"/>
            <w:tcMar>
              <w:top w:w="72" w:type="dxa"/>
              <w:left w:w="96" w:type="dxa"/>
              <w:bottom w:w="72" w:type="dxa"/>
              <w:right w:w="96" w:type="dxa"/>
            </w:tcMar>
          </w:tcPr>
          <w:p w14:paraId="3A164E4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OTHER INFORMATION</w:t>
            </w:r>
          </w:p>
        </w:tc>
      </w:tr>
      <w:tr w14:paraId="3B4D278C">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tl2br w:val="nil"/>
              <w:tr2bl w:val="nil"/>
            </w:tcBorders>
            <w:shd w:val="clear" w:color="auto" w:fill="auto"/>
            <w:tcMar>
              <w:top w:w="50" w:type="dxa"/>
              <w:left w:w="80" w:type="dxa"/>
              <w:bottom w:w="50" w:type="dxa"/>
              <w:right w:w="80" w:type="dxa"/>
            </w:tcMar>
            <w:vAlign w:val="top"/>
          </w:tcPr>
          <w:p w14:paraId="2716D53A">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Funding</w:t>
            </w:r>
          </w:p>
        </w:tc>
        <w:tc>
          <w:tcPr>
            <w:tcW w:w="889" w:type="dxa"/>
            <w:tcBorders>
              <w:tl2br w:val="nil"/>
              <w:tr2bl w:val="nil"/>
            </w:tcBorders>
            <w:shd w:val="clear" w:color="auto" w:fill="auto"/>
            <w:tcMar>
              <w:top w:w="50" w:type="dxa"/>
              <w:left w:w="80" w:type="dxa"/>
              <w:bottom w:w="50" w:type="dxa"/>
              <w:right w:w="80" w:type="dxa"/>
            </w:tcMar>
            <w:vAlign w:val="top"/>
          </w:tcPr>
          <w:p w14:paraId="2960128F">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19</w:t>
            </w:r>
          </w:p>
        </w:tc>
        <w:tc>
          <w:tcPr>
            <w:tcW w:w="3671" w:type="dxa"/>
            <w:tcBorders>
              <w:tl2br w:val="nil"/>
              <w:tr2bl w:val="nil"/>
            </w:tcBorders>
            <w:shd w:val="clear" w:color="auto" w:fill="auto"/>
            <w:tcMar>
              <w:top w:w="50" w:type="dxa"/>
              <w:left w:w="80" w:type="dxa"/>
              <w:bottom w:w="50" w:type="dxa"/>
              <w:right w:w="80" w:type="dxa"/>
            </w:tcMar>
            <w:vAlign w:val="top"/>
          </w:tcPr>
          <w:p w14:paraId="407DAFDD">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Funding sources (Guangdong grants 2022A1515140033 and B2025307) and funder non-involvement in study conduct stated.</w:t>
            </w:r>
          </w:p>
        </w:tc>
        <w:tc>
          <w:tcPr>
            <w:tcW w:w="1920" w:type="dxa"/>
            <w:tcBorders>
              <w:tl2br w:val="nil"/>
              <w:tr2bl w:val="nil"/>
            </w:tcBorders>
            <w:shd w:val="clear" w:color="auto" w:fill="auto"/>
            <w:tcMar>
              <w:top w:w="50" w:type="dxa"/>
              <w:left w:w="80" w:type="dxa"/>
              <w:bottom w:w="50" w:type="dxa"/>
              <w:right w:w="80" w:type="dxa"/>
            </w:tcMar>
            <w:vAlign w:val="top"/>
          </w:tcPr>
          <w:p w14:paraId="78DFBE82">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Funding section</w:t>
            </w:r>
          </w:p>
        </w:tc>
        <w:tc>
          <w:tcPr>
            <w:tcW w:w="1019" w:type="dxa"/>
            <w:tcBorders>
              <w:tl2br w:val="nil"/>
              <w:tr2bl w:val="nil"/>
            </w:tcBorders>
            <w:shd w:val="clear" w:color="auto" w:fill="auto"/>
            <w:tcMar>
              <w:top w:w="50" w:type="dxa"/>
              <w:left w:w="80" w:type="dxa"/>
              <w:bottom w:w="50" w:type="dxa"/>
              <w:right w:w="80" w:type="dxa"/>
            </w:tcMar>
            <w:vAlign w:val="center"/>
          </w:tcPr>
          <w:p w14:paraId="060EE36C">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r w14:paraId="11EF2B38">
        <w:tblPrEx>
          <w:tblBorders>
            <w:top w:val="single" w:color="1565C0" w:sz="2" w:space="0"/>
            <w:left w:val="none" w:color="auto" w:sz="0" w:space="0"/>
            <w:bottom w:val="single" w:color="B8C4CC" w:sz="2" w:space="0"/>
            <w:right w:val="none" w:color="auto" w:sz="0" w:space="0"/>
            <w:insideH w:val="none" w:color="auto" w:sz="0" w:space="0"/>
            <w:insideV w:val="none" w:color="auto" w:sz="0" w:space="0"/>
          </w:tblBorders>
          <w:tblCellMar>
            <w:top w:w="0" w:type="dxa"/>
            <w:left w:w="10" w:type="dxa"/>
            <w:bottom w:w="0" w:type="dxa"/>
            <w:right w:w="10" w:type="dxa"/>
          </w:tblCellMar>
        </w:tblPrEx>
        <w:trPr>
          <w:trHeight w:val="0" w:hRule="atLeast"/>
        </w:trPr>
        <w:tc>
          <w:tcPr>
            <w:tcW w:w="1605" w:type="dxa"/>
            <w:tcBorders>
              <w:bottom w:val="single" w:color="000000" w:themeColor="text1" w:sz="12" w:space="0"/>
            </w:tcBorders>
            <w:shd w:val="clear" w:color="auto" w:fill="auto"/>
            <w:tcMar>
              <w:top w:w="50" w:type="dxa"/>
              <w:left w:w="80" w:type="dxa"/>
              <w:bottom w:w="50" w:type="dxa"/>
              <w:right w:w="80" w:type="dxa"/>
            </w:tcMar>
            <w:vAlign w:val="top"/>
          </w:tcPr>
          <w:p w14:paraId="2241F710">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iCs/>
                <w:color w:val="000000" w:themeColor="text1"/>
                <w:sz w:val="21"/>
                <w:szCs w:val="21"/>
                <w14:textFill>
                  <w14:solidFill>
                    <w14:schemeClr w14:val="tx1"/>
                  </w14:solidFill>
                </w14:textFill>
              </w:rPr>
              <w:t>Supplementary information</w:t>
            </w:r>
          </w:p>
        </w:tc>
        <w:tc>
          <w:tcPr>
            <w:tcW w:w="889" w:type="dxa"/>
            <w:tcBorders>
              <w:bottom w:val="single" w:color="000000" w:themeColor="text1" w:sz="12" w:space="0"/>
            </w:tcBorders>
            <w:shd w:val="clear" w:color="auto" w:fill="auto"/>
            <w:tcMar>
              <w:top w:w="50" w:type="dxa"/>
              <w:left w:w="80" w:type="dxa"/>
              <w:bottom w:w="50" w:type="dxa"/>
              <w:right w:w="80" w:type="dxa"/>
            </w:tcMar>
            <w:vAlign w:val="top"/>
          </w:tcPr>
          <w:p w14:paraId="0440699A">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20</w:t>
            </w:r>
          </w:p>
        </w:tc>
        <w:tc>
          <w:tcPr>
            <w:tcW w:w="3671" w:type="dxa"/>
            <w:tcBorders>
              <w:bottom w:val="single" w:color="000000" w:themeColor="text1" w:sz="12" w:space="0"/>
            </w:tcBorders>
            <w:shd w:val="clear" w:color="auto" w:fill="auto"/>
            <w:tcMar>
              <w:top w:w="50" w:type="dxa"/>
              <w:left w:w="80" w:type="dxa"/>
              <w:bottom w:w="50" w:type="dxa"/>
              <w:right w:w="80" w:type="dxa"/>
            </w:tcMar>
            <w:vAlign w:val="top"/>
          </w:tcPr>
          <w:p w14:paraId="6A1E58B3">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Supplementary Methods S1–S3, Tables S1–S7, and Figures S1–S4 provided. eICU data and code available from corresponding authors on request.</w:t>
            </w:r>
          </w:p>
        </w:tc>
        <w:tc>
          <w:tcPr>
            <w:tcW w:w="1920" w:type="dxa"/>
            <w:tcBorders>
              <w:bottom w:val="single" w:color="000000" w:themeColor="text1" w:sz="12" w:space="0"/>
            </w:tcBorders>
            <w:shd w:val="clear" w:color="auto" w:fill="auto"/>
            <w:tcMar>
              <w:top w:w="50" w:type="dxa"/>
              <w:left w:w="80" w:type="dxa"/>
              <w:bottom w:w="50" w:type="dxa"/>
              <w:right w:w="80" w:type="dxa"/>
            </w:tcMar>
            <w:vAlign w:val="top"/>
          </w:tcPr>
          <w:p w14:paraId="4CA7607E">
            <w:pPr>
              <w:keepNext w:val="0"/>
              <w:keepLines w:val="0"/>
              <w:suppressLineNumbers w:val="0"/>
              <w:snapToGrid w:val="0"/>
              <w:spacing w:before="0" w:beforeAutospacing="0" w:after="0" w:afterAutospacing="0"/>
              <w:ind w:left="0" w:right="0"/>
              <w:jc w:val="left"/>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val="0"/>
                <w:bCs w:val="0"/>
                <w:i w:val="0"/>
                <w:iCs w:val="0"/>
                <w:color w:val="000000" w:themeColor="text1"/>
                <w:sz w:val="21"/>
                <w:szCs w:val="21"/>
                <w14:textFill>
                  <w14:solidFill>
                    <w14:schemeClr w14:val="tx1"/>
                  </w14:solidFill>
                </w14:textFill>
              </w:rPr>
              <w:t>Data Availability; Supplementary files</w:t>
            </w:r>
          </w:p>
        </w:tc>
        <w:tc>
          <w:tcPr>
            <w:tcW w:w="1019" w:type="dxa"/>
            <w:tcBorders>
              <w:bottom w:val="single" w:color="000000" w:themeColor="text1" w:sz="12" w:space="0"/>
            </w:tcBorders>
            <w:shd w:val="clear" w:color="auto" w:fill="auto"/>
            <w:tcMar>
              <w:top w:w="50" w:type="dxa"/>
              <w:left w:w="80" w:type="dxa"/>
              <w:bottom w:w="50" w:type="dxa"/>
              <w:right w:w="80" w:type="dxa"/>
            </w:tcMar>
            <w:vAlign w:val="center"/>
          </w:tcPr>
          <w:p w14:paraId="555C080D">
            <w:pPr>
              <w:keepNext w:val="0"/>
              <w:keepLines w:val="0"/>
              <w:suppressLineNumbers w:val="0"/>
              <w:snapToGrid w:val="0"/>
              <w:spacing w:before="0" w:beforeAutospacing="0" w:after="0" w:afterAutospacing="0"/>
              <w:ind w:left="0" w:right="0"/>
              <w:jc w:val="center"/>
              <w:rPr>
                <w:rFonts w:hint="default" w:ascii="Times New Roman" w:hAnsi="Times New Roman" w:eastAsia="Yu Gothic" w:cs="Times New Roman"/>
                <w:color w:val="000000" w:themeColor="text1"/>
                <w:sz w:val="21"/>
                <w:szCs w:val="21"/>
                <w14:textFill>
                  <w14:solidFill>
                    <w14:schemeClr w14:val="tx1"/>
                  </w14:solidFill>
                </w14:textFill>
              </w:rPr>
            </w:pPr>
            <w:r>
              <w:rPr>
                <w:rFonts w:hint="default" w:ascii="Times New Roman" w:hAnsi="Times New Roman" w:eastAsia="Yu Gothic" w:cs="Times New Roman"/>
                <w:b/>
                <w:bCs/>
                <w:i w:val="0"/>
                <w:iCs w:val="0"/>
                <w:color w:val="000000" w:themeColor="text1"/>
                <w:sz w:val="21"/>
                <w:szCs w:val="21"/>
                <w14:textFill>
                  <w14:solidFill>
                    <w14:schemeClr w14:val="tx1"/>
                  </w14:solidFill>
                </w14:textFill>
              </w:rPr>
              <w:t>Yes</w:t>
            </w:r>
          </w:p>
        </w:tc>
      </w:tr>
    </w:tbl>
    <w:p w14:paraId="02BBF0AA">
      <w:pPr>
        <w:spacing w:line="360" w:lineRule="auto"/>
        <w:rPr>
          <w:rFonts w:hint="eastAsia" w:ascii="Times New Roman" w:hAnsi="Times New Roman" w:cs="Times New Roman"/>
          <w:lang w:val="en-US" w:eastAsia="zh-CN"/>
        </w:rPr>
      </w:pPr>
    </w:p>
    <w:p w14:paraId="7C736CEA">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Supplementary Table S8. TRIPOD+AI Checklist.</w:t>
      </w:r>
    </w:p>
    <w:p w14:paraId="7759C30D">
      <w:pPr>
        <w:spacing w:line="360" w:lineRule="auto"/>
        <w:rPr>
          <w:rFonts w:hint="eastAsia" w:ascii="Times New Roman" w:hAnsi="Times New Roman" w:cs="Times New Roman"/>
          <w:lang w:val="en-US" w:eastAsia="zh-CN"/>
        </w:rPr>
      </w:pPr>
      <w:r>
        <w:rPr>
          <w:rFonts w:hint="eastAsia" w:ascii="Times New Roman" w:hAnsi="Times New Roman" w:cs="Times New Roman"/>
          <w:lang w:val="en-US" w:eastAsia="zh-CN"/>
        </w:rPr>
        <w:t>Status: Yes = fully reported;  Partial = partially reported (see note in Checklist Item cell);  N/A = not applicable.</w:t>
      </w:r>
    </w:p>
    <w:p w14:paraId="6455AEA7">
      <w:pPr>
        <w:spacing w:line="360" w:lineRule="auto"/>
        <w:rPr>
          <w:rFonts w:hint="default" w:ascii="Times New Roman" w:hAnsi="Times New Roman" w:cs="Times New Roman"/>
          <w:lang w:val="en-US" w:eastAsia="zh-CN"/>
        </w:rPr>
      </w:pPr>
      <w:r>
        <w:rPr>
          <w:rFonts w:hint="eastAsia" w:ascii="Times New Roman" w:hAnsi="Times New Roman" w:cs="Times New Roman"/>
          <w:lang w:val="en-US" w:eastAsia="zh-CN"/>
        </w:rPr>
        <w:t>Abbreviations: ARF, acute respiratory failure; AWRI, Age-Weighted RDW Index; AUC, area under the ROC curve; CI, confidence interval; CV, cross-validation; ICU, intensive care unit; KDE, kernel density estimation; LOS, length of stay; ML, machine learning; RCS, restricted cubic spline; RDW, red cell distribution width; RF, random forest; SHAP, SHapley Additive exPlanations.</w:t>
      </w:r>
    </w:p>
    <w:p w14:paraId="7617EE82">
      <w:pPr>
        <w:jc w:val="left"/>
        <w:rPr>
          <w:rFonts w:hint="default" w:ascii="宋体" w:hAnsi="宋体" w:eastAsia="宋体" w:cs="宋体"/>
          <w:sz w:val="24"/>
          <w:szCs w:val="24"/>
        </w:rPr>
      </w:pPr>
    </w:p>
    <w:p w14:paraId="713799FF">
      <w:pPr>
        <w:jc w:val="left"/>
        <w:rPr>
          <w:rFonts w:hint="default" w:ascii="Times New Roman" w:hAnsi="Times New Roman" w:eastAsia="Arial" w:cs="Times New Roman"/>
          <w:b w:val="0"/>
          <w:bCs w:val="0"/>
          <w:i/>
          <w:iCs/>
          <w:color w:val="1A1A1A"/>
          <w:sz w:val="14"/>
          <w:szCs w:val="14"/>
        </w:rPr>
      </w:pPr>
    </w:p>
    <w:p w14:paraId="763BF37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color w:val="000000"/>
          <w:sz w:val="28"/>
          <w:szCs w:val="28"/>
          <w:lang w:val="en-US" w:eastAsia="zh-CN"/>
        </w:rPr>
      </w:pPr>
    </w:p>
    <w:sectPr>
      <w:pgSz w:w="11906" w:h="16838"/>
      <w:pgMar w:top="1440" w:right="1418" w:bottom="1440" w:left="1418" w:header="851" w:footer="992" w:gutter="0"/>
      <w:pgBorders>
        <w:top w:val="none" w:sz="0" w:space="0"/>
        <w:left w:val="none" w:sz="0" w:space="0"/>
        <w:bottom w:val="none" w:sz="0" w:space="0"/>
        <w:right w:val="none" w:sz="0" w:space="0"/>
      </w:pgBorders>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楷体简体">
    <w:altName w:val="宋体"/>
    <w:panose1 w:val="02000000000000000000"/>
    <w:charset w:val="86"/>
    <w:family w:val="auto"/>
    <w:pitch w:val="default"/>
    <w:sig w:usb0="00000000" w:usb1="00000000" w:usb2="00000012"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panose1 w:val="02010600040101010101"/>
    <w:charset w:val="86"/>
    <w:family w:val="auto"/>
    <w:pitch w:val="default"/>
    <w:sig w:usb0="00000287" w:usb1="080F0000" w:usb2="00000000" w:usb3="00000000" w:csb0="0004009F" w:csb1="DFD7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62BE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29F5C">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79B29F5C">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1NGM4ZmIxYTEzZTc0NzhlNjdmNzA5NTZiYjVkN2IifQ=="/>
  </w:docVars>
  <w:rsids>
    <w:rsidRoot w:val="00172A27"/>
    <w:rsid w:val="000128FE"/>
    <w:rsid w:val="00021A71"/>
    <w:rsid w:val="00022B4E"/>
    <w:rsid w:val="00022F71"/>
    <w:rsid w:val="000306DD"/>
    <w:rsid w:val="000424FC"/>
    <w:rsid w:val="000458DD"/>
    <w:rsid w:val="00046FDB"/>
    <w:rsid w:val="0008466F"/>
    <w:rsid w:val="0009269C"/>
    <w:rsid w:val="00095022"/>
    <w:rsid w:val="0009610B"/>
    <w:rsid w:val="000A15EB"/>
    <w:rsid w:val="000A5C57"/>
    <w:rsid w:val="000A6C1C"/>
    <w:rsid w:val="000B2A7B"/>
    <w:rsid w:val="000B79BB"/>
    <w:rsid w:val="000C1D9B"/>
    <w:rsid w:val="000C48FD"/>
    <w:rsid w:val="000D636F"/>
    <w:rsid w:val="001042B1"/>
    <w:rsid w:val="001048F3"/>
    <w:rsid w:val="00106664"/>
    <w:rsid w:val="0011016B"/>
    <w:rsid w:val="00116046"/>
    <w:rsid w:val="001172D4"/>
    <w:rsid w:val="00127CAF"/>
    <w:rsid w:val="001400F1"/>
    <w:rsid w:val="001476E6"/>
    <w:rsid w:val="001521B2"/>
    <w:rsid w:val="00156006"/>
    <w:rsid w:val="00157225"/>
    <w:rsid w:val="00160CC6"/>
    <w:rsid w:val="00167F14"/>
    <w:rsid w:val="00170477"/>
    <w:rsid w:val="00172FD3"/>
    <w:rsid w:val="001827FE"/>
    <w:rsid w:val="00191508"/>
    <w:rsid w:val="001952EA"/>
    <w:rsid w:val="001A0702"/>
    <w:rsid w:val="001A6DCE"/>
    <w:rsid w:val="001B4865"/>
    <w:rsid w:val="001B683B"/>
    <w:rsid w:val="001C197E"/>
    <w:rsid w:val="001F75B0"/>
    <w:rsid w:val="001F772C"/>
    <w:rsid w:val="0020098F"/>
    <w:rsid w:val="00202284"/>
    <w:rsid w:val="00206987"/>
    <w:rsid w:val="002074E6"/>
    <w:rsid w:val="00213BFE"/>
    <w:rsid w:val="00215E97"/>
    <w:rsid w:val="00223847"/>
    <w:rsid w:val="00223C39"/>
    <w:rsid w:val="002250A1"/>
    <w:rsid w:val="0023541F"/>
    <w:rsid w:val="00235A34"/>
    <w:rsid w:val="00236D43"/>
    <w:rsid w:val="00244F13"/>
    <w:rsid w:val="00255FAD"/>
    <w:rsid w:val="0025631D"/>
    <w:rsid w:val="0026042A"/>
    <w:rsid w:val="00260D26"/>
    <w:rsid w:val="002654DE"/>
    <w:rsid w:val="002802AC"/>
    <w:rsid w:val="002834D2"/>
    <w:rsid w:val="0028453D"/>
    <w:rsid w:val="0028549E"/>
    <w:rsid w:val="00286BC8"/>
    <w:rsid w:val="00291293"/>
    <w:rsid w:val="002916AC"/>
    <w:rsid w:val="002962DA"/>
    <w:rsid w:val="002B5CFF"/>
    <w:rsid w:val="002C530A"/>
    <w:rsid w:val="002D373B"/>
    <w:rsid w:val="002E63AB"/>
    <w:rsid w:val="002E678F"/>
    <w:rsid w:val="002F1511"/>
    <w:rsid w:val="002F2F9F"/>
    <w:rsid w:val="002F348B"/>
    <w:rsid w:val="002F4011"/>
    <w:rsid w:val="002F55F2"/>
    <w:rsid w:val="002F76A5"/>
    <w:rsid w:val="00307949"/>
    <w:rsid w:val="00310D41"/>
    <w:rsid w:val="0031313C"/>
    <w:rsid w:val="00314438"/>
    <w:rsid w:val="00331679"/>
    <w:rsid w:val="003330E7"/>
    <w:rsid w:val="003430E2"/>
    <w:rsid w:val="003435F4"/>
    <w:rsid w:val="00347BB8"/>
    <w:rsid w:val="00352717"/>
    <w:rsid w:val="003579E1"/>
    <w:rsid w:val="00366453"/>
    <w:rsid w:val="00370372"/>
    <w:rsid w:val="003726A8"/>
    <w:rsid w:val="00380CE5"/>
    <w:rsid w:val="00396911"/>
    <w:rsid w:val="003979CB"/>
    <w:rsid w:val="003A59CE"/>
    <w:rsid w:val="003C6D58"/>
    <w:rsid w:val="003D577A"/>
    <w:rsid w:val="003D596C"/>
    <w:rsid w:val="003E4E40"/>
    <w:rsid w:val="003F3C43"/>
    <w:rsid w:val="004147AA"/>
    <w:rsid w:val="0042188A"/>
    <w:rsid w:val="0042299B"/>
    <w:rsid w:val="00423467"/>
    <w:rsid w:val="00432D94"/>
    <w:rsid w:val="004370F4"/>
    <w:rsid w:val="00460FCC"/>
    <w:rsid w:val="00473222"/>
    <w:rsid w:val="0047329E"/>
    <w:rsid w:val="00481FCF"/>
    <w:rsid w:val="00496A73"/>
    <w:rsid w:val="004A1180"/>
    <w:rsid w:val="004A1A12"/>
    <w:rsid w:val="004A585B"/>
    <w:rsid w:val="004A60F0"/>
    <w:rsid w:val="004C17B2"/>
    <w:rsid w:val="004D4C05"/>
    <w:rsid w:val="004D64CE"/>
    <w:rsid w:val="004E6BA9"/>
    <w:rsid w:val="004F05BF"/>
    <w:rsid w:val="004F6B22"/>
    <w:rsid w:val="005011FE"/>
    <w:rsid w:val="005100E9"/>
    <w:rsid w:val="0053286D"/>
    <w:rsid w:val="00562D60"/>
    <w:rsid w:val="00565A0C"/>
    <w:rsid w:val="005711B2"/>
    <w:rsid w:val="00577828"/>
    <w:rsid w:val="00590AD0"/>
    <w:rsid w:val="00591A40"/>
    <w:rsid w:val="0059489A"/>
    <w:rsid w:val="00597463"/>
    <w:rsid w:val="005C314E"/>
    <w:rsid w:val="005D2DA8"/>
    <w:rsid w:val="00605138"/>
    <w:rsid w:val="006207EB"/>
    <w:rsid w:val="00621601"/>
    <w:rsid w:val="0062495D"/>
    <w:rsid w:val="0063092D"/>
    <w:rsid w:val="00640532"/>
    <w:rsid w:val="00643D9D"/>
    <w:rsid w:val="00647E2A"/>
    <w:rsid w:val="0066180D"/>
    <w:rsid w:val="00662F3F"/>
    <w:rsid w:val="00673881"/>
    <w:rsid w:val="006765A0"/>
    <w:rsid w:val="00686E89"/>
    <w:rsid w:val="00690D86"/>
    <w:rsid w:val="00692FBA"/>
    <w:rsid w:val="006A1247"/>
    <w:rsid w:val="006A4430"/>
    <w:rsid w:val="006B2995"/>
    <w:rsid w:val="006C016D"/>
    <w:rsid w:val="006D2B6C"/>
    <w:rsid w:val="006E6CD1"/>
    <w:rsid w:val="006F0C89"/>
    <w:rsid w:val="006F0DAD"/>
    <w:rsid w:val="006F49E0"/>
    <w:rsid w:val="00707C60"/>
    <w:rsid w:val="00710B5B"/>
    <w:rsid w:val="00715162"/>
    <w:rsid w:val="00723C9B"/>
    <w:rsid w:val="007274C8"/>
    <w:rsid w:val="00737EDB"/>
    <w:rsid w:val="00740FC9"/>
    <w:rsid w:val="0074747A"/>
    <w:rsid w:val="00761FE0"/>
    <w:rsid w:val="007675B7"/>
    <w:rsid w:val="007677A2"/>
    <w:rsid w:val="00771DCE"/>
    <w:rsid w:val="0077502C"/>
    <w:rsid w:val="00780C70"/>
    <w:rsid w:val="00782D8E"/>
    <w:rsid w:val="00791AC6"/>
    <w:rsid w:val="007B28F2"/>
    <w:rsid w:val="007B60C8"/>
    <w:rsid w:val="007C00CF"/>
    <w:rsid w:val="008030B1"/>
    <w:rsid w:val="00803CEA"/>
    <w:rsid w:val="0080439E"/>
    <w:rsid w:val="00814524"/>
    <w:rsid w:val="00820B0E"/>
    <w:rsid w:val="00827448"/>
    <w:rsid w:val="00831173"/>
    <w:rsid w:val="008360AE"/>
    <w:rsid w:val="00840762"/>
    <w:rsid w:val="00845B3C"/>
    <w:rsid w:val="008541BA"/>
    <w:rsid w:val="0086593F"/>
    <w:rsid w:val="008756E3"/>
    <w:rsid w:val="00891074"/>
    <w:rsid w:val="0089193B"/>
    <w:rsid w:val="00892363"/>
    <w:rsid w:val="00892891"/>
    <w:rsid w:val="008A4B6E"/>
    <w:rsid w:val="008B1F9E"/>
    <w:rsid w:val="008B3558"/>
    <w:rsid w:val="008D34E1"/>
    <w:rsid w:val="008E6090"/>
    <w:rsid w:val="008E72A0"/>
    <w:rsid w:val="008F21A8"/>
    <w:rsid w:val="009113B7"/>
    <w:rsid w:val="00912EC6"/>
    <w:rsid w:val="00915610"/>
    <w:rsid w:val="00931278"/>
    <w:rsid w:val="00934A06"/>
    <w:rsid w:val="00950F83"/>
    <w:rsid w:val="009514F9"/>
    <w:rsid w:val="009731BF"/>
    <w:rsid w:val="0097674C"/>
    <w:rsid w:val="0098405C"/>
    <w:rsid w:val="00995319"/>
    <w:rsid w:val="00995BE3"/>
    <w:rsid w:val="00995D8C"/>
    <w:rsid w:val="00997E96"/>
    <w:rsid w:val="009A1F07"/>
    <w:rsid w:val="009A5784"/>
    <w:rsid w:val="009A6154"/>
    <w:rsid w:val="009C1F8F"/>
    <w:rsid w:val="009D08CA"/>
    <w:rsid w:val="009D3B60"/>
    <w:rsid w:val="009F0A3C"/>
    <w:rsid w:val="009F4E7B"/>
    <w:rsid w:val="009F713E"/>
    <w:rsid w:val="009F742D"/>
    <w:rsid w:val="00A01D04"/>
    <w:rsid w:val="00A05A20"/>
    <w:rsid w:val="00A22CEE"/>
    <w:rsid w:val="00A23385"/>
    <w:rsid w:val="00A27ABC"/>
    <w:rsid w:val="00A3550F"/>
    <w:rsid w:val="00A422C0"/>
    <w:rsid w:val="00A47067"/>
    <w:rsid w:val="00A5416E"/>
    <w:rsid w:val="00A63CD2"/>
    <w:rsid w:val="00A67B4E"/>
    <w:rsid w:val="00A71BA5"/>
    <w:rsid w:val="00A93886"/>
    <w:rsid w:val="00A958B9"/>
    <w:rsid w:val="00AA3BCA"/>
    <w:rsid w:val="00AB3AED"/>
    <w:rsid w:val="00AB4C1B"/>
    <w:rsid w:val="00AC004F"/>
    <w:rsid w:val="00AC6E0C"/>
    <w:rsid w:val="00AD1764"/>
    <w:rsid w:val="00AE30F2"/>
    <w:rsid w:val="00AE3167"/>
    <w:rsid w:val="00AE4292"/>
    <w:rsid w:val="00AF06F8"/>
    <w:rsid w:val="00B042EB"/>
    <w:rsid w:val="00B225FE"/>
    <w:rsid w:val="00B23C79"/>
    <w:rsid w:val="00B24F42"/>
    <w:rsid w:val="00B31A95"/>
    <w:rsid w:val="00B31CBF"/>
    <w:rsid w:val="00B45B53"/>
    <w:rsid w:val="00B52FE2"/>
    <w:rsid w:val="00B62A7A"/>
    <w:rsid w:val="00B636D0"/>
    <w:rsid w:val="00B65520"/>
    <w:rsid w:val="00B73D79"/>
    <w:rsid w:val="00B806F0"/>
    <w:rsid w:val="00B81530"/>
    <w:rsid w:val="00BB1E59"/>
    <w:rsid w:val="00BB264F"/>
    <w:rsid w:val="00BB5771"/>
    <w:rsid w:val="00BB76A5"/>
    <w:rsid w:val="00BC16AE"/>
    <w:rsid w:val="00BC4D01"/>
    <w:rsid w:val="00BD76FA"/>
    <w:rsid w:val="00BE1D10"/>
    <w:rsid w:val="00C056FC"/>
    <w:rsid w:val="00C17A36"/>
    <w:rsid w:val="00C31B77"/>
    <w:rsid w:val="00C41D91"/>
    <w:rsid w:val="00C5159B"/>
    <w:rsid w:val="00C6787A"/>
    <w:rsid w:val="00C70AE4"/>
    <w:rsid w:val="00C7294A"/>
    <w:rsid w:val="00C7484B"/>
    <w:rsid w:val="00C751CD"/>
    <w:rsid w:val="00C77A0C"/>
    <w:rsid w:val="00C77AD6"/>
    <w:rsid w:val="00C87F2B"/>
    <w:rsid w:val="00C956D8"/>
    <w:rsid w:val="00CA0838"/>
    <w:rsid w:val="00CA1C58"/>
    <w:rsid w:val="00CB786F"/>
    <w:rsid w:val="00CC1693"/>
    <w:rsid w:val="00CC200B"/>
    <w:rsid w:val="00CC7013"/>
    <w:rsid w:val="00CD4C1B"/>
    <w:rsid w:val="00CF0CB5"/>
    <w:rsid w:val="00CF1ABA"/>
    <w:rsid w:val="00CF5466"/>
    <w:rsid w:val="00CF78F4"/>
    <w:rsid w:val="00D012E9"/>
    <w:rsid w:val="00D04726"/>
    <w:rsid w:val="00D04C15"/>
    <w:rsid w:val="00D05AB1"/>
    <w:rsid w:val="00D05EBB"/>
    <w:rsid w:val="00D155DF"/>
    <w:rsid w:val="00D257D8"/>
    <w:rsid w:val="00D358C9"/>
    <w:rsid w:val="00D37738"/>
    <w:rsid w:val="00D43864"/>
    <w:rsid w:val="00D440B6"/>
    <w:rsid w:val="00D46BF0"/>
    <w:rsid w:val="00D650B6"/>
    <w:rsid w:val="00D730EB"/>
    <w:rsid w:val="00D7515C"/>
    <w:rsid w:val="00D762FA"/>
    <w:rsid w:val="00D814FF"/>
    <w:rsid w:val="00D831ED"/>
    <w:rsid w:val="00D86E9D"/>
    <w:rsid w:val="00D879A6"/>
    <w:rsid w:val="00D97072"/>
    <w:rsid w:val="00DA2502"/>
    <w:rsid w:val="00DB080B"/>
    <w:rsid w:val="00DB192A"/>
    <w:rsid w:val="00DB2E1C"/>
    <w:rsid w:val="00DB41AA"/>
    <w:rsid w:val="00DD35E8"/>
    <w:rsid w:val="00DD54D0"/>
    <w:rsid w:val="00E04E16"/>
    <w:rsid w:val="00E13B6E"/>
    <w:rsid w:val="00E151E0"/>
    <w:rsid w:val="00E21E9D"/>
    <w:rsid w:val="00E261CA"/>
    <w:rsid w:val="00E3267D"/>
    <w:rsid w:val="00E35F01"/>
    <w:rsid w:val="00E446CC"/>
    <w:rsid w:val="00E44D17"/>
    <w:rsid w:val="00E44EAC"/>
    <w:rsid w:val="00E4528A"/>
    <w:rsid w:val="00E507B4"/>
    <w:rsid w:val="00E538F2"/>
    <w:rsid w:val="00E55059"/>
    <w:rsid w:val="00E618E3"/>
    <w:rsid w:val="00E61A8D"/>
    <w:rsid w:val="00E61D53"/>
    <w:rsid w:val="00E62006"/>
    <w:rsid w:val="00E74137"/>
    <w:rsid w:val="00E74419"/>
    <w:rsid w:val="00E9215A"/>
    <w:rsid w:val="00E95C65"/>
    <w:rsid w:val="00EA0C57"/>
    <w:rsid w:val="00EA6BF7"/>
    <w:rsid w:val="00EB1D87"/>
    <w:rsid w:val="00EB7800"/>
    <w:rsid w:val="00ED1381"/>
    <w:rsid w:val="00ED5218"/>
    <w:rsid w:val="00EE7049"/>
    <w:rsid w:val="00EF145C"/>
    <w:rsid w:val="00EF2A92"/>
    <w:rsid w:val="00EF5662"/>
    <w:rsid w:val="00F02684"/>
    <w:rsid w:val="00F02889"/>
    <w:rsid w:val="00F06CCC"/>
    <w:rsid w:val="00F10D17"/>
    <w:rsid w:val="00F16E4B"/>
    <w:rsid w:val="00F17371"/>
    <w:rsid w:val="00F2401B"/>
    <w:rsid w:val="00F25C02"/>
    <w:rsid w:val="00F26186"/>
    <w:rsid w:val="00F33F52"/>
    <w:rsid w:val="00F44E1B"/>
    <w:rsid w:val="00F4561D"/>
    <w:rsid w:val="00F50932"/>
    <w:rsid w:val="00F55E3A"/>
    <w:rsid w:val="00F65FB9"/>
    <w:rsid w:val="00F66B67"/>
    <w:rsid w:val="00F72F6A"/>
    <w:rsid w:val="00F77162"/>
    <w:rsid w:val="00F779C0"/>
    <w:rsid w:val="00F77E15"/>
    <w:rsid w:val="00FA704C"/>
    <w:rsid w:val="00FB198E"/>
    <w:rsid w:val="00FD010E"/>
    <w:rsid w:val="00FD03FB"/>
    <w:rsid w:val="00FD0E41"/>
    <w:rsid w:val="00FD2559"/>
    <w:rsid w:val="00FD4FD0"/>
    <w:rsid w:val="00FE4B15"/>
    <w:rsid w:val="00FE5D39"/>
    <w:rsid w:val="01615E32"/>
    <w:rsid w:val="036F562F"/>
    <w:rsid w:val="039B14D9"/>
    <w:rsid w:val="03A30C81"/>
    <w:rsid w:val="04747097"/>
    <w:rsid w:val="04C5285F"/>
    <w:rsid w:val="04D65925"/>
    <w:rsid w:val="09F579BA"/>
    <w:rsid w:val="0ABD0ABF"/>
    <w:rsid w:val="0B0E30C9"/>
    <w:rsid w:val="0BC775D8"/>
    <w:rsid w:val="0C041783"/>
    <w:rsid w:val="0C0A3CDA"/>
    <w:rsid w:val="0C4943C0"/>
    <w:rsid w:val="0C530B0C"/>
    <w:rsid w:val="0C592FD3"/>
    <w:rsid w:val="0CCC2A72"/>
    <w:rsid w:val="0D086EE1"/>
    <w:rsid w:val="0D28539A"/>
    <w:rsid w:val="0ED94077"/>
    <w:rsid w:val="0F120A29"/>
    <w:rsid w:val="0F721679"/>
    <w:rsid w:val="105D4F12"/>
    <w:rsid w:val="106054A6"/>
    <w:rsid w:val="1091194D"/>
    <w:rsid w:val="11336E0E"/>
    <w:rsid w:val="12457F07"/>
    <w:rsid w:val="136C3EED"/>
    <w:rsid w:val="13893829"/>
    <w:rsid w:val="13A50B3D"/>
    <w:rsid w:val="13F752EB"/>
    <w:rsid w:val="14460456"/>
    <w:rsid w:val="1689069C"/>
    <w:rsid w:val="1703031C"/>
    <w:rsid w:val="17093B12"/>
    <w:rsid w:val="177B0058"/>
    <w:rsid w:val="189B6A84"/>
    <w:rsid w:val="19255B7B"/>
    <w:rsid w:val="19633E39"/>
    <w:rsid w:val="19FD3F1E"/>
    <w:rsid w:val="1AA03612"/>
    <w:rsid w:val="1AA674ED"/>
    <w:rsid w:val="1AF019B9"/>
    <w:rsid w:val="1B0A1FE6"/>
    <w:rsid w:val="1BC00C48"/>
    <w:rsid w:val="1BD7590D"/>
    <w:rsid w:val="1C9F41B2"/>
    <w:rsid w:val="1CC96616"/>
    <w:rsid w:val="1E355AA4"/>
    <w:rsid w:val="1EF51F93"/>
    <w:rsid w:val="1F9279CD"/>
    <w:rsid w:val="1F97465F"/>
    <w:rsid w:val="211B7AAD"/>
    <w:rsid w:val="21EE11B9"/>
    <w:rsid w:val="21FA5EC1"/>
    <w:rsid w:val="229F5501"/>
    <w:rsid w:val="22FD3B60"/>
    <w:rsid w:val="238C40A2"/>
    <w:rsid w:val="23965A72"/>
    <w:rsid w:val="23D74211"/>
    <w:rsid w:val="243A01BC"/>
    <w:rsid w:val="255754CE"/>
    <w:rsid w:val="2634248D"/>
    <w:rsid w:val="264F42EC"/>
    <w:rsid w:val="2661284D"/>
    <w:rsid w:val="26667E05"/>
    <w:rsid w:val="26D85E7C"/>
    <w:rsid w:val="284657F9"/>
    <w:rsid w:val="298D6F6D"/>
    <w:rsid w:val="29E862D0"/>
    <w:rsid w:val="2CFF785C"/>
    <w:rsid w:val="2D1E7735"/>
    <w:rsid w:val="2D415365"/>
    <w:rsid w:val="2D425675"/>
    <w:rsid w:val="2D503F02"/>
    <w:rsid w:val="2D5A2ED4"/>
    <w:rsid w:val="2D5B3FC2"/>
    <w:rsid w:val="2DE54DD8"/>
    <w:rsid w:val="2E433ED1"/>
    <w:rsid w:val="2E725DB9"/>
    <w:rsid w:val="2F1069EB"/>
    <w:rsid w:val="2F8E22B4"/>
    <w:rsid w:val="2F9E55FD"/>
    <w:rsid w:val="30E27585"/>
    <w:rsid w:val="30F47B5A"/>
    <w:rsid w:val="313A1C72"/>
    <w:rsid w:val="31545412"/>
    <w:rsid w:val="318B68D7"/>
    <w:rsid w:val="31D9048B"/>
    <w:rsid w:val="31DD5420"/>
    <w:rsid w:val="32A46949"/>
    <w:rsid w:val="35180C3E"/>
    <w:rsid w:val="356F57CA"/>
    <w:rsid w:val="35C30488"/>
    <w:rsid w:val="35E309A4"/>
    <w:rsid w:val="3611239F"/>
    <w:rsid w:val="362F072A"/>
    <w:rsid w:val="36AF704C"/>
    <w:rsid w:val="386404EA"/>
    <w:rsid w:val="3A4044DA"/>
    <w:rsid w:val="3A4A0F45"/>
    <w:rsid w:val="3AB75329"/>
    <w:rsid w:val="3AED7D56"/>
    <w:rsid w:val="3B225844"/>
    <w:rsid w:val="3B530501"/>
    <w:rsid w:val="3C737CAE"/>
    <w:rsid w:val="3D5B6538"/>
    <w:rsid w:val="3D6B2F4F"/>
    <w:rsid w:val="3D782BD7"/>
    <w:rsid w:val="3D906700"/>
    <w:rsid w:val="3DD5787B"/>
    <w:rsid w:val="3DF51E3A"/>
    <w:rsid w:val="3E7A5DA4"/>
    <w:rsid w:val="3F5C54AA"/>
    <w:rsid w:val="3F8F7E7C"/>
    <w:rsid w:val="404732BA"/>
    <w:rsid w:val="414B6974"/>
    <w:rsid w:val="417E5BAB"/>
    <w:rsid w:val="41C537DA"/>
    <w:rsid w:val="41D50F30"/>
    <w:rsid w:val="42505BB0"/>
    <w:rsid w:val="42887522"/>
    <w:rsid w:val="429E4863"/>
    <w:rsid w:val="43350D03"/>
    <w:rsid w:val="44A479CD"/>
    <w:rsid w:val="45EF2C7D"/>
    <w:rsid w:val="463D3C66"/>
    <w:rsid w:val="467C1E64"/>
    <w:rsid w:val="46ED4F5D"/>
    <w:rsid w:val="47ED5839"/>
    <w:rsid w:val="484E6ED3"/>
    <w:rsid w:val="49400050"/>
    <w:rsid w:val="49BF0518"/>
    <w:rsid w:val="49EA6E56"/>
    <w:rsid w:val="4B03168E"/>
    <w:rsid w:val="4B2D6981"/>
    <w:rsid w:val="4BAD3134"/>
    <w:rsid w:val="4BD56D10"/>
    <w:rsid w:val="4BDD3C02"/>
    <w:rsid w:val="4C6E1FFB"/>
    <w:rsid w:val="4D4D17D4"/>
    <w:rsid w:val="4D5E2428"/>
    <w:rsid w:val="4DB32740"/>
    <w:rsid w:val="4DD636CC"/>
    <w:rsid w:val="4EFF6B56"/>
    <w:rsid w:val="4FA07633"/>
    <w:rsid w:val="501D46F4"/>
    <w:rsid w:val="51183927"/>
    <w:rsid w:val="52BD5936"/>
    <w:rsid w:val="53B611D5"/>
    <w:rsid w:val="53C56A30"/>
    <w:rsid w:val="53DF62B0"/>
    <w:rsid w:val="54B67A49"/>
    <w:rsid w:val="55FE3F8B"/>
    <w:rsid w:val="565F13A0"/>
    <w:rsid w:val="56B653AD"/>
    <w:rsid w:val="56B96C8B"/>
    <w:rsid w:val="56BF208D"/>
    <w:rsid w:val="581D206C"/>
    <w:rsid w:val="589537E5"/>
    <w:rsid w:val="58A07E3F"/>
    <w:rsid w:val="593A513A"/>
    <w:rsid w:val="597E2795"/>
    <w:rsid w:val="5A224A0A"/>
    <w:rsid w:val="5CF25357"/>
    <w:rsid w:val="5E2A2126"/>
    <w:rsid w:val="5EC10AB9"/>
    <w:rsid w:val="5EF572FC"/>
    <w:rsid w:val="5F0A0327"/>
    <w:rsid w:val="614822A7"/>
    <w:rsid w:val="6177430E"/>
    <w:rsid w:val="621E6C99"/>
    <w:rsid w:val="62A56867"/>
    <w:rsid w:val="63854CDF"/>
    <w:rsid w:val="63B27F14"/>
    <w:rsid w:val="648715CC"/>
    <w:rsid w:val="64C363B1"/>
    <w:rsid w:val="6509111B"/>
    <w:rsid w:val="653E17A4"/>
    <w:rsid w:val="65EA5637"/>
    <w:rsid w:val="66A019EA"/>
    <w:rsid w:val="66D42130"/>
    <w:rsid w:val="67210313"/>
    <w:rsid w:val="683747EF"/>
    <w:rsid w:val="6C452D71"/>
    <w:rsid w:val="6CAC650F"/>
    <w:rsid w:val="6CFB1058"/>
    <w:rsid w:val="6D050112"/>
    <w:rsid w:val="6D080C2D"/>
    <w:rsid w:val="6D542815"/>
    <w:rsid w:val="6DD53B0A"/>
    <w:rsid w:val="6DDD5580"/>
    <w:rsid w:val="6E182D60"/>
    <w:rsid w:val="6E6830D9"/>
    <w:rsid w:val="6EB53936"/>
    <w:rsid w:val="6F9C61AB"/>
    <w:rsid w:val="6FBB4142"/>
    <w:rsid w:val="6FC35501"/>
    <w:rsid w:val="700A0487"/>
    <w:rsid w:val="701B2694"/>
    <w:rsid w:val="70444B38"/>
    <w:rsid w:val="706B2486"/>
    <w:rsid w:val="70D0347E"/>
    <w:rsid w:val="70E23573"/>
    <w:rsid w:val="710B7AE6"/>
    <w:rsid w:val="71A07D32"/>
    <w:rsid w:val="742C5E64"/>
    <w:rsid w:val="749C6FCF"/>
    <w:rsid w:val="74DA4575"/>
    <w:rsid w:val="74F11C15"/>
    <w:rsid w:val="75EA3772"/>
    <w:rsid w:val="764E4127"/>
    <w:rsid w:val="7709041E"/>
    <w:rsid w:val="78923A40"/>
    <w:rsid w:val="78954C70"/>
    <w:rsid w:val="78C733B9"/>
    <w:rsid w:val="794827C3"/>
    <w:rsid w:val="79DE4E5E"/>
    <w:rsid w:val="7A0022B0"/>
    <w:rsid w:val="7A302736"/>
    <w:rsid w:val="7AC34054"/>
    <w:rsid w:val="7AEC2008"/>
    <w:rsid w:val="7B910698"/>
    <w:rsid w:val="7EC461A8"/>
    <w:rsid w:val="7F4A036A"/>
    <w:rsid w:val="7F5D6825"/>
    <w:rsid w:val="7F6B1ECC"/>
    <w:rsid w:val="7F89761A"/>
    <w:rsid w:val="7FF54C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99" w:semiHidden="0" w:name="Emphasis" w:locked="1"/>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next w:val="1"/>
    <w:qFormat/>
    <w:locked/>
    <w:uiPriority w:val="0"/>
    <w:pPr>
      <w:spacing w:before="240" w:after="180"/>
      <w:outlineLvl w:val="1"/>
    </w:pPr>
    <w:rPr>
      <w:rFonts w:ascii="黑体" w:hAnsi="黑体" w:eastAsia="黑体" w:cs="黑体"/>
      <w:b/>
      <w:bCs/>
      <w:sz w:val="28"/>
      <w:szCs w:val="28"/>
    </w:rPr>
  </w:style>
  <w:style w:type="paragraph" w:styleId="3">
    <w:name w:val="heading 3"/>
    <w:next w:val="1"/>
    <w:qFormat/>
    <w:locked/>
    <w:uiPriority w:val="0"/>
    <w:pPr>
      <w:spacing w:before="180" w:after="120"/>
      <w:outlineLvl w:val="2"/>
    </w:pPr>
    <w:rPr>
      <w:rFonts w:ascii="黑体" w:hAnsi="黑体" w:eastAsia="黑体" w:cs="黑体"/>
      <w:b/>
      <w:bCs/>
      <w:sz w:val="26"/>
      <w:szCs w:val="26"/>
    </w:rPr>
  </w:style>
  <w:style w:type="character" w:default="1" w:styleId="13">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22"/>
    <w:semiHidden/>
    <w:qFormat/>
    <w:uiPriority w:val="99"/>
    <w:pPr>
      <w:jc w:val="left"/>
    </w:pPr>
    <w:rPr>
      <w:rFonts w:ascii="Times New Roman" w:hAnsi="Times New Roman"/>
    </w:rPr>
  </w:style>
  <w:style w:type="paragraph" w:styleId="5">
    <w:name w:val="Plain Text"/>
    <w:basedOn w:val="1"/>
    <w:link w:val="17"/>
    <w:autoRedefine/>
    <w:qFormat/>
    <w:uiPriority w:val="99"/>
    <w:rPr>
      <w:rFonts w:ascii="宋体" w:hAnsi="Courier New"/>
      <w:szCs w:val="20"/>
    </w:rPr>
  </w:style>
  <w:style w:type="paragraph" w:styleId="6">
    <w:name w:val="Balloon Text"/>
    <w:basedOn w:val="1"/>
    <w:link w:val="18"/>
    <w:autoRedefine/>
    <w:qFormat/>
    <w:uiPriority w:val="99"/>
    <w:rPr>
      <w:sz w:val="18"/>
      <w:szCs w:val="18"/>
    </w:rPr>
  </w:style>
  <w:style w:type="paragraph" w:styleId="7">
    <w:name w:val="footer"/>
    <w:basedOn w:val="1"/>
    <w:link w:val="19"/>
    <w:autoRedefine/>
    <w:qFormat/>
    <w:uiPriority w:val="99"/>
    <w:pPr>
      <w:tabs>
        <w:tab w:val="center" w:pos="4153"/>
        <w:tab w:val="right" w:pos="8306"/>
      </w:tabs>
      <w:snapToGrid w:val="0"/>
      <w:jc w:val="left"/>
    </w:pPr>
    <w:rPr>
      <w:sz w:val="18"/>
    </w:rPr>
  </w:style>
  <w:style w:type="paragraph" w:styleId="8">
    <w:name w:val="header"/>
    <w:basedOn w:val="1"/>
    <w:link w:val="20"/>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semiHidden/>
    <w:unhideWhenUsed/>
    <w:qFormat/>
    <w:uiPriority w:val="99"/>
    <w:rPr>
      <w:sz w:val="24"/>
    </w:rPr>
  </w:style>
  <w:style w:type="paragraph" w:styleId="10">
    <w:name w:val="annotation subject"/>
    <w:basedOn w:val="4"/>
    <w:next w:val="4"/>
    <w:link w:val="24"/>
    <w:autoRedefine/>
    <w:semiHidden/>
    <w:qFormat/>
    <w:uiPriority w:val="99"/>
    <w:rPr>
      <w:rFonts w:ascii="Calibri" w:hAnsi="Calibri"/>
      <w:b/>
      <w:bCs/>
    </w:rPr>
  </w:style>
  <w:style w:type="table" w:styleId="12">
    <w:name w:val="Table Grid"/>
    <w:basedOn w:val="11"/>
    <w:autoRedefine/>
    <w:qFormat/>
    <w:locked/>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4">
    <w:name w:val="Strong"/>
    <w:basedOn w:val="13"/>
    <w:qFormat/>
    <w:locked/>
    <w:uiPriority w:val="0"/>
    <w:rPr>
      <w:b/>
    </w:rPr>
  </w:style>
  <w:style w:type="character" w:styleId="15">
    <w:name w:val="Emphasis"/>
    <w:basedOn w:val="13"/>
    <w:autoRedefine/>
    <w:qFormat/>
    <w:locked/>
    <w:uiPriority w:val="99"/>
    <w:rPr>
      <w:rFonts w:cs="Times New Roman"/>
      <w:i/>
      <w:iCs/>
    </w:rPr>
  </w:style>
  <w:style w:type="character" w:styleId="16">
    <w:name w:val="annotation reference"/>
    <w:basedOn w:val="13"/>
    <w:autoRedefine/>
    <w:semiHidden/>
    <w:qFormat/>
    <w:uiPriority w:val="99"/>
    <w:rPr>
      <w:rFonts w:cs="Times New Roman"/>
      <w:sz w:val="21"/>
    </w:rPr>
  </w:style>
  <w:style w:type="character" w:customStyle="1" w:styleId="17">
    <w:name w:val="纯文本 字符"/>
    <w:basedOn w:val="13"/>
    <w:link w:val="5"/>
    <w:autoRedefine/>
    <w:semiHidden/>
    <w:qFormat/>
    <w:locked/>
    <w:uiPriority w:val="99"/>
    <w:rPr>
      <w:rFonts w:ascii="宋体" w:hAnsi="Courier New" w:cs="Courier New"/>
      <w:sz w:val="21"/>
      <w:szCs w:val="21"/>
    </w:rPr>
  </w:style>
  <w:style w:type="character" w:customStyle="1" w:styleId="18">
    <w:name w:val="批注框文本 字符"/>
    <w:basedOn w:val="13"/>
    <w:link w:val="6"/>
    <w:autoRedefine/>
    <w:qFormat/>
    <w:locked/>
    <w:uiPriority w:val="99"/>
    <w:rPr>
      <w:rFonts w:ascii="Calibri" w:hAnsi="Calibri" w:eastAsia="宋体" w:cs="Times New Roman"/>
      <w:kern w:val="2"/>
      <w:sz w:val="18"/>
      <w:szCs w:val="18"/>
    </w:rPr>
  </w:style>
  <w:style w:type="character" w:customStyle="1" w:styleId="19">
    <w:name w:val="页脚 字符"/>
    <w:basedOn w:val="13"/>
    <w:link w:val="7"/>
    <w:autoRedefine/>
    <w:qFormat/>
    <w:locked/>
    <w:uiPriority w:val="99"/>
    <w:rPr>
      <w:rFonts w:ascii="Calibri" w:hAnsi="Calibri" w:cs="Times New Roman"/>
      <w:sz w:val="18"/>
      <w:szCs w:val="18"/>
    </w:rPr>
  </w:style>
  <w:style w:type="character" w:customStyle="1" w:styleId="20">
    <w:name w:val="页眉 字符"/>
    <w:basedOn w:val="13"/>
    <w:link w:val="8"/>
    <w:autoRedefine/>
    <w:semiHidden/>
    <w:qFormat/>
    <w:locked/>
    <w:uiPriority w:val="99"/>
    <w:rPr>
      <w:rFonts w:ascii="Calibri" w:hAnsi="Calibri" w:cs="Times New Roman"/>
      <w:sz w:val="18"/>
      <w:szCs w:val="18"/>
    </w:rPr>
  </w:style>
  <w:style w:type="paragraph" w:customStyle="1" w:styleId="21">
    <w:name w:val="reader-word-layer reader-word-s1-3"/>
    <w:basedOn w:val="1"/>
    <w:autoRedefine/>
    <w:qFormat/>
    <w:uiPriority w:val="99"/>
    <w:pPr>
      <w:widowControl/>
      <w:spacing w:before="100" w:beforeAutospacing="1" w:after="100" w:afterAutospacing="1"/>
      <w:jc w:val="left"/>
    </w:pPr>
    <w:rPr>
      <w:rFonts w:ascii="宋体" w:hAnsi="宋体" w:cs="宋体"/>
      <w:kern w:val="0"/>
      <w:sz w:val="24"/>
    </w:rPr>
  </w:style>
  <w:style w:type="character" w:customStyle="1" w:styleId="22">
    <w:name w:val="批注文字 字符"/>
    <w:basedOn w:val="13"/>
    <w:link w:val="4"/>
    <w:autoRedefine/>
    <w:semiHidden/>
    <w:qFormat/>
    <w:locked/>
    <w:uiPriority w:val="99"/>
    <w:rPr>
      <w:rFonts w:cs="Times New Roman"/>
      <w:kern w:val="2"/>
      <w:sz w:val="24"/>
      <w:szCs w:val="24"/>
    </w:rPr>
  </w:style>
  <w:style w:type="character" w:customStyle="1" w:styleId="23">
    <w:name w:val="sh14"/>
    <w:basedOn w:val="13"/>
    <w:autoRedefine/>
    <w:qFormat/>
    <w:uiPriority w:val="99"/>
    <w:rPr>
      <w:rFonts w:cs="Times New Roman"/>
    </w:rPr>
  </w:style>
  <w:style w:type="character" w:customStyle="1" w:styleId="24">
    <w:name w:val="批注主题 字符"/>
    <w:basedOn w:val="22"/>
    <w:link w:val="10"/>
    <w:autoRedefine/>
    <w:semiHidden/>
    <w:qFormat/>
    <w:locked/>
    <w:uiPriority w:val="99"/>
    <w:rPr>
      <w:rFonts w:ascii="Calibri" w:hAnsi="Calibri" w:cs="Times New Roman"/>
      <w:b/>
      <w:bCs/>
      <w:kern w:val="2"/>
      <w:sz w:val="24"/>
      <w:szCs w:val="24"/>
    </w:rPr>
  </w:style>
  <w:style w:type="paragraph" w:styleId="25">
    <w:name w:val="List Paragraph"/>
    <w:basedOn w:val="1"/>
    <w:autoRedefine/>
    <w:qFormat/>
    <w:uiPriority w:val="99"/>
    <w:pPr>
      <w:ind w:firstLine="420" w:firstLineChars="200"/>
    </w:pPr>
  </w:style>
  <w:style w:type="character" w:customStyle="1" w:styleId="26">
    <w:name w:val="font11"/>
    <w:basedOn w:val="13"/>
    <w:qFormat/>
    <w:uiPriority w:val="0"/>
    <w:rPr>
      <w:rFonts w:hint="default" w:ascii="Times New Roman" w:hAnsi="Times New Roman" w:cs="Times New Roman"/>
      <w:color w:val="000000"/>
      <w:sz w:val="28"/>
      <w:szCs w:val="28"/>
      <w:u w:val="none"/>
    </w:rPr>
  </w:style>
  <w:style w:type="paragraph" w:customStyle="1" w:styleId="27">
    <w:name w:val="CustomHeading1"/>
    <w:basedOn w:val="1"/>
    <w:qFormat/>
    <w:uiPriority w:val="0"/>
    <w:pPr>
      <w:spacing w:before="0" w:after="312" w:line="520" w:lineRule="exact"/>
      <w:ind w:firstLine="0"/>
      <w:jc w:val="center"/>
    </w:pPr>
    <w:rPr>
      <w:rFonts w:ascii="Times New Roman" w:hAnsi="Times New Roman" w:eastAsia="黑体"/>
      <w:sz w:val="36"/>
    </w:rPr>
  </w:style>
  <w:style w:type="paragraph" w:customStyle="1" w:styleId="28">
    <w:name w:val="CustomHeading2"/>
    <w:basedOn w:val="1"/>
    <w:qFormat/>
    <w:uiPriority w:val="0"/>
    <w:pPr>
      <w:spacing w:before="260" w:after="260" w:line="520" w:lineRule="exact"/>
      <w:ind w:firstLine="0"/>
      <w:jc w:val="left"/>
    </w:pPr>
    <w:rPr>
      <w:rFonts w:ascii="Times New Roman" w:hAnsi="Times New Roman" w:eastAsia="黑体"/>
      <w:sz w:val="32"/>
    </w:rPr>
  </w:style>
  <w:style w:type="paragraph" w:customStyle="1" w:styleId="29">
    <w:name w:val="CustomCaption"/>
    <w:basedOn w:val="1"/>
    <w:qFormat/>
    <w:uiPriority w:val="0"/>
    <w:pPr>
      <w:spacing w:line="360" w:lineRule="exact"/>
      <w:ind w:firstLine="0"/>
      <w:jc w:val="center"/>
    </w:pPr>
    <w:rPr>
      <w:rFonts w:ascii="Times New Roman" w:hAnsi="Times New Roman" w:eastAsia="楷体"/>
      <w:sz w:val="21"/>
    </w:rPr>
  </w:style>
  <w:style w:type="paragraph" w:customStyle="1" w:styleId="30">
    <w:name w:val="CaptionNote"/>
    <w:basedOn w:val="1"/>
    <w:qFormat/>
    <w:uiPriority w:val="0"/>
    <w:pPr>
      <w:spacing w:line="360" w:lineRule="exact"/>
      <w:ind w:firstLine="0"/>
      <w:jc w:val="left"/>
    </w:pPr>
    <w:rPr>
      <w:rFonts w:ascii="Times New Roman" w:hAnsi="Times New Roman" w:eastAsia="楷体"/>
      <w:sz w:val="18"/>
    </w:rPr>
  </w:style>
  <w:style w:type="character" w:customStyle="1" w:styleId="31">
    <w:name w:val="15"/>
    <w:basedOn w:val="13"/>
    <w:qFormat/>
    <w:uiPriority w:val="0"/>
    <w:rPr>
      <w:rFonts w:hint="default" w:ascii="Times New Roman" w:hAnsi="Times New Roman" w:cs="Times New Roman"/>
      <w:b/>
    </w:rPr>
  </w:style>
  <w:style w:type="character" w:customStyle="1" w:styleId="32">
    <w:name w:val="10"/>
    <w:basedOn w:val="1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tiff"/><Relationship Id="rId27" Type="http://schemas.openxmlformats.org/officeDocument/2006/relationships/image" Target="media/image23.tiff"/><Relationship Id="rId26" Type="http://schemas.openxmlformats.org/officeDocument/2006/relationships/image" Target="media/image22.tiff"/><Relationship Id="rId25" Type="http://schemas.openxmlformats.org/officeDocument/2006/relationships/image" Target="media/image21.tiff"/><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tiff"/><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6F1F5F-5C4D-435E-B0D2-809750AD3C8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5611</Words>
  <Characters>34626</Characters>
  <Lines>1</Lines>
  <Paragraphs>1</Paragraphs>
  <TotalTime>16</TotalTime>
  <ScaleCrop>false</ScaleCrop>
  <LinksUpToDate>false</LinksUpToDate>
  <CharactersWithSpaces>39396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2024-05-18T07:10:00Z</dcterms:created>
  <dc:creator>Administrator</dc:creator>
  <cp:lastModifiedBy>林志勇</cp:lastModifiedBy>
  <cp:lastPrinted>2019-12-13T11:22:00Z</cp:lastPrinted>
  <dcterms:modified xsi:type="dcterms:W3CDTF">2026-06-10T15:16:27Z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66CA2AAE1D85479FBA641B747E8CAB8A_13</vt:lpwstr>
  </property>
  <property fmtid="{D5CDD505-2E9C-101B-9397-08002B2CF9AE}" pid="4" name="KSOTemplateDocerSaveRecord">
    <vt:lpwstr>eyJoZGlkIjoiNTQ1YTcwOTc1ZDUxNTcwOGNiZjNiNTdiY2QzOTc1YTgiLCJ1c2VySWQiOiIxNjA2MDkxNzUxIn0=</vt:lpwstr>
  </property>
</Properties>
</file>